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4A0" w:firstRow="1" w:lastRow="0" w:firstColumn="1" w:lastColumn="0" w:noHBand="0" w:noVBand="1"/>
      </w:tblPr>
      <w:tblGrid>
        <w:gridCol w:w="6911"/>
        <w:gridCol w:w="3120"/>
      </w:tblGrid>
      <w:tr w:rsidR="001F792D" w14:paraId="23E9C553" w14:textId="77777777">
        <w:trPr>
          <w:cantSplit/>
        </w:trPr>
        <w:tc>
          <w:tcPr>
            <w:tcW w:w="6911" w:type="dxa"/>
          </w:tcPr>
          <w:p w14:paraId="23E9C551" w14:textId="7FBDA2E3" w:rsidR="001F792D" w:rsidRDefault="001B0F99">
            <w:pPr>
              <w:spacing w:before="360" w:after="48"/>
              <w:rPr>
                <w:position w:val="6"/>
                <w:lang w:eastAsia="zh-CN"/>
              </w:rPr>
            </w:pPr>
            <w:r>
              <w:rPr>
                <w:rFonts w:ascii="SimSun" w:hAnsi="SimSun" w:hint="eastAsia"/>
                <w:b/>
                <w:bCs/>
                <w:sz w:val="30"/>
                <w:szCs w:val="30"/>
                <w:lang w:val="en-US" w:eastAsia="zh-CN"/>
              </w:rPr>
              <w:t>理事会</w:t>
            </w:r>
            <w:r>
              <w:rPr>
                <w:rFonts w:cs="Arial"/>
                <w:b/>
                <w:bCs/>
                <w:sz w:val="30"/>
                <w:szCs w:val="30"/>
                <w:lang w:val="en-US" w:eastAsia="zh-CN"/>
              </w:rPr>
              <w:t>2022</w:t>
            </w:r>
            <w:r>
              <w:rPr>
                <w:rFonts w:ascii="SimSun" w:hAnsi="SimSun" w:hint="eastAsia"/>
                <w:b/>
                <w:bCs/>
                <w:sz w:val="30"/>
                <w:szCs w:val="30"/>
                <w:lang w:val="en-US" w:eastAsia="zh-CN"/>
              </w:rPr>
              <w:t>年会议</w:t>
            </w:r>
            <w:r>
              <w:rPr>
                <w:rFonts w:ascii="Arial" w:hAnsi="Arial" w:cs="Arial"/>
                <w:b/>
                <w:bCs/>
                <w:szCs w:val="24"/>
                <w:lang w:val="en-US" w:eastAsia="zh-CN"/>
              </w:rPr>
              <w:br/>
            </w:r>
            <w:r>
              <w:rPr>
                <w:b/>
                <w:bCs/>
                <w:color w:val="000000"/>
                <w:sz w:val="22"/>
                <w:szCs w:val="22"/>
                <w:lang w:eastAsia="zh-CN"/>
              </w:rPr>
              <w:t>2022</w:t>
            </w:r>
            <w:r>
              <w:rPr>
                <w:rFonts w:hint="eastAsia"/>
                <w:b/>
                <w:bCs/>
                <w:color w:val="000000"/>
                <w:sz w:val="22"/>
                <w:szCs w:val="22"/>
                <w:lang w:eastAsia="zh-CN"/>
              </w:rPr>
              <w:t>年</w:t>
            </w:r>
            <w:r>
              <w:rPr>
                <w:b/>
                <w:bCs/>
                <w:color w:val="000000"/>
                <w:sz w:val="22"/>
                <w:szCs w:val="22"/>
                <w:lang w:eastAsia="zh-CN"/>
              </w:rPr>
              <w:t>3</w:t>
            </w:r>
            <w:r>
              <w:rPr>
                <w:rFonts w:hint="eastAsia"/>
                <w:b/>
                <w:bCs/>
                <w:color w:val="000000"/>
                <w:sz w:val="22"/>
                <w:szCs w:val="22"/>
                <w:lang w:eastAsia="zh-CN"/>
              </w:rPr>
              <w:t>月</w:t>
            </w:r>
            <w:r>
              <w:rPr>
                <w:b/>
                <w:bCs/>
                <w:color w:val="000000"/>
                <w:sz w:val="22"/>
                <w:szCs w:val="22"/>
                <w:lang w:eastAsia="zh-CN"/>
              </w:rPr>
              <w:t>21-31</w:t>
            </w:r>
            <w:r>
              <w:rPr>
                <w:rFonts w:hint="eastAsia"/>
                <w:b/>
                <w:bCs/>
                <w:color w:val="000000"/>
                <w:sz w:val="22"/>
                <w:szCs w:val="22"/>
                <w:lang w:eastAsia="zh-CN"/>
              </w:rPr>
              <w:t>日</w:t>
            </w:r>
            <w:bookmarkStart w:id="0" w:name="_Hlk53061815"/>
            <w:r>
              <w:rPr>
                <w:rFonts w:ascii="SimSun" w:hAnsi="SimSun" w:cs="SimSun" w:hint="eastAsia"/>
                <w:b/>
                <w:bCs/>
                <w:smallCaps/>
                <w:sz w:val="22"/>
                <w:szCs w:val="22"/>
                <w:lang w:eastAsia="zh-CN"/>
              </w:rPr>
              <w:t>，</w:t>
            </w:r>
            <w:bookmarkEnd w:id="0"/>
            <w:r>
              <w:rPr>
                <w:rFonts w:hint="eastAsia"/>
                <w:b/>
                <w:bCs/>
                <w:color w:val="000000"/>
                <w:sz w:val="22"/>
                <w:szCs w:val="22"/>
                <w:lang w:eastAsia="zh-CN"/>
              </w:rPr>
              <w:t>日内瓦</w:t>
            </w:r>
          </w:p>
        </w:tc>
        <w:tc>
          <w:tcPr>
            <w:tcW w:w="3120" w:type="dxa"/>
          </w:tcPr>
          <w:p w14:paraId="23E9C552" w14:textId="77777777" w:rsidR="001F792D" w:rsidRDefault="006A7769">
            <w:pPr>
              <w:spacing w:before="0"/>
            </w:pPr>
            <w:bookmarkStart w:id="1" w:name="ditulogo"/>
            <w:bookmarkEnd w:id="1"/>
            <w:r>
              <w:rPr>
                <w:noProof/>
                <w:lang w:val="en-US" w:eastAsia="zh-CN"/>
              </w:rPr>
              <w:drawing>
                <wp:inline distT="0" distB="0" distL="0" distR="0" wp14:anchorId="23E9C57E" wp14:editId="23E9C57F">
                  <wp:extent cx="681990" cy="7194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F792D" w14:paraId="23E9C556" w14:textId="77777777">
        <w:trPr>
          <w:cantSplit/>
        </w:trPr>
        <w:tc>
          <w:tcPr>
            <w:tcW w:w="6911" w:type="dxa"/>
            <w:tcBorders>
              <w:bottom w:val="single" w:sz="12" w:space="0" w:color="auto"/>
            </w:tcBorders>
          </w:tcPr>
          <w:p w14:paraId="23E9C554" w14:textId="77777777" w:rsidR="001F792D" w:rsidRDefault="001F792D">
            <w:pPr>
              <w:spacing w:before="0"/>
              <w:rPr>
                <w:b/>
                <w:smallCaps/>
                <w:szCs w:val="24"/>
              </w:rPr>
            </w:pPr>
          </w:p>
        </w:tc>
        <w:tc>
          <w:tcPr>
            <w:tcW w:w="3120" w:type="dxa"/>
            <w:tcBorders>
              <w:bottom w:val="single" w:sz="12" w:space="0" w:color="auto"/>
            </w:tcBorders>
          </w:tcPr>
          <w:p w14:paraId="23E9C555" w14:textId="77777777" w:rsidR="001F792D" w:rsidRDefault="001F792D">
            <w:pPr>
              <w:spacing w:before="0"/>
              <w:rPr>
                <w:szCs w:val="24"/>
              </w:rPr>
            </w:pPr>
          </w:p>
        </w:tc>
      </w:tr>
      <w:tr w:rsidR="001F792D" w14:paraId="23E9C559" w14:textId="77777777">
        <w:trPr>
          <w:cantSplit/>
        </w:trPr>
        <w:tc>
          <w:tcPr>
            <w:tcW w:w="6911" w:type="dxa"/>
            <w:tcBorders>
              <w:top w:val="single" w:sz="12" w:space="0" w:color="auto"/>
            </w:tcBorders>
          </w:tcPr>
          <w:p w14:paraId="23E9C557" w14:textId="77777777" w:rsidR="001F792D" w:rsidRDefault="001F792D">
            <w:pPr>
              <w:spacing w:before="0"/>
              <w:rPr>
                <w:b/>
                <w:smallCaps/>
                <w:szCs w:val="24"/>
              </w:rPr>
            </w:pPr>
          </w:p>
        </w:tc>
        <w:tc>
          <w:tcPr>
            <w:tcW w:w="3120" w:type="dxa"/>
            <w:tcBorders>
              <w:top w:val="single" w:sz="12" w:space="0" w:color="auto"/>
            </w:tcBorders>
          </w:tcPr>
          <w:p w14:paraId="23E9C558" w14:textId="77777777" w:rsidR="001F792D" w:rsidRDefault="001F792D">
            <w:pPr>
              <w:spacing w:before="0"/>
              <w:rPr>
                <w:szCs w:val="24"/>
              </w:rPr>
            </w:pPr>
          </w:p>
        </w:tc>
      </w:tr>
      <w:tr w:rsidR="007708DB" w14:paraId="7FAEEE2B" w14:textId="77777777">
        <w:trPr>
          <w:cantSplit/>
          <w:trHeight w:val="23"/>
        </w:trPr>
        <w:tc>
          <w:tcPr>
            <w:tcW w:w="6911" w:type="dxa"/>
            <w:vMerge w:val="restart"/>
          </w:tcPr>
          <w:p w14:paraId="1CE8C133" w14:textId="1F799E0B" w:rsidR="007708DB" w:rsidRDefault="007708DB" w:rsidP="007708DB">
            <w:pPr>
              <w:tabs>
                <w:tab w:val="left" w:pos="851"/>
              </w:tabs>
              <w:spacing w:before="0"/>
              <w:rPr>
                <w:b/>
                <w:lang w:val="en-US" w:eastAsia="zh-CN"/>
              </w:rPr>
            </w:pPr>
            <w:bookmarkStart w:id="2" w:name="dnum" w:colFirst="1" w:colLast="1"/>
            <w:bookmarkStart w:id="3" w:name="dmeeting" w:colFirst="0" w:colLast="0"/>
            <w:r>
              <w:rPr>
                <w:rFonts w:hint="eastAsia"/>
                <w:b/>
                <w:lang w:eastAsia="zh-CN"/>
              </w:rPr>
              <w:t>议项：</w:t>
            </w:r>
            <w:r w:rsidR="00CE0F0F">
              <w:rPr>
                <w:rFonts w:hint="eastAsia"/>
                <w:b/>
                <w:lang w:eastAsia="zh-CN"/>
              </w:rPr>
              <w:t>P</w:t>
            </w:r>
            <w:r w:rsidR="00CE0F0F">
              <w:rPr>
                <w:b/>
                <w:lang w:eastAsia="zh-CN"/>
              </w:rPr>
              <w:t xml:space="preserve">L </w:t>
            </w:r>
            <w:r>
              <w:rPr>
                <w:rFonts w:hint="eastAsia"/>
                <w:b/>
                <w:lang w:val="en-US" w:eastAsia="zh-CN"/>
              </w:rPr>
              <w:t>1.4</w:t>
            </w:r>
          </w:p>
        </w:tc>
        <w:tc>
          <w:tcPr>
            <w:tcW w:w="3120" w:type="dxa"/>
          </w:tcPr>
          <w:p w14:paraId="28487B4D" w14:textId="2E0E7725" w:rsidR="007708DB" w:rsidRDefault="007708DB" w:rsidP="007708DB">
            <w:pPr>
              <w:tabs>
                <w:tab w:val="left" w:pos="851"/>
              </w:tabs>
              <w:spacing w:before="0"/>
              <w:rPr>
                <w:b/>
              </w:rPr>
            </w:pPr>
            <w:r>
              <w:rPr>
                <w:rFonts w:hint="eastAsia"/>
                <w:b/>
                <w:bCs/>
                <w:szCs w:val="24"/>
                <w:lang w:val="fr-CH" w:eastAsia="zh-CN"/>
              </w:rPr>
              <w:t>文件</w:t>
            </w:r>
            <w:r>
              <w:rPr>
                <w:b/>
                <w:bCs/>
                <w:sz w:val="20"/>
                <w:lang w:eastAsia="zh-CN"/>
              </w:rPr>
              <w:t xml:space="preserve"> </w:t>
            </w:r>
            <w:r>
              <w:rPr>
                <w:b/>
                <w:bCs/>
                <w:szCs w:val="24"/>
                <w:lang w:eastAsia="zh-CN"/>
              </w:rPr>
              <w:t>C22/</w:t>
            </w:r>
            <w:r>
              <w:rPr>
                <w:rFonts w:hint="eastAsia"/>
                <w:b/>
                <w:bCs/>
                <w:szCs w:val="24"/>
                <w:lang w:eastAsia="zh-CN"/>
              </w:rPr>
              <w:t>71</w:t>
            </w:r>
            <w:r>
              <w:rPr>
                <w:b/>
                <w:bCs/>
                <w:szCs w:val="24"/>
                <w:lang w:eastAsia="zh-CN"/>
              </w:rPr>
              <w:t>-C</w:t>
            </w:r>
          </w:p>
        </w:tc>
      </w:tr>
      <w:tr w:rsidR="007708DB" w14:paraId="0FF8C675" w14:textId="77777777">
        <w:trPr>
          <w:cantSplit/>
          <w:trHeight w:val="23"/>
        </w:trPr>
        <w:tc>
          <w:tcPr>
            <w:tcW w:w="6911" w:type="dxa"/>
            <w:vMerge/>
          </w:tcPr>
          <w:p w14:paraId="74F3E679" w14:textId="77777777" w:rsidR="007708DB" w:rsidRDefault="007708DB" w:rsidP="007708DB">
            <w:pPr>
              <w:tabs>
                <w:tab w:val="left" w:pos="851"/>
              </w:tabs>
              <w:spacing w:before="0"/>
              <w:rPr>
                <w:b/>
              </w:rPr>
            </w:pPr>
            <w:bookmarkStart w:id="4" w:name="ddate" w:colFirst="1" w:colLast="1"/>
            <w:bookmarkEnd w:id="2"/>
            <w:bookmarkEnd w:id="3"/>
          </w:p>
        </w:tc>
        <w:tc>
          <w:tcPr>
            <w:tcW w:w="3120" w:type="dxa"/>
          </w:tcPr>
          <w:p w14:paraId="4BDD9DBA" w14:textId="4BAFFF31" w:rsidR="007708DB" w:rsidRDefault="007708DB" w:rsidP="007708DB">
            <w:pPr>
              <w:tabs>
                <w:tab w:val="left" w:pos="993"/>
              </w:tabs>
              <w:spacing w:before="0"/>
              <w:rPr>
                <w:b/>
              </w:rPr>
            </w:pPr>
            <w:r>
              <w:rPr>
                <w:b/>
                <w:bCs/>
                <w:szCs w:val="24"/>
                <w:lang w:eastAsia="zh-CN"/>
              </w:rPr>
              <w:t>202</w:t>
            </w:r>
            <w:r>
              <w:rPr>
                <w:rFonts w:hint="eastAsia"/>
                <w:b/>
                <w:bCs/>
                <w:szCs w:val="24"/>
                <w:lang w:eastAsia="zh-CN"/>
              </w:rPr>
              <w:t>2</w:t>
            </w:r>
            <w:r>
              <w:rPr>
                <w:rFonts w:hint="eastAsia"/>
                <w:b/>
                <w:bCs/>
                <w:szCs w:val="24"/>
                <w:lang w:eastAsia="zh-CN"/>
              </w:rPr>
              <w:t>年</w:t>
            </w:r>
            <w:r>
              <w:rPr>
                <w:rFonts w:asciiTheme="minorHAnsi" w:hAnsiTheme="minorHAnsi" w:cstheme="minorHAnsi" w:hint="eastAsia"/>
                <w:b/>
                <w:bCs/>
                <w:szCs w:val="24"/>
                <w:lang w:eastAsia="zh-CN"/>
              </w:rPr>
              <w:t>3</w:t>
            </w:r>
            <w:r>
              <w:rPr>
                <w:rFonts w:hint="eastAsia"/>
                <w:b/>
                <w:bCs/>
                <w:szCs w:val="24"/>
                <w:lang w:eastAsia="zh-CN"/>
              </w:rPr>
              <w:t>月</w:t>
            </w:r>
            <w:r>
              <w:rPr>
                <w:rFonts w:asciiTheme="minorHAnsi" w:hAnsiTheme="minorHAnsi" w:cstheme="minorHAnsi" w:hint="eastAsia"/>
                <w:b/>
                <w:bCs/>
                <w:szCs w:val="24"/>
                <w:lang w:eastAsia="zh-CN"/>
              </w:rPr>
              <w:t>5</w:t>
            </w:r>
            <w:r>
              <w:rPr>
                <w:rFonts w:hint="eastAsia"/>
                <w:b/>
                <w:bCs/>
                <w:szCs w:val="24"/>
                <w:lang w:eastAsia="zh-CN"/>
              </w:rPr>
              <w:t>日</w:t>
            </w:r>
          </w:p>
        </w:tc>
      </w:tr>
      <w:tr w:rsidR="007708DB" w14:paraId="588EFA99" w14:textId="77777777">
        <w:trPr>
          <w:cantSplit/>
          <w:trHeight w:val="23"/>
        </w:trPr>
        <w:tc>
          <w:tcPr>
            <w:tcW w:w="6911" w:type="dxa"/>
            <w:vMerge/>
          </w:tcPr>
          <w:p w14:paraId="55E240D5" w14:textId="77777777" w:rsidR="007708DB" w:rsidRDefault="007708DB" w:rsidP="007708DB">
            <w:pPr>
              <w:tabs>
                <w:tab w:val="left" w:pos="851"/>
              </w:tabs>
              <w:spacing w:before="0"/>
              <w:rPr>
                <w:b/>
              </w:rPr>
            </w:pPr>
            <w:bookmarkStart w:id="5" w:name="dorlang" w:colFirst="1" w:colLast="1"/>
            <w:bookmarkEnd w:id="4"/>
          </w:p>
        </w:tc>
        <w:tc>
          <w:tcPr>
            <w:tcW w:w="3120" w:type="dxa"/>
          </w:tcPr>
          <w:p w14:paraId="63DE0C69" w14:textId="4CEB5336" w:rsidR="007708DB" w:rsidRDefault="007708DB" w:rsidP="007708DB">
            <w:pPr>
              <w:tabs>
                <w:tab w:val="left" w:pos="993"/>
              </w:tabs>
              <w:spacing w:before="0"/>
              <w:rPr>
                <w:b/>
                <w:lang w:val="en-US" w:eastAsia="zh-CN"/>
              </w:rPr>
            </w:pPr>
            <w:r>
              <w:rPr>
                <w:rFonts w:hint="eastAsia"/>
                <w:b/>
                <w:bCs/>
                <w:szCs w:val="24"/>
                <w:lang w:eastAsia="zh-CN"/>
              </w:rPr>
              <w:t>原文：中文</w:t>
            </w:r>
          </w:p>
        </w:tc>
      </w:tr>
      <w:tr w:rsidR="001B0F99" w14:paraId="675D2928" w14:textId="77777777">
        <w:trPr>
          <w:cantSplit/>
        </w:trPr>
        <w:tc>
          <w:tcPr>
            <w:tcW w:w="10031" w:type="dxa"/>
            <w:gridSpan w:val="2"/>
          </w:tcPr>
          <w:p w14:paraId="0030B35A" w14:textId="77777777" w:rsidR="001B0F99" w:rsidRDefault="001B0F99">
            <w:pPr>
              <w:pStyle w:val="Source"/>
              <w:rPr>
                <w:lang w:val="en-US" w:eastAsia="zh-CN"/>
              </w:rPr>
            </w:pPr>
            <w:bookmarkStart w:id="6" w:name="dsource" w:colFirst="0" w:colLast="0"/>
            <w:bookmarkEnd w:id="5"/>
            <w:r>
              <w:rPr>
                <w:rFonts w:hint="eastAsia"/>
                <w:lang w:val="en-US" w:eastAsia="zh-CN"/>
              </w:rPr>
              <w:t>中华人民共和国提案</w:t>
            </w:r>
          </w:p>
        </w:tc>
      </w:tr>
      <w:tr w:rsidR="001B0F99" w14:paraId="48250F41" w14:textId="77777777">
        <w:trPr>
          <w:cantSplit/>
        </w:trPr>
        <w:tc>
          <w:tcPr>
            <w:tcW w:w="10031" w:type="dxa"/>
            <w:gridSpan w:val="2"/>
          </w:tcPr>
          <w:p w14:paraId="7C00DCD7" w14:textId="77777777" w:rsidR="001B0F99" w:rsidRDefault="001B0F99">
            <w:pPr>
              <w:pStyle w:val="Title1"/>
              <w:rPr>
                <w:lang w:eastAsia="zh-CN"/>
              </w:rPr>
            </w:pPr>
            <w:bookmarkStart w:id="7" w:name="dtitle1" w:colFirst="0" w:colLast="0"/>
            <w:bookmarkEnd w:id="6"/>
            <w:r>
              <w:rPr>
                <w:rFonts w:hint="eastAsia"/>
                <w:b/>
                <w:bCs/>
                <w:lang w:eastAsia="zh-CN"/>
              </w:rPr>
              <w:t>关于国际电联制定《全球网络安全议程》使用导则的建议</w:t>
            </w:r>
          </w:p>
        </w:tc>
      </w:tr>
      <w:bookmarkEnd w:id="7"/>
    </w:tbl>
    <w:p w14:paraId="23E9C567" w14:textId="77777777" w:rsidR="001F792D" w:rsidRDefault="001F792D">
      <w:pPr>
        <w:rPr>
          <w:lang w:eastAsia="zh-CN"/>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tblGrid>
      <w:tr w:rsidR="001F792D" w14:paraId="23E9C56E"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23E9C568" w14:textId="77777777" w:rsidR="001F792D" w:rsidRDefault="006A7769">
            <w:pPr>
              <w:pStyle w:val="Headingb"/>
              <w:rPr>
                <w:lang w:val="en-US" w:eastAsia="zh-CN"/>
              </w:rPr>
            </w:pPr>
            <w:r>
              <w:rPr>
                <w:rFonts w:hint="eastAsia"/>
                <w:lang w:val="en-US" w:eastAsia="zh-CN"/>
              </w:rPr>
              <w:t>概述</w:t>
            </w:r>
          </w:p>
          <w:p w14:paraId="23E9C569" w14:textId="17ED6D56" w:rsidR="001F792D" w:rsidRDefault="006A7769" w:rsidP="007708DB">
            <w:pPr>
              <w:tabs>
                <w:tab w:val="clear" w:pos="567"/>
                <w:tab w:val="clear" w:pos="1134"/>
                <w:tab w:val="clear" w:pos="1701"/>
                <w:tab w:val="clear" w:pos="2268"/>
                <w:tab w:val="clear" w:pos="2835"/>
                <w:tab w:val="left" w:pos="794"/>
                <w:tab w:val="left" w:pos="1191"/>
                <w:tab w:val="left" w:pos="1588"/>
                <w:tab w:val="left" w:pos="1985"/>
              </w:tabs>
              <w:ind w:firstLine="480"/>
              <w:jc w:val="both"/>
              <w:rPr>
                <w:lang w:val="fr-FR" w:eastAsia="zh-CN"/>
              </w:rPr>
            </w:pPr>
            <w:r>
              <w:rPr>
                <w:rFonts w:hint="eastAsia"/>
                <w:lang w:eastAsia="zh-CN"/>
              </w:rPr>
              <w:t>国际电联作为联合国下设专门从事信息通信方面的专门机构，并且作为</w:t>
            </w:r>
            <w:r>
              <w:rPr>
                <w:rFonts w:hint="eastAsia"/>
                <w:lang w:eastAsia="zh-CN"/>
              </w:rPr>
              <w:t>WSIS</w:t>
            </w:r>
            <w:r>
              <w:rPr>
                <w:lang w:eastAsia="zh-CN"/>
              </w:rPr>
              <w:t xml:space="preserve"> </w:t>
            </w:r>
            <w:r>
              <w:rPr>
                <w:rFonts w:hint="eastAsia"/>
                <w:lang w:eastAsia="zh-CN"/>
              </w:rPr>
              <w:t>C5</w:t>
            </w:r>
            <w:r>
              <w:rPr>
                <w:rFonts w:hint="eastAsia"/>
                <w:lang w:eastAsia="zh-CN"/>
              </w:rPr>
              <w:t>行动的推进方，应该在增强使用</w:t>
            </w:r>
            <w:r>
              <w:rPr>
                <w:rFonts w:hint="eastAsia"/>
                <w:lang w:eastAsia="zh-CN"/>
              </w:rPr>
              <w:t>ICT</w:t>
            </w:r>
            <w:r>
              <w:rPr>
                <w:rFonts w:hint="eastAsia"/>
                <w:lang w:eastAsia="zh-CN"/>
              </w:rPr>
              <w:t>技术的信心和安全方面发挥更加重要作用。考虑到</w:t>
            </w:r>
            <w:r>
              <w:rPr>
                <w:rFonts w:ascii="SimSun" w:hAnsi="SimSun" w:cs="SimSun" w:hint="eastAsia"/>
                <w:lang w:val="en-US" w:eastAsia="zh-CN"/>
              </w:rPr>
              <w:t>《全球网络安全议程》及使用导则对于国际电联开展网络安全方面的工作具有非常重要的指导作用，如果3月1</w:t>
            </w:r>
            <w:r>
              <w:rPr>
                <w:rFonts w:ascii="SimSun" w:hAnsi="SimSun" w:cs="SimSun"/>
                <w:lang w:val="en-US" w:eastAsia="zh-CN"/>
              </w:rPr>
              <w:t>4</w:t>
            </w:r>
            <w:r>
              <w:rPr>
                <w:rFonts w:ascii="SimSun" w:hAnsi="SimSun" w:cs="SimSun" w:hint="eastAsia"/>
                <w:lang w:val="en-US" w:eastAsia="zh-CN"/>
              </w:rPr>
              <w:t>日的非正式磋商仍遗留一些未决内容，我们建议在本次理事会会议期间能够再次举行非正式磋商来解决所有遗留问题，推动使用导则在本次理事会上通过，尽快用于指导国际电联的相关工作。</w:t>
            </w:r>
          </w:p>
          <w:p w14:paraId="23E9C56A" w14:textId="77777777" w:rsidR="001F792D" w:rsidRDefault="006A7769">
            <w:pPr>
              <w:pStyle w:val="Headingb"/>
              <w:rPr>
                <w:lang w:val="en-US" w:eastAsia="zh-CN"/>
              </w:rPr>
            </w:pPr>
            <w:r>
              <w:rPr>
                <w:rFonts w:hint="eastAsia"/>
                <w:lang w:val="en-US" w:eastAsia="zh-CN"/>
              </w:rPr>
              <w:t>需采取的行动</w:t>
            </w:r>
          </w:p>
          <w:p w14:paraId="23E9C56B" w14:textId="4F029990" w:rsidR="001F792D" w:rsidRDefault="006A7769" w:rsidP="007708DB">
            <w:pPr>
              <w:ind w:firstLine="480"/>
              <w:rPr>
                <w:lang w:val="en-US" w:eastAsia="zh-CN"/>
              </w:rPr>
            </w:pPr>
            <w:r>
              <w:rPr>
                <w:rFonts w:hint="eastAsia"/>
                <w:lang w:val="en-US" w:eastAsia="zh-CN"/>
              </w:rPr>
              <w:t>请理事会审议该文稿并采取相应行动。</w:t>
            </w:r>
          </w:p>
          <w:p w14:paraId="31CA185B" w14:textId="31153C3E" w:rsidR="00CE0F0F" w:rsidRDefault="00CE0F0F" w:rsidP="00CE0F0F">
            <w:pPr>
              <w:ind w:firstLine="480"/>
              <w:jc w:val="center"/>
              <w:rPr>
                <w:rFonts w:hint="eastAsia"/>
                <w:lang w:val="en-US" w:eastAsia="zh-CN"/>
              </w:rPr>
            </w:pPr>
            <w:r>
              <w:rPr>
                <w:sz w:val="28"/>
                <w:szCs w:val="22"/>
                <w:lang w:eastAsia="zh-CN"/>
              </w:rPr>
              <w:t>______________</w:t>
            </w:r>
          </w:p>
          <w:p w14:paraId="23E9C56C" w14:textId="77777777" w:rsidR="001F792D" w:rsidRDefault="006A7769">
            <w:pPr>
              <w:rPr>
                <w:b/>
                <w:bCs/>
                <w:lang w:val="en-US" w:eastAsia="zh-CN"/>
              </w:rPr>
            </w:pPr>
            <w:r>
              <w:rPr>
                <w:rFonts w:hint="eastAsia"/>
                <w:b/>
                <w:bCs/>
                <w:lang w:val="en-US" w:eastAsia="zh-CN"/>
              </w:rPr>
              <w:t>参考文献</w:t>
            </w:r>
          </w:p>
          <w:p w14:paraId="23E9C56D" w14:textId="77777777" w:rsidR="001F792D" w:rsidRDefault="006A7769">
            <w:pPr>
              <w:rPr>
                <w:i/>
                <w:iCs/>
                <w:lang w:eastAsia="zh-CN"/>
              </w:rPr>
            </w:pPr>
            <w:r>
              <w:rPr>
                <w:rFonts w:ascii="SimSun" w:hAnsi="SimSun" w:cs="SimSun" w:hint="eastAsia"/>
                <w:lang w:val="en-US" w:eastAsia="zh-CN"/>
              </w:rPr>
              <w:t>《全球网络安全议程》</w:t>
            </w:r>
          </w:p>
        </w:tc>
      </w:tr>
    </w:tbl>
    <w:p w14:paraId="23E9C570" w14:textId="77777777" w:rsidR="001F792D" w:rsidRDefault="001F792D">
      <w:pPr>
        <w:rPr>
          <w:lang w:val="en-US" w:eastAsia="zh-CN"/>
        </w:rPr>
      </w:pPr>
      <w:bookmarkStart w:id="8" w:name="dstart"/>
      <w:bookmarkStart w:id="9" w:name="dbreak"/>
      <w:bookmarkEnd w:id="8"/>
      <w:bookmarkEnd w:id="9"/>
    </w:p>
    <w:p w14:paraId="23E9C571" w14:textId="77777777" w:rsidR="001F792D" w:rsidRDefault="006A7769">
      <w:pPr>
        <w:tabs>
          <w:tab w:val="clear" w:pos="567"/>
          <w:tab w:val="clear" w:pos="1134"/>
          <w:tab w:val="clear" w:pos="1701"/>
          <w:tab w:val="clear" w:pos="2268"/>
          <w:tab w:val="clear" w:pos="2835"/>
          <w:tab w:val="left" w:pos="794"/>
          <w:tab w:val="left" w:pos="1191"/>
          <w:tab w:val="left" w:pos="1588"/>
          <w:tab w:val="left" w:pos="1985"/>
        </w:tabs>
        <w:rPr>
          <w:lang w:val="en-US" w:eastAsia="zh-CN"/>
        </w:rPr>
      </w:pPr>
      <w:r>
        <w:rPr>
          <w:lang w:val="en-US" w:eastAsia="zh-CN"/>
        </w:rPr>
        <w:br w:type="page"/>
      </w:r>
      <w:r>
        <w:rPr>
          <w:rFonts w:hint="eastAsia"/>
          <w:b/>
          <w:bCs/>
          <w:lang w:val="en-US" w:eastAsia="zh-CN"/>
        </w:rPr>
        <w:lastRenderedPageBreak/>
        <w:t>一、背景</w:t>
      </w:r>
    </w:p>
    <w:p w14:paraId="23E9C572" w14:textId="77777777" w:rsidR="001F792D" w:rsidRDefault="006A7769">
      <w:pPr>
        <w:tabs>
          <w:tab w:val="clear" w:pos="567"/>
          <w:tab w:val="clear" w:pos="1134"/>
          <w:tab w:val="clear" w:pos="1701"/>
          <w:tab w:val="clear" w:pos="2268"/>
          <w:tab w:val="clear" w:pos="2835"/>
          <w:tab w:val="left" w:pos="794"/>
          <w:tab w:val="left" w:pos="1191"/>
          <w:tab w:val="left" w:pos="1588"/>
          <w:tab w:val="left" w:pos="1985"/>
        </w:tabs>
        <w:ind w:firstLineChars="200" w:firstLine="480"/>
        <w:jc w:val="both"/>
        <w:rPr>
          <w:rFonts w:ascii="SimSun" w:hAnsi="SimSun" w:cs="SimSun"/>
          <w:lang w:val="en-US" w:eastAsia="zh-CN"/>
        </w:rPr>
      </w:pPr>
      <w:r>
        <w:rPr>
          <w:rFonts w:ascii="SimSun" w:hAnsi="SimSun" w:cs="SimSun" w:hint="eastAsia"/>
          <w:lang w:val="en-US" w:eastAsia="zh-CN"/>
        </w:rPr>
        <w:t>2019年10月，国际电联秘书处启动《全球网络安全议程》使用导则编写工作，并邀请成员国提供支持。2020年4月23日，国际电联秘书处组织WSIS多利益相关方召开线上公开措施会，讨论《全球网络安全议程》使用导则草案。随后，国际电联秘书处根据反馈意见修改完善使用导则草案，并提交2</w:t>
      </w:r>
      <w:r>
        <w:rPr>
          <w:rFonts w:ascii="SimSun" w:hAnsi="SimSun" w:cs="SimSun"/>
          <w:lang w:val="en-US" w:eastAsia="zh-CN"/>
        </w:rPr>
        <w:t>021</w:t>
      </w:r>
      <w:r>
        <w:rPr>
          <w:rFonts w:ascii="SimSun" w:hAnsi="SimSun" w:cs="SimSun" w:hint="eastAsia"/>
          <w:lang w:val="en-US" w:eastAsia="zh-CN"/>
        </w:rPr>
        <w:t>年国际电联理事会虚拟磋商会审议。会后，理事会成员国要求秘书处继续就使用导则草案征寻理事会成员国意见，充分考虑各方输入意见，并于下一届理事会会议提交修订草案。</w:t>
      </w:r>
    </w:p>
    <w:p w14:paraId="23E9C573" w14:textId="77777777" w:rsidR="001F792D" w:rsidRDefault="006A7769">
      <w:pPr>
        <w:tabs>
          <w:tab w:val="clear" w:pos="567"/>
          <w:tab w:val="clear" w:pos="1134"/>
          <w:tab w:val="clear" w:pos="1701"/>
          <w:tab w:val="clear" w:pos="2268"/>
          <w:tab w:val="clear" w:pos="2835"/>
          <w:tab w:val="left" w:pos="794"/>
          <w:tab w:val="left" w:pos="1191"/>
          <w:tab w:val="left" w:pos="1588"/>
          <w:tab w:val="left" w:pos="1985"/>
        </w:tabs>
        <w:ind w:firstLineChars="200" w:firstLine="480"/>
        <w:jc w:val="both"/>
        <w:rPr>
          <w:rFonts w:ascii="SimSun" w:hAnsi="SimSun" w:cs="SimSun"/>
          <w:lang w:val="en-US" w:eastAsia="zh-CN"/>
        </w:rPr>
      </w:pPr>
      <w:r>
        <w:rPr>
          <w:rFonts w:ascii="SimSun" w:hAnsi="SimSun" w:cs="SimSun" w:hint="eastAsia"/>
          <w:lang w:val="en-US" w:eastAsia="zh-CN"/>
        </w:rPr>
        <w:t>为此，国际电联秘书处于2</w:t>
      </w:r>
      <w:r>
        <w:rPr>
          <w:rFonts w:ascii="SimSun" w:hAnsi="SimSun" w:cs="SimSun"/>
          <w:lang w:val="en-US" w:eastAsia="zh-CN"/>
        </w:rPr>
        <w:t>022</w:t>
      </w:r>
      <w:r>
        <w:rPr>
          <w:rFonts w:ascii="SimSun" w:hAnsi="SimSun" w:cs="SimSun" w:hint="eastAsia"/>
          <w:lang w:val="en-US" w:eastAsia="zh-CN"/>
        </w:rPr>
        <w:t>年2月8日、1</w:t>
      </w:r>
      <w:r>
        <w:rPr>
          <w:rFonts w:ascii="SimSun" w:hAnsi="SimSun" w:cs="SimSun"/>
          <w:lang w:val="en-US" w:eastAsia="zh-CN"/>
        </w:rPr>
        <w:t>4</w:t>
      </w:r>
      <w:r>
        <w:rPr>
          <w:rFonts w:ascii="SimSun" w:hAnsi="SimSun" w:cs="SimSun" w:hint="eastAsia"/>
          <w:lang w:val="en-US" w:eastAsia="zh-CN"/>
        </w:rPr>
        <w:t>日、1</w:t>
      </w:r>
      <w:r>
        <w:rPr>
          <w:rFonts w:ascii="SimSun" w:hAnsi="SimSun" w:cs="SimSun"/>
          <w:lang w:val="en-US" w:eastAsia="zh-CN"/>
        </w:rPr>
        <w:t>5</w:t>
      </w:r>
      <w:r>
        <w:rPr>
          <w:rFonts w:ascii="SimSun" w:hAnsi="SimSun" w:cs="SimSun" w:hint="eastAsia"/>
          <w:lang w:val="en-US" w:eastAsia="zh-CN"/>
        </w:rPr>
        <w:t>日举行了非正式磋商会，讨论GCA使用导则草案。根据讨论结果，秘书处编辑形成了第</w:t>
      </w:r>
      <w:r>
        <w:rPr>
          <w:rFonts w:ascii="SimSun" w:hAnsi="SimSun" w:cs="SimSun"/>
          <w:lang w:val="en-US" w:eastAsia="zh-CN"/>
        </w:rPr>
        <w:t>32</w:t>
      </w:r>
      <w:r>
        <w:rPr>
          <w:rFonts w:ascii="SimSun" w:hAnsi="SimSun" w:cs="SimSun" w:hint="eastAsia"/>
          <w:lang w:val="en-US" w:eastAsia="zh-CN"/>
        </w:rPr>
        <w:t>号文件（</w:t>
      </w:r>
      <w:r w:rsidRPr="00C63124">
        <w:rPr>
          <w:rFonts w:asciiTheme="minorHAnsi" w:hAnsiTheme="minorHAnsi" w:cstheme="minorHAnsi"/>
          <w:lang w:val="en-US" w:eastAsia="zh-CN"/>
        </w:rPr>
        <w:t>C22/32</w:t>
      </w:r>
      <w:r>
        <w:rPr>
          <w:rFonts w:ascii="SimSun" w:hAnsi="SimSun" w:cs="SimSun" w:hint="eastAsia"/>
          <w:lang w:val="en-US" w:eastAsia="zh-CN"/>
        </w:rPr>
        <w:t>）。</w:t>
      </w:r>
    </w:p>
    <w:p w14:paraId="23E9C574" w14:textId="77777777" w:rsidR="001F792D" w:rsidRDefault="006A7769">
      <w:pPr>
        <w:tabs>
          <w:tab w:val="clear" w:pos="567"/>
          <w:tab w:val="clear" w:pos="1134"/>
          <w:tab w:val="clear" w:pos="1701"/>
          <w:tab w:val="clear" w:pos="2268"/>
          <w:tab w:val="clear" w:pos="2835"/>
          <w:tab w:val="left" w:pos="794"/>
          <w:tab w:val="left" w:pos="1191"/>
          <w:tab w:val="left" w:pos="1588"/>
          <w:tab w:val="left" w:pos="1985"/>
        </w:tabs>
        <w:ind w:firstLineChars="200" w:firstLine="480"/>
        <w:jc w:val="both"/>
        <w:rPr>
          <w:rFonts w:ascii="SimSun" w:hAnsi="SimSun" w:cs="SimSun"/>
          <w:lang w:val="en-US" w:eastAsia="zh-CN"/>
        </w:rPr>
      </w:pPr>
      <w:r>
        <w:rPr>
          <w:rFonts w:ascii="SimSun" w:hAnsi="SimSun" w:cs="SimSun" w:hint="eastAsia"/>
          <w:lang w:val="en-US" w:eastAsia="zh-CN"/>
        </w:rPr>
        <w:t>我们注意到，当前版本的使用导则草案已经顾及到近十年来ICT技术和产业的发展变化，对未来国际电联如何使用《全球网络安全议程》具有指导作用。我们还注意到，在今年2月举行的非正式磋商会上，理事会成员国之间对于草案内容还有一些不同意见，第3</w:t>
      </w:r>
      <w:r>
        <w:rPr>
          <w:rFonts w:ascii="SimSun" w:hAnsi="SimSun" w:cs="SimSun"/>
          <w:lang w:val="en-US" w:eastAsia="zh-CN"/>
        </w:rPr>
        <w:t>2</w:t>
      </w:r>
      <w:r>
        <w:rPr>
          <w:rFonts w:ascii="SimSun" w:hAnsi="SimSun" w:cs="SimSun" w:hint="eastAsia"/>
          <w:lang w:val="en-US" w:eastAsia="zh-CN"/>
        </w:rPr>
        <w:t>号文件还有一些未决内容。</w:t>
      </w:r>
    </w:p>
    <w:p w14:paraId="23E9C576" w14:textId="77777777" w:rsidR="001F792D" w:rsidRDefault="006A7769" w:rsidP="00C63124">
      <w:pPr>
        <w:tabs>
          <w:tab w:val="clear" w:pos="567"/>
          <w:tab w:val="clear" w:pos="1134"/>
          <w:tab w:val="clear" w:pos="1701"/>
          <w:tab w:val="clear" w:pos="2268"/>
          <w:tab w:val="clear" w:pos="2835"/>
          <w:tab w:val="left" w:pos="794"/>
          <w:tab w:val="left" w:pos="1191"/>
          <w:tab w:val="left" w:pos="1588"/>
          <w:tab w:val="left" w:pos="1985"/>
        </w:tabs>
        <w:spacing w:before="360" w:after="120"/>
        <w:jc w:val="both"/>
        <w:rPr>
          <w:rFonts w:ascii="SimSun" w:hAnsi="SimSun" w:cs="SimSun"/>
          <w:b/>
          <w:bCs/>
          <w:lang w:val="en-US" w:eastAsia="zh-CN"/>
        </w:rPr>
      </w:pPr>
      <w:r>
        <w:rPr>
          <w:rFonts w:ascii="SimSun" w:hAnsi="SimSun" w:cs="SimSun" w:hint="eastAsia"/>
          <w:b/>
          <w:bCs/>
          <w:lang w:val="en-US" w:eastAsia="zh-CN"/>
        </w:rPr>
        <w:t>二、建议</w:t>
      </w:r>
    </w:p>
    <w:p w14:paraId="23E9C577" w14:textId="77777777" w:rsidR="001F792D" w:rsidRDefault="006A7769">
      <w:pPr>
        <w:tabs>
          <w:tab w:val="clear" w:pos="567"/>
          <w:tab w:val="clear" w:pos="1134"/>
          <w:tab w:val="clear" w:pos="1701"/>
          <w:tab w:val="clear" w:pos="2268"/>
          <w:tab w:val="clear" w:pos="2835"/>
          <w:tab w:val="left" w:pos="794"/>
          <w:tab w:val="left" w:pos="1191"/>
          <w:tab w:val="left" w:pos="1588"/>
          <w:tab w:val="left" w:pos="1985"/>
        </w:tabs>
        <w:ind w:firstLineChars="200" w:firstLine="480"/>
        <w:jc w:val="both"/>
        <w:rPr>
          <w:rFonts w:ascii="SimSun" w:hAnsi="SimSun" w:cs="SimSun"/>
          <w:lang w:val="en-US" w:eastAsia="zh-CN"/>
        </w:rPr>
      </w:pPr>
      <w:r>
        <w:rPr>
          <w:rFonts w:hint="eastAsia"/>
          <w:lang w:eastAsia="zh-CN"/>
        </w:rPr>
        <w:t>国际电联作为联合国下设专门从事信息通信方面的专门机构，并且作为</w:t>
      </w:r>
      <w:r>
        <w:rPr>
          <w:rFonts w:hint="eastAsia"/>
          <w:lang w:eastAsia="zh-CN"/>
        </w:rPr>
        <w:t>WSIS</w:t>
      </w:r>
      <w:r>
        <w:rPr>
          <w:lang w:eastAsia="zh-CN"/>
        </w:rPr>
        <w:t xml:space="preserve"> </w:t>
      </w:r>
      <w:r>
        <w:rPr>
          <w:rFonts w:hint="eastAsia"/>
          <w:lang w:eastAsia="zh-CN"/>
        </w:rPr>
        <w:t>C5</w:t>
      </w:r>
      <w:r>
        <w:rPr>
          <w:rFonts w:hint="eastAsia"/>
          <w:lang w:eastAsia="zh-CN"/>
        </w:rPr>
        <w:t>行动的推进方，应该在增强使用</w:t>
      </w:r>
      <w:r>
        <w:rPr>
          <w:rFonts w:hint="eastAsia"/>
          <w:lang w:eastAsia="zh-CN"/>
        </w:rPr>
        <w:t>ICT</w:t>
      </w:r>
      <w:r>
        <w:rPr>
          <w:rFonts w:hint="eastAsia"/>
          <w:lang w:eastAsia="zh-CN"/>
        </w:rPr>
        <w:t>技术的信心和安全方面发挥更加重要</w:t>
      </w:r>
      <w:r>
        <w:rPr>
          <w:rFonts w:hint="eastAsia"/>
          <w:lang w:val="en-US" w:eastAsia="zh-CN"/>
        </w:rPr>
        <w:t>的</w:t>
      </w:r>
      <w:r>
        <w:rPr>
          <w:rFonts w:hint="eastAsia"/>
          <w:lang w:eastAsia="zh-CN"/>
        </w:rPr>
        <w:t>作用。考虑到</w:t>
      </w:r>
      <w:r>
        <w:rPr>
          <w:rFonts w:ascii="SimSun" w:hAnsi="SimSun" w:cs="SimSun" w:hint="eastAsia"/>
          <w:lang w:val="en-US" w:eastAsia="zh-CN"/>
        </w:rPr>
        <w:t>《全球网络安全议程》及使用导则对于国际电联开展网络安全方面的工作具有非常重要的指导作用，中方建议：</w:t>
      </w:r>
    </w:p>
    <w:p w14:paraId="23E9C578" w14:textId="77777777" w:rsidR="001F792D" w:rsidRDefault="006A7769">
      <w:pPr>
        <w:numPr>
          <w:ilvl w:val="0"/>
          <w:numId w:val="1"/>
        </w:numPr>
        <w:tabs>
          <w:tab w:val="clear" w:pos="312"/>
          <w:tab w:val="clear" w:pos="567"/>
          <w:tab w:val="clear" w:pos="1134"/>
          <w:tab w:val="clear" w:pos="1701"/>
          <w:tab w:val="clear" w:pos="2268"/>
          <w:tab w:val="clear" w:pos="2835"/>
          <w:tab w:val="left" w:pos="794"/>
          <w:tab w:val="left" w:pos="1191"/>
          <w:tab w:val="left" w:pos="1588"/>
          <w:tab w:val="left" w:pos="1985"/>
        </w:tabs>
        <w:ind w:firstLineChars="200" w:firstLine="480"/>
        <w:jc w:val="both"/>
        <w:rPr>
          <w:rFonts w:ascii="SimSun" w:hAnsi="SimSun" w:cs="SimSun"/>
          <w:lang w:val="en-US" w:eastAsia="zh-CN"/>
        </w:rPr>
      </w:pPr>
      <w:r>
        <w:rPr>
          <w:rFonts w:ascii="SimSun" w:hAnsi="SimSun" w:cs="SimSun" w:hint="eastAsia"/>
          <w:lang w:val="en-US" w:eastAsia="zh-CN"/>
        </w:rPr>
        <w:t>本次理事会通过使用导则，尽快用于指导国际电联的相关工作。</w:t>
      </w:r>
    </w:p>
    <w:p w14:paraId="23E9C579" w14:textId="77777777" w:rsidR="001F792D" w:rsidRDefault="006A7769">
      <w:pPr>
        <w:numPr>
          <w:ilvl w:val="0"/>
          <w:numId w:val="1"/>
        </w:numPr>
        <w:tabs>
          <w:tab w:val="clear" w:pos="312"/>
          <w:tab w:val="clear" w:pos="567"/>
          <w:tab w:val="clear" w:pos="1134"/>
          <w:tab w:val="clear" w:pos="1701"/>
          <w:tab w:val="clear" w:pos="2268"/>
          <w:tab w:val="clear" w:pos="2835"/>
          <w:tab w:val="left" w:pos="794"/>
          <w:tab w:val="left" w:pos="1191"/>
          <w:tab w:val="left" w:pos="1588"/>
          <w:tab w:val="left" w:pos="1985"/>
        </w:tabs>
        <w:ind w:firstLineChars="200" w:firstLine="480"/>
        <w:jc w:val="both"/>
        <w:rPr>
          <w:rFonts w:ascii="SimSun" w:hAnsi="SimSun" w:cs="SimSun"/>
          <w:lang w:val="en-US" w:eastAsia="zh-CN"/>
        </w:rPr>
      </w:pPr>
      <w:r>
        <w:rPr>
          <w:rFonts w:ascii="SimSun" w:hAnsi="SimSun" w:cs="SimSun" w:hint="eastAsia"/>
          <w:lang w:val="en-US" w:eastAsia="zh-CN"/>
        </w:rPr>
        <w:t>考虑到网络技术不断发展，网络安全形势不断变化，建议理事会持续对《网络安全议程》导则进行更新修订。</w:t>
      </w:r>
    </w:p>
    <w:p w14:paraId="5CD911F8" w14:textId="77777777" w:rsidR="00C63124" w:rsidRDefault="00C63124" w:rsidP="00C63124">
      <w:pPr>
        <w:spacing w:before="840"/>
        <w:jc w:val="center"/>
      </w:pPr>
      <w:r>
        <w:t>______________</w:t>
      </w:r>
    </w:p>
    <w:sectPr w:rsidR="00C63124">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C588" w14:textId="77777777" w:rsidR="00115302" w:rsidRDefault="006A7769">
      <w:pPr>
        <w:spacing w:before="0"/>
      </w:pPr>
      <w:r>
        <w:separator/>
      </w:r>
    </w:p>
  </w:endnote>
  <w:endnote w:type="continuationSeparator" w:id="0">
    <w:p w14:paraId="23E9C58A" w14:textId="77777777" w:rsidR="00115302" w:rsidRDefault="006A77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C584" w14:textId="5283E0B6" w:rsidR="001F792D" w:rsidRDefault="006A7769">
    <w:pPr>
      <w:pStyle w:val="Footer"/>
    </w:pPr>
    <w:r w:rsidRPr="00C63124">
      <w:rPr>
        <w:color w:val="F2F2F2" w:themeColor="background1" w:themeShade="F2"/>
      </w:rPr>
      <w:fldChar w:fldCharType="begin"/>
    </w:r>
    <w:r w:rsidRPr="00C63124">
      <w:rPr>
        <w:color w:val="F2F2F2" w:themeColor="background1" w:themeShade="F2"/>
      </w:rPr>
      <w:instrText xml:space="preserve"> FILENAME \p  \* MERGEFORMAT </w:instrText>
    </w:r>
    <w:r w:rsidRPr="00C63124">
      <w:rPr>
        <w:color w:val="F2F2F2" w:themeColor="background1" w:themeShade="F2"/>
      </w:rPr>
      <w:fldChar w:fldCharType="separate"/>
    </w:r>
    <w:r w:rsidRPr="00C63124">
      <w:rPr>
        <w:color w:val="F2F2F2" w:themeColor="background1" w:themeShade="F2"/>
      </w:rPr>
      <w:t>Document1</w:t>
    </w:r>
    <w:r w:rsidRPr="00C63124">
      <w:rPr>
        <w:color w:val="F2F2F2" w:themeColor="background1" w:themeShade="F2"/>
      </w:rPr>
      <w:fldChar w:fldCharType="end"/>
    </w:r>
    <w:r w:rsidRPr="00C63124">
      <w:rPr>
        <w:color w:val="F2F2F2" w:themeColor="background1" w:themeShade="F2"/>
      </w:rPr>
      <w:tab/>
    </w:r>
    <w:r w:rsidRPr="00C63124">
      <w:rPr>
        <w:color w:val="F2F2F2" w:themeColor="background1" w:themeShade="F2"/>
      </w:rPr>
      <w:fldChar w:fldCharType="begin"/>
    </w:r>
    <w:r w:rsidRPr="00C63124">
      <w:rPr>
        <w:color w:val="F2F2F2" w:themeColor="background1" w:themeShade="F2"/>
      </w:rPr>
      <w:instrText xml:space="preserve"> SAVEDATE \@ DD.MM.YY </w:instrText>
    </w:r>
    <w:r w:rsidRPr="00C63124">
      <w:rPr>
        <w:color w:val="F2F2F2" w:themeColor="background1" w:themeShade="F2"/>
      </w:rPr>
      <w:fldChar w:fldCharType="separate"/>
    </w:r>
    <w:r w:rsidR="00CE0F0F">
      <w:rPr>
        <w:noProof/>
        <w:color w:val="F2F2F2" w:themeColor="background1" w:themeShade="F2"/>
      </w:rPr>
      <w:t>07.03.22</w:t>
    </w:r>
    <w:r w:rsidRPr="00C63124">
      <w:rPr>
        <w:color w:val="F2F2F2" w:themeColor="background1" w:themeShade="F2"/>
      </w:rPr>
      <w:fldChar w:fldCharType="end"/>
    </w:r>
    <w:r w:rsidRPr="00C63124">
      <w:rPr>
        <w:color w:val="F2F2F2" w:themeColor="background1" w:themeShade="F2"/>
      </w:rPr>
      <w:tab/>
    </w:r>
    <w:r w:rsidRPr="00C63124">
      <w:rPr>
        <w:color w:val="F2F2F2" w:themeColor="background1" w:themeShade="F2"/>
      </w:rPr>
      <w:fldChar w:fldCharType="begin"/>
    </w:r>
    <w:r w:rsidRPr="00C63124">
      <w:rPr>
        <w:color w:val="F2F2F2" w:themeColor="background1" w:themeShade="F2"/>
      </w:rPr>
      <w:instrText xml:space="preserve"> PRINTDATE \@ DD.MM.YY </w:instrText>
    </w:r>
    <w:r w:rsidRPr="00C63124">
      <w:rPr>
        <w:color w:val="F2F2F2" w:themeColor="background1" w:themeShade="F2"/>
      </w:rPr>
      <w:fldChar w:fldCharType="separate"/>
    </w:r>
    <w:r w:rsidRPr="00C63124">
      <w:rPr>
        <w:color w:val="F2F2F2" w:themeColor="background1" w:themeShade="F2"/>
      </w:rPr>
      <w:t>18.07.00</w:t>
    </w:r>
    <w:r w:rsidRPr="00C63124">
      <w:rPr>
        <w:color w:val="F2F2F2" w:themeColor="background1" w:themeShade="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C585" w14:textId="77777777" w:rsidR="001F792D" w:rsidRDefault="006A7769">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C580" w14:textId="77777777" w:rsidR="001F792D" w:rsidRDefault="006A7769">
      <w:pPr>
        <w:spacing w:before="0"/>
      </w:pPr>
      <w:r>
        <w:separator/>
      </w:r>
    </w:p>
  </w:footnote>
  <w:footnote w:type="continuationSeparator" w:id="0">
    <w:p w14:paraId="23E9C581" w14:textId="77777777" w:rsidR="001F792D" w:rsidRDefault="006A77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C582" w14:textId="77777777" w:rsidR="001F792D" w:rsidRDefault="006A7769">
    <w:pPr>
      <w:pStyle w:val="Header"/>
    </w:pPr>
    <w:r>
      <w:fldChar w:fldCharType="begin"/>
    </w:r>
    <w:r>
      <w:instrText>PAGE</w:instrText>
    </w:r>
    <w:r>
      <w:fldChar w:fldCharType="separate"/>
    </w:r>
    <w:r>
      <w:t>2</w:t>
    </w:r>
    <w:r>
      <w:fldChar w:fldCharType="end"/>
    </w:r>
  </w:p>
  <w:p w14:paraId="23E9C583" w14:textId="087C0C2B" w:rsidR="001F792D" w:rsidRDefault="006A7769">
    <w:pPr>
      <w:pStyle w:val="Header"/>
      <w:rPr>
        <w:bCs/>
      </w:rPr>
    </w:pPr>
    <w:r>
      <w:rPr>
        <w:bCs/>
      </w:rPr>
      <w:t>C22/</w:t>
    </w:r>
    <w:r w:rsidR="00C20C6E">
      <w:rPr>
        <w:rFonts w:hint="eastAsia"/>
        <w:bCs/>
        <w:lang w:eastAsia="zh-CN"/>
      </w:rPr>
      <w:t>71</w:t>
    </w:r>
    <w:r>
      <w:rPr>
        <w:bCs/>
      </w:rPr>
      <w:t>-</w:t>
    </w:r>
    <w:r w:rsidR="00C20C6E">
      <w:rPr>
        <w:bCs/>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6FBF95"/>
    <w:multiLevelType w:val="singleLevel"/>
    <w:tmpl w:val="D56FBF95"/>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4F"/>
    <w:rsid w:val="000210D4"/>
    <w:rsid w:val="00063016"/>
    <w:rsid w:val="00066795"/>
    <w:rsid w:val="00076AF6"/>
    <w:rsid w:val="00085CF2"/>
    <w:rsid w:val="000B1705"/>
    <w:rsid w:val="000D75B2"/>
    <w:rsid w:val="001121F5"/>
    <w:rsid w:val="00115302"/>
    <w:rsid w:val="001400DC"/>
    <w:rsid w:val="00140CE1"/>
    <w:rsid w:val="0014634F"/>
    <w:rsid w:val="0017539C"/>
    <w:rsid w:val="00175AC2"/>
    <w:rsid w:val="0017609F"/>
    <w:rsid w:val="001B0F99"/>
    <w:rsid w:val="001C628E"/>
    <w:rsid w:val="001E0F7B"/>
    <w:rsid w:val="001F792D"/>
    <w:rsid w:val="002119FD"/>
    <w:rsid w:val="002130E0"/>
    <w:rsid w:val="00264425"/>
    <w:rsid w:val="00265875"/>
    <w:rsid w:val="0027303B"/>
    <w:rsid w:val="0028109B"/>
    <w:rsid w:val="002A2188"/>
    <w:rsid w:val="002B1F58"/>
    <w:rsid w:val="002C1C7A"/>
    <w:rsid w:val="0030160F"/>
    <w:rsid w:val="00320223"/>
    <w:rsid w:val="00322D0D"/>
    <w:rsid w:val="003942D4"/>
    <w:rsid w:val="003958A8"/>
    <w:rsid w:val="003C2533"/>
    <w:rsid w:val="0040435A"/>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64FBC"/>
    <w:rsid w:val="00582442"/>
    <w:rsid w:val="005F3269"/>
    <w:rsid w:val="00623AE3"/>
    <w:rsid w:val="0064737F"/>
    <w:rsid w:val="006535F1"/>
    <w:rsid w:val="0065557D"/>
    <w:rsid w:val="00662984"/>
    <w:rsid w:val="006716BB"/>
    <w:rsid w:val="006A7769"/>
    <w:rsid w:val="006B6680"/>
    <w:rsid w:val="006B6DCC"/>
    <w:rsid w:val="006F0126"/>
    <w:rsid w:val="00702DEF"/>
    <w:rsid w:val="00706861"/>
    <w:rsid w:val="0075051B"/>
    <w:rsid w:val="007708DB"/>
    <w:rsid w:val="00793188"/>
    <w:rsid w:val="00794D34"/>
    <w:rsid w:val="00813E5E"/>
    <w:rsid w:val="0083581B"/>
    <w:rsid w:val="00864AFF"/>
    <w:rsid w:val="00872F78"/>
    <w:rsid w:val="008B4A6A"/>
    <w:rsid w:val="008C7E27"/>
    <w:rsid w:val="009173EF"/>
    <w:rsid w:val="00932906"/>
    <w:rsid w:val="00961B0B"/>
    <w:rsid w:val="009B38C3"/>
    <w:rsid w:val="009B7945"/>
    <w:rsid w:val="009E17BD"/>
    <w:rsid w:val="009E485A"/>
    <w:rsid w:val="00A04CEC"/>
    <w:rsid w:val="00A27F92"/>
    <w:rsid w:val="00A32257"/>
    <w:rsid w:val="00A36D20"/>
    <w:rsid w:val="00A55622"/>
    <w:rsid w:val="00A83502"/>
    <w:rsid w:val="00AD15B3"/>
    <w:rsid w:val="00AF6E49"/>
    <w:rsid w:val="00B0250B"/>
    <w:rsid w:val="00B04A67"/>
    <w:rsid w:val="00B0583C"/>
    <w:rsid w:val="00B40A81"/>
    <w:rsid w:val="00B44910"/>
    <w:rsid w:val="00B72267"/>
    <w:rsid w:val="00B76EB6"/>
    <w:rsid w:val="00B7737B"/>
    <w:rsid w:val="00B824C8"/>
    <w:rsid w:val="00B84B9D"/>
    <w:rsid w:val="00BC251A"/>
    <w:rsid w:val="00BD032B"/>
    <w:rsid w:val="00BE2640"/>
    <w:rsid w:val="00C01189"/>
    <w:rsid w:val="00C20C6E"/>
    <w:rsid w:val="00C374DE"/>
    <w:rsid w:val="00C47AD4"/>
    <w:rsid w:val="00C52D81"/>
    <w:rsid w:val="00C55198"/>
    <w:rsid w:val="00C63124"/>
    <w:rsid w:val="00CA6393"/>
    <w:rsid w:val="00CB18FF"/>
    <w:rsid w:val="00CD0C08"/>
    <w:rsid w:val="00CE03FB"/>
    <w:rsid w:val="00CE0F0F"/>
    <w:rsid w:val="00CE433C"/>
    <w:rsid w:val="00CF33F3"/>
    <w:rsid w:val="00D06183"/>
    <w:rsid w:val="00D22C42"/>
    <w:rsid w:val="00D65041"/>
    <w:rsid w:val="00DB2624"/>
    <w:rsid w:val="00DB384B"/>
    <w:rsid w:val="00E10E80"/>
    <w:rsid w:val="00E124F0"/>
    <w:rsid w:val="00E60F04"/>
    <w:rsid w:val="00E854E4"/>
    <w:rsid w:val="00EB0D6F"/>
    <w:rsid w:val="00EB2232"/>
    <w:rsid w:val="00EC5337"/>
    <w:rsid w:val="00F2150A"/>
    <w:rsid w:val="00F231D8"/>
    <w:rsid w:val="00F46C5F"/>
    <w:rsid w:val="00F94A63"/>
    <w:rsid w:val="00FA1C28"/>
    <w:rsid w:val="00FB1279"/>
    <w:rsid w:val="00FB7596"/>
    <w:rsid w:val="00FB788F"/>
    <w:rsid w:val="00FE4077"/>
    <w:rsid w:val="00FE77D2"/>
    <w:rsid w:val="05ED0B0E"/>
    <w:rsid w:val="1C2608C8"/>
    <w:rsid w:val="36BF34B6"/>
    <w:rsid w:val="38C1348E"/>
    <w:rsid w:val="3D347E66"/>
    <w:rsid w:val="3FDD2A8F"/>
    <w:rsid w:val="4F425970"/>
    <w:rsid w:val="573928D4"/>
    <w:rsid w:val="5F7B0E8D"/>
    <w:rsid w:val="683472CB"/>
    <w:rsid w:val="69916CEF"/>
    <w:rsid w:val="6D8F3840"/>
    <w:rsid w:val="7BD209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9C551"/>
  <w15:docId w15:val="{05F42C36-89B6-4943-B9F5-337B4E80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EastAsia"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5" w:qFormat="1"/>
    <w:lsdException w:name="index 6" w:qFormat="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unhideWhenUsed="1"/>
    <w:lsdException w:name="head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3">
    <w:name w:val="index 3"/>
    <w:basedOn w:val="Normal"/>
    <w:next w:val="Normal"/>
    <w:qFormat/>
    <w:pPr>
      <w:ind w:left="566"/>
    </w:pPr>
  </w:style>
  <w:style w:type="paragraph" w:styleId="Footer">
    <w:name w:val="footer"/>
    <w:basedOn w:val="Normal"/>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qFormat/>
    <w:pPr>
      <w:tabs>
        <w:tab w:val="clear" w:pos="567"/>
        <w:tab w:val="clear" w:pos="1134"/>
        <w:tab w:val="clear" w:pos="1701"/>
        <w:tab w:val="clear" w:pos="2268"/>
        <w:tab w:val="clear" w:pos="2835"/>
      </w:tabs>
      <w:spacing w:before="0"/>
      <w:jc w:val="center"/>
    </w:pPr>
    <w:rPr>
      <w:sz w:val="18"/>
    </w:rPr>
  </w:style>
  <w:style w:type="paragraph" w:styleId="TOC1">
    <w:name w:val="toc 1"/>
    <w:basedOn w:val="Normal"/>
    <w:next w:val="Normal"/>
    <w:qFormat/>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 w:val="left" w:pos="964"/>
        <w:tab w:val="left" w:pos="8789"/>
        <w:tab w:val="right" w:pos="9639"/>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pPr>
      <w:tabs>
        <w:tab w:val="left" w:pos="2127"/>
      </w:tabs>
      <w:ind w:left="2127" w:hanging="2127"/>
    </w:pPr>
  </w:style>
  <w:style w:type="paragraph" w:styleId="FootnoteText">
    <w:name w:val="footnote text"/>
    <w:basedOn w:val="Normal"/>
    <w:qFormat/>
    <w:pPr>
      <w:keepLines/>
      <w:tabs>
        <w:tab w:val="left" w:pos="256"/>
      </w:tabs>
      <w:ind w:left="256" w:hanging="256"/>
    </w:pPr>
  </w:style>
  <w:style w:type="paragraph" w:styleId="TOC6">
    <w:name w:val="toc 6"/>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pPr>
      <w:ind w:left="1698"/>
    </w:pPr>
  </w:style>
  <w:style w:type="paragraph" w:styleId="TOC2">
    <w:name w:val="toc 2"/>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9">
    <w:name w:val="toc 9"/>
    <w:basedOn w:val="TOC4"/>
    <w:next w:val="Normal"/>
    <w:qFormat/>
  </w:style>
  <w:style w:type="paragraph" w:styleId="Index2">
    <w:name w:val="index 2"/>
    <w:basedOn w:val="Normal"/>
    <w:next w:val="Normal"/>
    <w:pPr>
      <w:ind w:left="283"/>
    </w:pPr>
  </w:style>
  <w:style w:type="character" w:styleId="PageNumber">
    <w:name w:val="page number"/>
    <w:basedOn w:val="DefaultParagraphFont"/>
    <w:rPr>
      <w:rFonts w:ascii="Calibri" w:hAnsi="Calibri"/>
    </w:rPr>
  </w:style>
  <w:style w:type="character" w:styleId="FollowedHyperlink">
    <w:name w:val="FollowedHyperlink"/>
    <w:basedOn w:val="DefaultParagraphFont"/>
    <w:qFormat/>
    <w:rPr>
      <w:color w:val="800080"/>
      <w:u w:val="single"/>
    </w:rPr>
  </w:style>
  <w:style w:type="character" w:styleId="LineNumber">
    <w:name w:val="line number"/>
    <w:basedOn w:val="DefaultParagraphFont"/>
    <w:qFormat/>
  </w:style>
  <w:style w:type="character" w:styleId="Hyperlink">
    <w:name w:val="Hyperlink"/>
    <w:basedOn w:val="DefaultParagraphFont"/>
    <w:qFormat/>
    <w:rPr>
      <w:color w:val="0000FF"/>
      <w:u w:val="single"/>
    </w:rPr>
  </w:style>
  <w:style w:type="character" w:styleId="FootnoteReference">
    <w:name w:val="footnote reference"/>
    <w:basedOn w:val="DefaultParagraphFont"/>
    <w:rPr>
      <w:rFonts w:ascii="Calibri" w:hAnsi="Calibri"/>
      <w:position w:val="6"/>
      <w:sz w:val="16"/>
    </w:rPr>
  </w:style>
  <w:style w:type="paragraph" w:customStyle="1" w:styleId="enumlev1">
    <w:name w:val="enumlev1"/>
    <w:basedOn w:val="Normal"/>
    <w:qFormat/>
    <w:pPr>
      <w:spacing w:before="86"/>
      <w:ind w:left="567" w:hanging="567"/>
    </w:pPr>
  </w:style>
  <w:style w:type="paragraph" w:customStyle="1" w:styleId="enumlev2">
    <w:name w:val="enumlev2"/>
    <w:basedOn w:val="enumlev1"/>
    <w:pPr>
      <w:ind w:left="1134"/>
    </w:pPr>
  </w:style>
  <w:style w:type="paragraph" w:customStyle="1" w:styleId="enumlev3">
    <w:name w:val="enumlev3"/>
    <w:basedOn w:val="enumlev2"/>
    <w:pPr>
      <w:ind w:left="1701"/>
    </w:pPr>
  </w:style>
  <w:style w:type="paragraph" w:customStyle="1" w:styleId="Normalaftertitle">
    <w:name w:val="Normal after title"/>
    <w:basedOn w:val="Normal"/>
    <w:next w:val="Normal"/>
    <w:pPr>
      <w:spacing w:before="240"/>
    </w:pPr>
  </w:style>
  <w:style w:type="paragraph" w:customStyle="1" w:styleId="Equation">
    <w:name w:val="Equation"/>
    <w:basedOn w:val="Normal"/>
    <w:pPr>
      <w:tabs>
        <w:tab w:val="center" w:pos="4820"/>
        <w:tab w:val="right" w:pos="9639"/>
      </w:tabs>
    </w:p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qFormat/>
    <w:pPr>
      <w:spacing w:before="840"/>
      <w:jc w:val="center"/>
    </w:pPr>
    <w:rPr>
      <w:b/>
      <w:sz w:val="28"/>
    </w:rPr>
  </w:style>
  <w:style w:type="paragraph" w:customStyle="1" w:styleId="Title1">
    <w:name w:val="Title 1"/>
    <w:basedOn w:val="Source"/>
    <w:next w:val="Title2"/>
    <w:qFormat/>
    <w:pPr>
      <w:spacing w:before="240"/>
    </w:pPr>
    <w:rPr>
      <w:b w:val="0"/>
      <w:caps/>
    </w:rPr>
  </w:style>
  <w:style w:type="paragraph" w:customStyle="1" w:styleId="Title2">
    <w:name w:val="Title 2"/>
    <w:basedOn w:val="Source"/>
    <w:next w:val="Title3"/>
    <w:qFormat/>
    <w:pPr>
      <w:spacing w:before="240"/>
    </w:pPr>
    <w:rPr>
      <w:b w:val="0"/>
      <w:caps/>
    </w:rPr>
  </w:style>
  <w:style w:type="paragraph" w:customStyle="1" w:styleId="Title3">
    <w:name w:val="Title 3"/>
    <w:basedOn w:val="Title2"/>
    <w:next w:val="Normalaftertitle"/>
    <w:qFormat/>
    <w:rPr>
      <w:caps w:val="0"/>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Reasons">
    <w:name w:val="Reasons"/>
    <w:basedOn w:val="Normal"/>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 w:val="left" w:pos="851"/>
      </w:tabs>
    </w:pPr>
  </w:style>
  <w:style w:type="paragraph" w:customStyle="1" w:styleId="Headingb">
    <w:name w:val="Heading_b"/>
    <w:basedOn w:val="Heading3"/>
    <w:next w:val="Normal"/>
    <w:qFormat/>
    <w:pPr>
      <w:spacing w:before="160"/>
      <w:outlineLvl w:val="0"/>
    </w:pPr>
  </w:style>
  <w:style w:type="paragraph" w:customStyle="1" w:styleId="Title4">
    <w:name w:val="Title 4"/>
    <w:basedOn w:val="Title3"/>
    <w:next w:val="Heading1"/>
    <w:qFormat/>
    <w:rPr>
      <w:b/>
    </w:r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qFormat/>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pPr>
      <w:keepNext/>
      <w:keepLine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outlineLvl w:val="0"/>
    </w:pPr>
    <w:rPr>
      <w:rFonts w:asciiTheme="minorHAnsi" w:hAnsiTheme="minorHAnsi"/>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pdate">
    <w:name w:val="Rep_date"/>
    <w:basedOn w:val="Recdate"/>
    <w:next w:val="Normalaftertitle"/>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
    <w:qFormat/>
  </w:style>
  <w:style w:type="paragraph" w:customStyle="1" w:styleId="ResNo">
    <w:name w:val="Res_No"/>
    <w:basedOn w:val="AnnexNo"/>
    <w:next w:val="Restitle"/>
    <w:qFormat/>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SpecialFooter">
    <w:name w:val="Special Footer"/>
    <w:basedOn w:val="Footer"/>
    <w:qFormat/>
    <w:pPr>
      <w:tabs>
        <w:tab w:val="left" w:pos="567"/>
        <w:tab w:val="left" w:pos="1134"/>
        <w:tab w:val="left" w:pos="1701"/>
        <w:tab w:val="left" w:pos="2268"/>
        <w:tab w:val="left" w:pos="2835"/>
      </w:tabs>
      <w:jc w:val="both"/>
    </w:pPr>
    <w:rPr>
      <w:caps w:val="0"/>
    </w:rPr>
  </w:style>
  <w:style w:type="paragraph" w:customStyle="1" w:styleId="Tablehead">
    <w:name w:val="Table_head"/>
    <w:basedOn w:val="Tabletex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paragraph" w:customStyle="1" w:styleId="Table">
    <w:name w:val="Table_#"/>
    <w:basedOn w:val="Normal"/>
    <w:next w:val="Normal"/>
    <w:qFormat/>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D62533F719A46A77FEA7F877DDC05" ma:contentTypeVersion="1" ma:contentTypeDescription="Create a new document." ma:contentTypeScope="" ma:versionID="4c4cf562cdca957db4870c843bbe90f6">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49DE5-9772-4FE0-8C4E-19EB42960256}">
  <ds:schemaRefs>
    <ds:schemaRef ds:uri="http://www.w3.org/XML/1998/namespace"/>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D7B07AE3-02AB-4F05-8738-DFD1B45844C6}">
  <ds:schemaRefs/>
</ds:datastoreItem>
</file>

<file path=customXml/itemProps4.xml><?xml version="1.0" encoding="utf-8"?>
<ds:datastoreItem xmlns:ds="http://schemas.openxmlformats.org/officeDocument/2006/customXml" ds:itemID="{755B4D69-1D32-4801-A8AA-8CA23BC50EC3}">
  <ds:schemaRefs/>
</ds:datastoreItem>
</file>

<file path=customXml/itemProps5.xml><?xml version="1.0" encoding="utf-8"?>
<ds:datastoreItem xmlns:ds="http://schemas.openxmlformats.org/officeDocument/2006/customXml" ds:itemID="{CF6DB4D6-8A2B-4254-82D9-06A62EC145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138</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Council 2022</vt:lpstr>
    </vt:vector>
  </TitlesOfParts>
  <Manager>General Secretariat - Pool</Manager>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Proposal on developing the Guidelines for the utilization of the Global Cybersecurity Agenda (GCA) by ITU</dc:title>
  <dc:subject>Council 2022</dc:subject>
  <dc:creator>Brouard, Ricarda</dc:creator>
  <cp:keywords>C2022, C22, Council-22</cp:keywords>
  <cp:lastModifiedBy>Xue, Kun</cp:lastModifiedBy>
  <cp:revision>3</cp:revision>
  <cp:lastPrinted>2000-07-18T13:30:00Z</cp:lastPrinted>
  <dcterms:created xsi:type="dcterms:W3CDTF">2022-03-07T09:40:00Z</dcterms:created>
  <dcterms:modified xsi:type="dcterms:W3CDTF">2022-03-07T10:00:00Z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0x01010038CD62533F719A46A77FEA7F877DDC05</vt:lpwstr>
  </property>
  <property fmtid="{D5CDD505-2E9C-101B-9397-08002B2CF9AE}" pid="9" name="KSOProductBuildVer">
    <vt:lpwstr>2052-11.1.0.11365</vt:lpwstr>
  </property>
  <property fmtid="{D5CDD505-2E9C-101B-9397-08002B2CF9AE}" pid="10" name="ICV">
    <vt:lpwstr>39FDF97B7C4A4E73A1851AB23B68B7DA</vt:lpwstr>
  </property>
</Properties>
</file>