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413F58" w14:paraId="218B18CA" w14:textId="77777777">
        <w:trPr>
          <w:cantSplit/>
        </w:trPr>
        <w:tc>
          <w:tcPr>
            <w:tcW w:w="6911" w:type="dxa"/>
          </w:tcPr>
          <w:p w14:paraId="218B18C8" w14:textId="74538F45" w:rsidR="00413F58" w:rsidRDefault="00A00BB1">
            <w:pPr>
              <w:spacing w:before="360" w:after="48"/>
              <w:rPr>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2022</w:t>
            </w:r>
            <w:r>
              <w:rPr>
                <w:rFonts w:ascii="SimSun" w:hAnsi="SimSun" w:hint="eastAsia"/>
                <w:b/>
                <w:bCs/>
                <w:sz w:val="30"/>
                <w:szCs w:val="30"/>
                <w:lang w:val="en-US" w:eastAsia="zh-CN"/>
              </w:rPr>
              <w:t>年会议</w:t>
            </w:r>
            <w:r>
              <w:rPr>
                <w:rFonts w:ascii="Arial" w:hAnsi="Arial" w:cs="Arial"/>
                <w:b/>
                <w:bCs/>
                <w:szCs w:val="24"/>
                <w:lang w:val="en-US" w:eastAsia="zh-CN"/>
              </w:rPr>
              <w:br/>
            </w:r>
            <w:r>
              <w:rPr>
                <w:b/>
                <w:bCs/>
                <w:color w:val="000000"/>
                <w:sz w:val="22"/>
                <w:szCs w:val="22"/>
                <w:lang w:eastAsia="zh-CN"/>
              </w:rPr>
              <w:t>2022</w:t>
            </w:r>
            <w:r>
              <w:rPr>
                <w:rFonts w:hint="eastAsia"/>
                <w:b/>
                <w:bCs/>
                <w:color w:val="000000"/>
                <w:sz w:val="22"/>
                <w:szCs w:val="22"/>
                <w:lang w:eastAsia="zh-CN"/>
              </w:rPr>
              <w:t>年</w:t>
            </w:r>
            <w:r>
              <w:rPr>
                <w:b/>
                <w:bCs/>
                <w:color w:val="000000"/>
                <w:sz w:val="22"/>
                <w:szCs w:val="22"/>
                <w:lang w:eastAsia="zh-CN"/>
              </w:rPr>
              <w:t>3</w:t>
            </w:r>
            <w:r>
              <w:rPr>
                <w:rFonts w:hint="eastAsia"/>
                <w:b/>
                <w:bCs/>
                <w:color w:val="000000"/>
                <w:sz w:val="22"/>
                <w:szCs w:val="22"/>
                <w:lang w:eastAsia="zh-CN"/>
              </w:rPr>
              <w:t>月</w:t>
            </w:r>
            <w:r>
              <w:rPr>
                <w:b/>
                <w:bCs/>
                <w:color w:val="000000"/>
                <w:sz w:val="22"/>
                <w:szCs w:val="22"/>
                <w:lang w:eastAsia="zh-CN"/>
              </w:rPr>
              <w:t>21-31</w:t>
            </w:r>
            <w:r>
              <w:rPr>
                <w:rFonts w:hint="eastAsia"/>
                <w:b/>
                <w:bCs/>
                <w:color w:val="000000"/>
                <w:sz w:val="22"/>
                <w:szCs w:val="22"/>
                <w:lang w:eastAsia="zh-CN"/>
              </w:rPr>
              <w:t>日</w:t>
            </w:r>
            <w:bookmarkStart w:id="0" w:name="_Hlk53061815"/>
            <w:r>
              <w:rPr>
                <w:rFonts w:ascii="SimSun" w:hAnsi="SimSun" w:cs="SimSun" w:hint="eastAsia"/>
                <w:b/>
                <w:bCs/>
                <w:smallCaps/>
                <w:sz w:val="22"/>
                <w:szCs w:val="22"/>
                <w:lang w:eastAsia="zh-CN"/>
              </w:rPr>
              <w:t>，</w:t>
            </w:r>
            <w:bookmarkEnd w:id="0"/>
            <w:r>
              <w:rPr>
                <w:rFonts w:hint="eastAsia"/>
                <w:b/>
                <w:bCs/>
                <w:color w:val="000000"/>
                <w:sz w:val="22"/>
                <w:szCs w:val="22"/>
                <w:lang w:eastAsia="zh-CN"/>
              </w:rPr>
              <w:t>日内瓦</w:t>
            </w:r>
          </w:p>
        </w:tc>
        <w:tc>
          <w:tcPr>
            <w:tcW w:w="3120" w:type="dxa"/>
          </w:tcPr>
          <w:p w14:paraId="218B18C9" w14:textId="77777777" w:rsidR="00413F58" w:rsidRDefault="00F02829">
            <w:pPr>
              <w:spacing w:before="0"/>
            </w:pPr>
            <w:bookmarkStart w:id="1" w:name="ditulogo"/>
            <w:bookmarkEnd w:id="1"/>
            <w:r>
              <w:rPr>
                <w:noProof/>
                <w:lang w:val="en-US" w:eastAsia="zh-CN"/>
              </w:rPr>
              <w:drawing>
                <wp:inline distT="0" distB="0" distL="0" distR="0" wp14:anchorId="218B18FA" wp14:editId="218B18FB">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13F58" w14:paraId="218B18CD" w14:textId="77777777">
        <w:trPr>
          <w:cantSplit/>
        </w:trPr>
        <w:tc>
          <w:tcPr>
            <w:tcW w:w="6911" w:type="dxa"/>
            <w:tcBorders>
              <w:bottom w:val="single" w:sz="12" w:space="0" w:color="auto"/>
            </w:tcBorders>
          </w:tcPr>
          <w:p w14:paraId="218B18CB" w14:textId="77777777" w:rsidR="00413F58" w:rsidRDefault="00413F58">
            <w:pPr>
              <w:spacing w:before="0"/>
              <w:rPr>
                <w:b/>
                <w:smallCaps/>
                <w:szCs w:val="24"/>
              </w:rPr>
            </w:pPr>
          </w:p>
        </w:tc>
        <w:tc>
          <w:tcPr>
            <w:tcW w:w="3120" w:type="dxa"/>
            <w:tcBorders>
              <w:bottom w:val="single" w:sz="12" w:space="0" w:color="auto"/>
            </w:tcBorders>
          </w:tcPr>
          <w:p w14:paraId="218B18CC" w14:textId="77777777" w:rsidR="00413F58" w:rsidRDefault="00413F58">
            <w:pPr>
              <w:spacing w:before="0"/>
              <w:rPr>
                <w:szCs w:val="24"/>
              </w:rPr>
            </w:pPr>
          </w:p>
        </w:tc>
      </w:tr>
      <w:tr w:rsidR="00413F58" w14:paraId="218B18D0" w14:textId="77777777">
        <w:trPr>
          <w:cantSplit/>
        </w:trPr>
        <w:tc>
          <w:tcPr>
            <w:tcW w:w="6911" w:type="dxa"/>
            <w:tcBorders>
              <w:top w:val="single" w:sz="12" w:space="0" w:color="auto"/>
            </w:tcBorders>
          </w:tcPr>
          <w:p w14:paraId="218B18CE" w14:textId="77777777" w:rsidR="00413F58" w:rsidRDefault="00413F58">
            <w:pPr>
              <w:spacing w:before="0"/>
              <w:rPr>
                <w:b/>
                <w:smallCaps/>
                <w:szCs w:val="24"/>
              </w:rPr>
            </w:pPr>
          </w:p>
        </w:tc>
        <w:tc>
          <w:tcPr>
            <w:tcW w:w="3120" w:type="dxa"/>
            <w:tcBorders>
              <w:top w:val="single" w:sz="12" w:space="0" w:color="auto"/>
            </w:tcBorders>
          </w:tcPr>
          <w:p w14:paraId="218B18CF" w14:textId="77777777" w:rsidR="00413F58" w:rsidRDefault="00413F58">
            <w:pPr>
              <w:spacing w:before="0"/>
              <w:rPr>
                <w:szCs w:val="24"/>
              </w:rPr>
            </w:pPr>
          </w:p>
        </w:tc>
      </w:tr>
      <w:tr w:rsidR="0053074E" w14:paraId="79789776" w14:textId="77777777">
        <w:trPr>
          <w:cantSplit/>
          <w:trHeight w:val="23"/>
        </w:trPr>
        <w:tc>
          <w:tcPr>
            <w:tcW w:w="6911" w:type="dxa"/>
            <w:vMerge w:val="restart"/>
          </w:tcPr>
          <w:p w14:paraId="7CDCB268" w14:textId="487AA9FF" w:rsidR="0053074E" w:rsidRDefault="0053074E" w:rsidP="0053074E">
            <w:pPr>
              <w:tabs>
                <w:tab w:val="left" w:pos="851"/>
              </w:tabs>
              <w:spacing w:before="0"/>
              <w:rPr>
                <w:b/>
                <w:lang w:val="en-US" w:eastAsia="zh-CN"/>
              </w:rPr>
            </w:pPr>
            <w:bookmarkStart w:id="2" w:name="dnum" w:colFirst="1" w:colLast="1"/>
            <w:bookmarkStart w:id="3" w:name="dmeeting" w:colFirst="0" w:colLast="0"/>
            <w:r>
              <w:rPr>
                <w:rFonts w:hint="eastAsia"/>
                <w:b/>
                <w:lang w:eastAsia="zh-CN"/>
              </w:rPr>
              <w:t>议项：</w:t>
            </w:r>
            <w:r>
              <w:rPr>
                <w:rFonts w:hint="eastAsia"/>
                <w:b/>
                <w:lang w:val="en-US" w:eastAsia="zh-CN"/>
              </w:rPr>
              <w:t>ADM 18</w:t>
            </w:r>
          </w:p>
        </w:tc>
        <w:tc>
          <w:tcPr>
            <w:tcW w:w="3120" w:type="dxa"/>
          </w:tcPr>
          <w:p w14:paraId="39B54082" w14:textId="7F6E88F0" w:rsidR="0053074E" w:rsidRDefault="0053074E" w:rsidP="0053074E">
            <w:pPr>
              <w:tabs>
                <w:tab w:val="left" w:pos="851"/>
              </w:tabs>
              <w:spacing w:before="0"/>
              <w:rPr>
                <w:b/>
              </w:rPr>
            </w:pPr>
            <w:r>
              <w:rPr>
                <w:rFonts w:hint="eastAsia"/>
                <w:b/>
                <w:bCs/>
                <w:szCs w:val="24"/>
                <w:lang w:val="fr-CH" w:eastAsia="zh-CN"/>
              </w:rPr>
              <w:t>文件</w:t>
            </w:r>
            <w:r>
              <w:rPr>
                <w:b/>
                <w:bCs/>
                <w:sz w:val="20"/>
                <w:lang w:eastAsia="zh-CN"/>
              </w:rPr>
              <w:t xml:space="preserve"> </w:t>
            </w:r>
            <w:r>
              <w:rPr>
                <w:b/>
                <w:bCs/>
                <w:szCs w:val="24"/>
                <w:lang w:eastAsia="zh-CN"/>
              </w:rPr>
              <w:t>C22/</w:t>
            </w:r>
            <w:r>
              <w:rPr>
                <w:rFonts w:hint="eastAsia"/>
                <w:b/>
                <w:bCs/>
                <w:szCs w:val="24"/>
                <w:lang w:eastAsia="zh-CN"/>
              </w:rPr>
              <w:t>70</w:t>
            </w:r>
            <w:r>
              <w:rPr>
                <w:b/>
                <w:bCs/>
                <w:szCs w:val="24"/>
                <w:lang w:eastAsia="zh-CN"/>
              </w:rPr>
              <w:t>-C</w:t>
            </w:r>
          </w:p>
        </w:tc>
      </w:tr>
      <w:tr w:rsidR="0053074E" w14:paraId="7C903329" w14:textId="77777777">
        <w:trPr>
          <w:cantSplit/>
          <w:trHeight w:val="23"/>
        </w:trPr>
        <w:tc>
          <w:tcPr>
            <w:tcW w:w="6911" w:type="dxa"/>
            <w:vMerge/>
          </w:tcPr>
          <w:p w14:paraId="22577AB6" w14:textId="77777777" w:rsidR="0053074E" w:rsidRDefault="0053074E" w:rsidP="0053074E">
            <w:pPr>
              <w:tabs>
                <w:tab w:val="left" w:pos="851"/>
              </w:tabs>
              <w:spacing w:before="0"/>
              <w:rPr>
                <w:b/>
              </w:rPr>
            </w:pPr>
            <w:bookmarkStart w:id="4" w:name="ddate" w:colFirst="1" w:colLast="1"/>
            <w:bookmarkEnd w:id="2"/>
            <w:bookmarkEnd w:id="3"/>
          </w:p>
        </w:tc>
        <w:tc>
          <w:tcPr>
            <w:tcW w:w="3120" w:type="dxa"/>
          </w:tcPr>
          <w:p w14:paraId="110B60E0" w14:textId="6186A813" w:rsidR="0053074E" w:rsidRDefault="0053074E" w:rsidP="0053074E">
            <w:pPr>
              <w:tabs>
                <w:tab w:val="left" w:pos="993"/>
              </w:tabs>
              <w:spacing w:before="0"/>
              <w:rPr>
                <w:b/>
              </w:rPr>
            </w:pPr>
            <w:r>
              <w:rPr>
                <w:b/>
                <w:bCs/>
                <w:szCs w:val="24"/>
                <w:lang w:eastAsia="zh-CN"/>
              </w:rPr>
              <w:t>202</w:t>
            </w:r>
            <w:r>
              <w:rPr>
                <w:rFonts w:hint="eastAsia"/>
                <w:b/>
                <w:bCs/>
                <w:szCs w:val="24"/>
                <w:lang w:eastAsia="zh-CN"/>
              </w:rPr>
              <w:t>2</w:t>
            </w:r>
            <w:r>
              <w:rPr>
                <w:rFonts w:hint="eastAsia"/>
                <w:b/>
                <w:bCs/>
                <w:szCs w:val="24"/>
                <w:lang w:eastAsia="zh-CN"/>
              </w:rPr>
              <w:t>年</w:t>
            </w:r>
            <w:r>
              <w:rPr>
                <w:rFonts w:asciiTheme="minorHAnsi" w:hAnsiTheme="minorHAnsi" w:cstheme="minorHAnsi" w:hint="eastAsia"/>
                <w:b/>
                <w:bCs/>
                <w:szCs w:val="24"/>
                <w:lang w:eastAsia="zh-CN"/>
              </w:rPr>
              <w:t>3</w:t>
            </w:r>
            <w:r>
              <w:rPr>
                <w:rFonts w:hint="eastAsia"/>
                <w:b/>
                <w:bCs/>
                <w:szCs w:val="24"/>
                <w:lang w:eastAsia="zh-CN"/>
              </w:rPr>
              <w:t>月</w:t>
            </w:r>
            <w:r>
              <w:rPr>
                <w:rFonts w:asciiTheme="minorHAnsi" w:hAnsiTheme="minorHAnsi" w:cstheme="minorHAnsi" w:hint="eastAsia"/>
                <w:b/>
                <w:bCs/>
                <w:szCs w:val="24"/>
                <w:lang w:eastAsia="zh-CN"/>
              </w:rPr>
              <w:t>5</w:t>
            </w:r>
            <w:r>
              <w:rPr>
                <w:rFonts w:hint="eastAsia"/>
                <w:b/>
                <w:bCs/>
                <w:szCs w:val="24"/>
                <w:lang w:eastAsia="zh-CN"/>
              </w:rPr>
              <w:t>日</w:t>
            </w:r>
          </w:p>
        </w:tc>
      </w:tr>
      <w:tr w:rsidR="0053074E" w14:paraId="6F68FA74" w14:textId="77777777">
        <w:trPr>
          <w:cantSplit/>
          <w:trHeight w:val="23"/>
        </w:trPr>
        <w:tc>
          <w:tcPr>
            <w:tcW w:w="6911" w:type="dxa"/>
            <w:vMerge/>
          </w:tcPr>
          <w:p w14:paraId="4307982B" w14:textId="77777777" w:rsidR="0053074E" w:rsidRDefault="0053074E" w:rsidP="0053074E">
            <w:pPr>
              <w:tabs>
                <w:tab w:val="left" w:pos="851"/>
              </w:tabs>
              <w:spacing w:before="0"/>
              <w:rPr>
                <w:b/>
              </w:rPr>
            </w:pPr>
            <w:bookmarkStart w:id="5" w:name="dorlang" w:colFirst="1" w:colLast="1"/>
            <w:bookmarkEnd w:id="4"/>
          </w:p>
        </w:tc>
        <w:tc>
          <w:tcPr>
            <w:tcW w:w="3120" w:type="dxa"/>
          </w:tcPr>
          <w:p w14:paraId="15656F3B" w14:textId="08F45365" w:rsidR="0053074E" w:rsidRDefault="0053074E" w:rsidP="0053074E">
            <w:pPr>
              <w:tabs>
                <w:tab w:val="left" w:pos="993"/>
              </w:tabs>
              <w:spacing w:before="0"/>
              <w:rPr>
                <w:b/>
                <w:lang w:val="en-US" w:eastAsia="zh-CN"/>
              </w:rPr>
            </w:pPr>
            <w:r>
              <w:rPr>
                <w:rFonts w:hint="eastAsia"/>
                <w:b/>
                <w:bCs/>
                <w:szCs w:val="24"/>
                <w:lang w:eastAsia="zh-CN"/>
              </w:rPr>
              <w:t>原文：中文</w:t>
            </w:r>
          </w:p>
        </w:tc>
      </w:tr>
      <w:tr w:rsidR="00221C44" w14:paraId="77A2663B" w14:textId="77777777">
        <w:trPr>
          <w:cantSplit/>
        </w:trPr>
        <w:tc>
          <w:tcPr>
            <w:tcW w:w="10031" w:type="dxa"/>
            <w:gridSpan w:val="2"/>
          </w:tcPr>
          <w:p w14:paraId="295D340C" w14:textId="77777777" w:rsidR="00221C44" w:rsidRDefault="00221C44">
            <w:pPr>
              <w:pStyle w:val="Source"/>
              <w:rPr>
                <w:lang w:val="en-US" w:eastAsia="zh-CN"/>
              </w:rPr>
            </w:pPr>
            <w:bookmarkStart w:id="6" w:name="dsource" w:colFirst="0" w:colLast="0"/>
            <w:bookmarkEnd w:id="5"/>
            <w:r>
              <w:rPr>
                <w:rFonts w:hint="eastAsia"/>
                <w:lang w:val="en-US" w:eastAsia="zh-CN"/>
              </w:rPr>
              <w:t>中华人民共和国提案</w:t>
            </w:r>
          </w:p>
        </w:tc>
      </w:tr>
      <w:tr w:rsidR="00221C44" w14:paraId="1B812A8D" w14:textId="77777777">
        <w:trPr>
          <w:cantSplit/>
        </w:trPr>
        <w:tc>
          <w:tcPr>
            <w:tcW w:w="10031" w:type="dxa"/>
            <w:gridSpan w:val="2"/>
          </w:tcPr>
          <w:p w14:paraId="2C38D647" w14:textId="77777777" w:rsidR="00221C44" w:rsidRDefault="00221C44">
            <w:pPr>
              <w:pStyle w:val="Title1"/>
              <w:rPr>
                <w:lang w:val="en-US" w:eastAsia="zh-CN"/>
              </w:rPr>
            </w:pPr>
            <w:bookmarkStart w:id="7" w:name="dtitle1" w:colFirst="0" w:colLast="0"/>
            <w:bookmarkEnd w:id="6"/>
            <w:r>
              <w:rPr>
                <w:rFonts w:hint="eastAsia"/>
                <w:lang w:val="en-US" w:eastAsia="zh-CN"/>
              </w:rPr>
              <w:t>关于加强国际电</w:t>
            </w:r>
            <w:proofErr w:type="gramStart"/>
            <w:r>
              <w:rPr>
                <w:rFonts w:hint="eastAsia"/>
                <w:lang w:val="en-US" w:eastAsia="zh-CN"/>
              </w:rPr>
              <w:t>联能力</w:t>
            </w:r>
            <w:proofErr w:type="gramEnd"/>
            <w:r>
              <w:rPr>
                <w:rFonts w:hint="eastAsia"/>
                <w:lang w:val="en-US" w:eastAsia="zh-CN"/>
              </w:rPr>
              <w:t>建设举措的建议</w:t>
            </w:r>
          </w:p>
        </w:tc>
      </w:tr>
      <w:bookmarkEnd w:id="7"/>
    </w:tbl>
    <w:p w14:paraId="218B18DE" w14:textId="77777777" w:rsidR="00413F58" w:rsidRDefault="00413F58">
      <w:pPr>
        <w:rPr>
          <w:lang w:eastAsia="zh-CN"/>
        </w:rPr>
      </w:pPr>
    </w:p>
    <w:tbl>
      <w:tblPr>
        <w:tblW w:w="85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8"/>
      </w:tblGrid>
      <w:tr w:rsidR="00413F58" w14:paraId="218B18E7" w14:textId="77777777">
        <w:trPr>
          <w:trHeight w:val="3372"/>
        </w:trPr>
        <w:tc>
          <w:tcPr>
            <w:tcW w:w="8558" w:type="dxa"/>
            <w:tcBorders>
              <w:top w:val="single" w:sz="12" w:space="0" w:color="auto"/>
              <w:left w:val="single" w:sz="12" w:space="0" w:color="auto"/>
              <w:bottom w:val="single" w:sz="12" w:space="0" w:color="auto"/>
              <w:right w:val="single" w:sz="12" w:space="0" w:color="auto"/>
            </w:tcBorders>
          </w:tcPr>
          <w:p w14:paraId="218B18DF" w14:textId="77777777" w:rsidR="00413F58" w:rsidRDefault="00F02829">
            <w:pPr>
              <w:rPr>
                <w:b/>
                <w:bCs/>
                <w:lang w:val="en-US" w:eastAsia="zh-CN"/>
              </w:rPr>
            </w:pPr>
            <w:r>
              <w:rPr>
                <w:rFonts w:hint="eastAsia"/>
                <w:b/>
                <w:bCs/>
                <w:lang w:val="en-US" w:eastAsia="zh-CN"/>
              </w:rPr>
              <w:t>概述</w:t>
            </w:r>
          </w:p>
          <w:p w14:paraId="218B18E0" w14:textId="046B8F4A" w:rsidR="00413F58" w:rsidRDefault="00F02829" w:rsidP="008E1B33">
            <w:pPr>
              <w:tabs>
                <w:tab w:val="clear" w:pos="567"/>
                <w:tab w:val="clear" w:pos="1134"/>
                <w:tab w:val="clear" w:pos="1701"/>
                <w:tab w:val="clear" w:pos="2268"/>
                <w:tab w:val="clear" w:pos="2835"/>
                <w:tab w:val="left" w:pos="794"/>
                <w:tab w:val="left" w:pos="1191"/>
                <w:tab w:val="left" w:pos="1588"/>
                <w:tab w:val="left" w:pos="1985"/>
              </w:tabs>
              <w:spacing w:line="360" w:lineRule="auto"/>
              <w:ind w:firstLine="470"/>
              <w:jc w:val="both"/>
              <w:rPr>
                <w:szCs w:val="24"/>
                <w:lang w:val="en-US" w:eastAsia="zh-CN"/>
              </w:rPr>
            </w:pPr>
            <w:r>
              <w:rPr>
                <w:rFonts w:hint="eastAsia"/>
                <w:szCs w:val="24"/>
                <w:lang w:val="en-US" w:eastAsia="zh-CN"/>
              </w:rPr>
              <w:t>考虑国际电联在能力建设领域开展的各项工作，对未来工作提出进一步建议</w:t>
            </w:r>
            <w:r>
              <w:rPr>
                <w:rFonts w:hint="eastAsia"/>
                <w:szCs w:val="24"/>
                <w:lang w:eastAsia="zh-CN"/>
              </w:rPr>
              <w:t>。</w:t>
            </w:r>
            <w:r>
              <w:rPr>
                <w:rFonts w:hint="eastAsia"/>
                <w:szCs w:val="24"/>
                <w:lang w:val="en-US" w:eastAsia="zh-CN"/>
              </w:rPr>
              <w:t>一是全面梳理总结国际电联在能力建设领域开展的各项活动，为有志于为国际电</w:t>
            </w:r>
            <w:proofErr w:type="gramStart"/>
            <w:r>
              <w:rPr>
                <w:rFonts w:hint="eastAsia"/>
                <w:szCs w:val="24"/>
                <w:lang w:val="en-US" w:eastAsia="zh-CN"/>
              </w:rPr>
              <w:t>联能力</w:t>
            </w:r>
            <w:proofErr w:type="gramEnd"/>
            <w:r>
              <w:rPr>
                <w:rFonts w:hint="eastAsia"/>
                <w:szCs w:val="24"/>
                <w:lang w:val="en-US" w:eastAsia="zh-CN"/>
              </w:rPr>
              <w:t>建设积极贡献的利益攸关方提供明确的指导。二是明确各类培训项目的职责和区分。三是发挥国际电联协调作用，推动现有及潜在的培训机构之间资源共享。</w:t>
            </w:r>
          </w:p>
          <w:p w14:paraId="218B18E1" w14:textId="2D64C8AD" w:rsidR="00413F58" w:rsidRDefault="00F02829">
            <w:pPr>
              <w:rPr>
                <w:b/>
                <w:bCs/>
                <w:lang w:val="en-US" w:eastAsia="zh-CN"/>
              </w:rPr>
            </w:pPr>
            <w:r>
              <w:rPr>
                <w:rFonts w:hint="eastAsia"/>
                <w:b/>
                <w:bCs/>
                <w:lang w:val="en-US" w:eastAsia="zh-CN"/>
              </w:rPr>
              <w:t>需采取的行动</w:t>
            </w:r>
            <w:r w:rsidR="00F2112B">
              <w:rPr>
                <w:rFonts w:hint="eastAsia"/>
                <w:szCs w:val="24"/>
                <w:lang w:val="en-US" w:eastAsia="zh-CN"/>
              </w:rPr>
              <w:t>重点</w:t>
            </w:r>
          </w:p>
          <w:p w14:paraId="218B18E2" w14:textId="761F561E" w:rsidR="00413F58" w:rsidRDefault="00F02829" w:rsidP="008E1B33">
            <w:pPr>
              <w:ind w:firstLine="612"/>
              <w:rPr>
                <w:lang w:val="en-US" w:eastAsia="zh-CN"/>
              </w:rPr>
            </w:pPr>
            <w:r>
              <w:rPr>
                <w:rFonts w:hint="eastAsia"/>
                <w:lang w:val="en-US" w:eastAsia="zh-CN"/>
              </w:rPr>
              <w:t>请理事会对该文稿进行审议并采取相应行动。</w:t>
            </w:r>
          </w:p>
          <w:p w14:paraId="218B18E3" w14:textId="1B0F1D6F" w:rsidR="00413F58" w:rsidRDefault="0056054D">
            <w:pPr>
              <w:pStyle w:val="Table"/>
              <w:keepNext w:val="0"/>
              <w:spacing w:before="0" w:after="0"/>
              <w:rPr>
                <w:rFonts w:ascii="Calibri" w:hAnsi="Calibri"/>
                <w:caps w:val="0"/>
                <w:sz w:val="22"/>
                <w:lang w:eastAsia="zh-CN"/>
              </w:rPr>
            </w:pPr>
            <w:r>
              <w:rPr>
                <w:sz w:val="28"/>
                <w:szCs w:val="22"/>
                <w:lang w:eastAsia="zh-CN"/>
              </w:rPr>
              <w:t>______________</w:t>
            </w:r>
          </w:p>
          <w:p w14:paraId="218B18E4" w14:textId="77777777" w:rsidR="00413F58" w:rsidRDefault="00F02829">
            <w:pPr>
              <w:rPr>
                <w:b/>
                <w:bCs/>
                <w:lang w:val="en-US" w:eastAsia="zh-CN"/>
              </w:rPr>
            </w:pPr>
            <w:r>
              <w:rPr>
                <w:rFonts w:hint="eastAsia"/>
                <w:b/>
                <w:bCs/>
                <w:lang w:val="en-US" w:eastAsia="zh-CN"/>
              </w:rPr>
              <w:t>参考文件</w:t>
            </w:r>
          </w:p>
          <w:p w14:paraId="218B18E5" w14:textId="3DD1978A" w:rsidR="00413F58" w:rsidRDefault="00137D04">
            <w:pPr>
              <w:rPr>
                <w:lang w:val="en-US" w:eastAsia="zh-CN"/>
              </w:rPr>
            </w:pPr>
            <w:r>
              <w:rPr>
                <w:rFonts w:hint="eastAsia"/>
                <w:lang w:val="en-US" w:eastAsia="zh-CN"/>
              </w:rPr>
              <w:t>国际电</w:t>
            </w:r>
            <w:proofErr w:type="gramStart"/>
            <w:r>
              <w:rPr>
                <w:rFonts w:hint="eastAsia"/>
                <w:lang w:val="en-US" w:eastAsia="zh-CN"/>
              </w:rPr>
              <w:t>联高级</w:t>
            </w:r>
            <w:proofErr w:type="gramEnd"/>
            <w:r>
              <w:rPr>
                <w:rFonts w:hint="eastAsia"/>
                <w:lang w:val="en-US" w:eastAsia="zh-CN"/>
              </w:rPr>
              <w:t>培训中心计划：</w:t>
            </w:r>
            <w:r>
              <w:rPr>
                <w:rFonts w:hint="eastAsia"/>
                <w:lang w:val="en-US" w:eastAsia="zh-CN"/>
              </w:rPr>
              <w:t>2021</w:t>
            </w:r>
            <w:r>
              <w:rPr>
                <w:rFonts w:hint="eastAsia"/>
                <w:lang w:val="en-US" w:eastAsia="zh-CN"/>
              </w:rPr>
              <w:t>年战略审议和建议</w:t>
            </w:r>
            <w:r>
              <w:rPr>
                <w:rFonts w:hint="eastAsia"/>
                <w:lang w:val="en-US" w:eastAsia="zh-CN"/>
              </w:rPr>
              <w:t xml:space="preserve"> </w:t>
            </w:r>
            <w:r w:rsidR="00B210D2">
              <w:rPr>
                <w:rFonts w:hint="eastAsia"/>
                <w:lang w:val="en-US" w:eastAsia="zh-CN"/>
              </w:rPr>
              <w:t>（</w:t>
            </w:r>
            <w:r w:rsidR="00F02829">
              <w:rPr>
                <w:lang w:val="en-US" w:eastAsia="zh-CN"/>
              </w:rPr>
              <w:t>ITU CENTRES OF EXCELLENCE PROGRAMME: STRATEGIC REVIEW 2021 AND RECOMMENDATIONS</w:t>
            </w:r>
            <w:r w:rsidR="00B210D2">
              <w:rPr>
                <w:rFonts w:hint="eastAsia"/>
                <w:lang w:val="en-US" w:eastAsia="zh-CN"/>
              </w:rPr>
              <w:t>）</w:t>
            </w:r>
          </w:p>
          <w:p w14:paraId="218B18E6" w14:textId="77777777" w:rsidR="00413F58" w:rsidRDefault="00413F58">
            <w:pPr>
              <w:rPr>
                <w:lang w:val="en-US" w:eastAsia="zh-CN"/>
              </w:rPr>
            </w:pPr>
          </w:p>
        </w:tc>
      </w:tr>
    </w:tbl>
    <w:p w14:paraId="218B18F1" w14:textId="5893DE20" w:rsidR="00F2112B" w:rsidRDefault="00F2112B">
      <w:pPr>
        <w:rPr>
          <w:lang w:val="en-US"/>
        </w:rPr>
      </w:pPr>
      <w:bookmarkStart w:id="8" w:name="dbreak"/>
      <w:bookmarkStart w:id="9" w:name="dstart"/>
      <w:bookmarkEnd w:id="8"/>
      <w:bookmarkEnd w:id="9"/>
    </w:p>
    <w:p w14:paraId="3BBD494B" w14:textId="77777777" w:rsidR="00F2112B" w:rsidRDefault="00F2112B">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218B18F2" w14:textId="1B2AD299" w:rsidR="00413F58" w:rsidRDefault="00F02829" w:rsidP="00573B9F">
      <w:pPr>
        <w:pStyle w:val="Heading1"/>
        <w:tabs>
          <w:tab w:val="clear" w:pos="567"/>
          <w:tab w:val="clear" w:pos="1134"/>
          <w:tab w:val="clear" w:pos="1701"/>
          <w:tab w:val="clear" w:pos="2268"/>
          <w:tab w:val="clear" w:pos="2835"/>
          <w:tab w:val="left" w:pos="794"/>
          <w:tab w:val="left" w:pos="1191"/>
          <w:tab w:val="center" w:pos="4819"/>
        </w:tabs>
        <w:rPr>
          <w:lang w:val="en-US" w:eastAsia="zh-CN"/>
        </w:rPr>
      </w:pPr>
      <w:r>
        <w:rPr>
          <w:rFonts w:hint="eastAsia"/>
          <w:lang w:eastAsia="zh-CN"/>
        </w:rPr>
        <w:lastRenderedPageBreak/>
        <w:t>一、</w:t>
      </w:r>
      <w:r>
        <w:rPr>
          <w:rFonts w:hint="eastAsia"/>
          <w:lang w:val="en-US" w:eastAsia="zh-CN"/>
        </w:rPr>
        <w:t>背景</w:t>
      </w:r>
      <w:r w:rsidR="00573B9F">
        <w:rPr>
          <w:lang w:val="en-US" w:eastAsia="zh-CN"/>
        </w:rPr>
        <w:tab/>
      </w:r>
      <w:r w:rsidR="00573B9F">
        <w:rPr>
          <w:lang w:val="en-US" w:eastAsia="zh-CN"/>
        </w:rPr>
        <w:tab/>
      </w:r>
    </w:p>
    <w:p w14:paraId="218B18F3" w14:textId="77777777" w:rsidR="00413F58" w:rsidRDefault="00F02829">
      <w:pPr>
        <w:tabs>
          <w:tab w:val="clear" w:pos="567"/>
          <w:tab w:val="clear" w:pos="1134"/>
          <w:tab w:val="clear" w:pos="1701"/>
          <w:tab w:val="clear" w:pos="2268"/>
          <w:tab w:val="clear" w:pos="2835"/>
          <w:tab w:val="left" w:pos="794"/>
          <w:tab w:val="left" w:pos="1191"/>
          <w:tab w:val="left" w:pos="1588"/>
          <w:tab w:val="left" w:pos="1985"/>
        </w:tabs>
        <w:spacing w:line="360" w:lineRule="auto"/>
        <w:ind w:firstLineChars="200" w:firstLine="480"/>
        <w:jc w:val="both"/>
        <w:rPr>
          <w:szCs w:val="24"/>
          <w:lang w:val="en-US" w:eastAsia="zh-CN"/>
        </w:rPr>
      </w:pPr>
      <w:r>
        <w:rPr>
          <w:rFonts w:hint="eastAsia"/>
          <w:szCs w:val="24"/>
          <w:lang w:val="en-US" w:eastAsia="zh-CN"/>
        </w:rPr>
        <w:t>能力建设作为国际电联、特别是发展部门的重要职责使命，已经在该领域开展了诸多卓有成效的工作，对提升发展中国家信息通信领域发展水平和人力资源能力做出了积极贡献。世界电信发展大会第</w:t>
      </w:r>
      <w:r>
        <w:rPr>
          <w:rFonts w:hint="eastAsia"/>
          <w:szCs w:val="24"/>
          <w:lang w:val="en-US" w:eastAsia="zh-CN"/>
        </w:rPr>
        <w:t>40</w:t>
      </w:r>
      <w:r>
        <w:rPr>
          <w:rFonts w:hint="eastAsia"/>
          <w:szCs w:val="24"/>
          <w:lang w:val="en-US" w:eastAsia="zh-CN"/>
        </w:rPr>
        <w:t>号决议《能力建设举措组》、第</w:t>
      </w:r>
      <w:r>
        <w:rPr>
          <w:rFonts w:hint="eastAsia"/>
          <w:szCs w:val="24"/>
          <w:lang w:val="en-US" w:eastAsia="zh-CN"/>
        </w:rPr>
        <w:t>73</w:t>
      </w:r>
      <w:r>
        <w:rPr>
          <w:rFonts w:hint="eastAsia"/>
          <w:szCs w:val="24"/>
          <w:lang w:val="en-US" w:eastAsia="zh-CN"/>
        </w:rPr>
        <w:t>号决议《国际电联高级培训中心》为国际电联开展能力建设活动提供了有效指导。</w:t>
      </w:r>
    </w:p>
    <w:p w14:paraId="218B18F4" w14:textId="77777777" w:rsidR="00413F58" w:rsidRDefault="00F02829">
      <w:pPr>
        <w:tabs>
          <w:tab w:val="clear" w:pos="567"/>
          <w:tab w:val="clear" w:pos="1134"/>
          <w:tab w:val="clear" w:pos="1701"/>
          <w:tab w:val="clear" w:pos="2268"/>
          <w:tab w:val="clear" w:pos="2835"/>
          <w:tab w:val="left" w:pos="794"/>
          <w:tab w:val="left" w:pos="1191"/>
          <w:tab w:val="left" w:pos="1588"/>
          <w:tab w:val="left" w:pos="1985"/>
        </w:tabs>
        <w:spacing w:line="360" w:lineRule="auto"/>
        <w:ind w:firstLineChars="200" w:firstLine="480"/>
        <w:jc w:val="both"/>
        <w:rPr>
          <w:szCs w:val="24"/>
          <w:lang w:val="en-US" w:eastAsia="zh-CN"/>
        </w:rPr>
      </w:pPr>
      <w:r>
        <w:rPr>
          <w:rFonts w:hint="eastAsia"/>
          <w:szCs w:val="24"/>
          <w:lang w:val="en-US" w:eastAsia="zh-CN"/>
        </w:rPr>
        <w:t>我们注意到自</w:t>
      </w:r>
      <w:r>
        <w:rPr>
          <w:rFonts w:hint="eastAsia"/>
          <w:szCs w:val="24"/>
          <w:lang w:val="en-US" w:eastAsia="zh-CN"/>
        </w:rPr>
        <w:t>2019</w:t>
      </w:r>
      <w:r>
        <w:rPr>
          <w:rFonts w:hint="eastAsia"/>
          <w:szCs w:val="24"/>
          <w:lang w:val="en-US" w:eastAsia="zh-CN"/>
        </w:rPr>
        <w:t>年以来，国际电联在能力建设领域还实施了数字转型中心项目（</w:t>
      </w:r>
      <w:r>
        <w:rPr>
          <w:rFonts w:hint="eastAsia"/>
          <w:szCs w:val="24"/>
          <w:lang w:val="en-US" w:eastAsia="zh-CN"/>
        </w:rPr>
        <w:t xml:space="preserve">Digital Transformation </w:t>
      </w:r>
      <w:proofErr w:type="spellStart"/>
      <w:r>
        <w:rPr>
          <w:rFonts w:hint="eastAsia"/>
          <w:szCs w:val="24"/>
          <w:lang w:val="en-US" w:eastAsia="zh-CN"/>
        </w:rPr>
        <w:t>Centres</w:t>
      </w:r>
      <w:proofErr w:type="spellEnd"/>
      <w:r>
        <w:rPr>
          <w:rFonts w:hint="eastAsia"/>
          <w:szCs w:val="24"/>
          <w:lang w:val="en-US" w:eastAsia="zh-CN"/>
        </w:rPr>
        <w:t>，</w:t>
      </w:r>
      <w:r>
        <w:rPr>
          <w:rFonts w:hint="eastAsia"/>
          <w:szCs w:val="24"/>
          <w:lang w:val="en-US" w:eastAsia="zh-CN"/>
        </w:rPr>
        <w:t>DTC</w:t>
      </w:r>
      <w:r>
        <w:rPr>
          <w:rFonts w:hint="eastAsia"/>
          <w:szCs w:val="24"/>
          <w:lang w:val="en-US" w:eastAsia="zh-CN"/>
        </w:rPr>
        <w:t>）。在</w:t>
      </w:r>
      <w:r>
        <w:rPr>
          <w:rFonts w:hint="eastAsia"/>
          <w:szCs w:val="24"/>
          <w:lang w:val="en-US" w:eastAsia="zh-CN"/>
        </w:rPr>
        <w:t>2021</w:t>
      </w:r>
      <w:r>
        <w:rPr>
          <w:rFonts w:hint="eastAsia"/>
          <w:szCs w:val="24"/>
          <w:lang w:val="en-US" w:eastAsia="zh-CN"/>
        </w:rPr>
        <w:t>年国际电联理事会</w:t>
      </w:r>
      <w:proofErr w:type="gramStart"/>
      <w:r>
        <w:rPr>
          <w:rFonts w:hint="eastAsia"/>
          <w:szCs w:val="24"/>
          <w:lang w:val="en-US" w:eastAsia="zh-CN"/>
        </w:rPr>
        <w:t>虚拟磋商</w:t>
      </w:r>
      <w:proofErr w:type="gramEnd"/>
      <w:r>
        <w:rPr>
          <w:rFonts w:hint="eastAsia"/>
          <w:szCs w:val="24"/>
          <w:lang w:val="en-US" w:eastAsia="zh-CN"/>
        </w:rPr>
        <w:t>期间提出建设国际电</w:t>
      </w:r>
      <w:proofErr w:type="gramStart"/>
      <w:r>
        <w:rPr>
          <w:rFonts w:hint="eastAsia"/>
          <w:szCs w:val="24"/>
          <w:lang w:val="en-US" w:eastAsia="zh-CN"/>
        </w:rPr>
        <w:t>联培训</w:t>
      </w:r>
      <w:proofErr w:type="gramEnd"/>
      <w:r>
        <w:rPr>
          <w:rFonts w:hint="eastAsia"/>
          <w:szCs w:val="24"/>
          <w:lang w:val="en-US" w:eastAsia="zh-CN"/>
        </w:rPr>
        <w:t>学院（</w:t>
      </w:r>
      <w:r>
        <w:rPr>
          <w:rFonts w:hint="eastAsia"/>
          <w:szCs w:val="24"/>
          <w:lang w:val="en-US" w:eastAsia="zh-CN"/>
        </w:rPr>
        <w:t>ITU training institute</w:t>
      </w:r>
      <w:r>
        <w:rPr>
          <w:rFonts w:hint="eastAsia"/>
          <w:szCs w:val="24"/>
          <w:lang w:val="en-US" w:eastAsia="zh-CN"/>
        </w:rPr>
        <w:t>）并提出可行性分析报告。此外，国际电联发展部门积极对</w:t>
      </w:r>
      <w:r>
        <w:rPr>
          <w:rFonts w:hint="eastAsia"/>
          <w:szCs w:val="24"/>
          <w:lang w:val="en-US" w:eastAsia="zh-CN"/>
        </w:rPr>
        <w:t>2018-2022</w:t>
      </w:r>
      <w:r>
        <w:rPr>
          <w:rFonts w:hint="eastAsia"/>
          <w:szCs w:val="24"/>
          <w:lang w:val="en-US" w:eastAsia="zh-CN"/>
        </w:rPr>
        <w:t>周期国际电</w:t>
      </w:r>
      <w:proofErr w:type="gramStart"/>
      <w:r>
        <w:rPr>
          <w:rFonts w:hint="eastAsia"/>
          <w:szCs w:val="24"/>
          <w:lang w:val="en-US" w:eastAsia="zh-CN"/>
        </w:rPr>
        <w:t>联高级</w:t>
      </w:r>
      <w:proofErr w:type="gramEnd"/>
      <w:r>
        <w:rPr>
          <w:rFonts w:hint="eastAsia"/>
          <w:szCs w:val="24"/>
          <w:lang w:val="en-US" w:eastAsia="zh-CN"/>
        </w:rPr>
        <w:t>培训中心项目进行总结评估，并提出下一周期运作建议，以重塑高级培训中心项目品牌。</w:t>
      </w:r>
    </w:p>
    <w:p w14:paraId="218B18F5" w14:textId="77777777" w:rsidR="00413F58" w:rsidRDefault="00F02829">
      <w:pPr>
        <w:pStyle w:val="Heading1"/>
        <w:tabs>
          <w:tab w:val="clear" w:pos="567"/>
          <w:tab w:val="clear" w:pos="1134"/>
          <w:tab w:val="clear" w:pos="1701"/>
          <w:tab w:val="clear" w:pos="2268"/>
          <w:tab w:val="clear" w:pos="2835"/>
          <w:tab w:val="left" w:pos="794"/>
          <w:tab w:val="left" w:pos="1191"/>
          <w:tab w:val="left" w:pos="1588"/>
          <w:tab w:val="left" w:pos="1985"/>
        </w:tabs>
        <w:rPr>
          <w:lang w:val="en-US" w:eastAsia="zh-CN"/>
        </w:rPr>
      </w:pPr>
      <w:r>
        <w:rPr>
          <w:rFonts w:hint="eastAsia"/>
          <w:lang w:eastAsia="zh-CN"/>
        </w:rPr>
        <w:t>二、</w:t>
      </w:r>
      <w:r>
        <w:rPr>
          <w:rFonts w:hint="eastAsia"/>
          <w:lang w:val="en-US" w:eastAsia="zh-CN"/>
        </w:rPr>
        <w:t>建议</w:t>
      </w:r>
    </w:p>
    <w:p w14:paraId="218B18F6" w14:textId="77777777" w:rsidR="00413F58" w:rsidRDefault="00F02829">
      <w:pPr>
        <w:tabs>
          <w:tab w:val="clear" w:pos="567"/>
          <w:tab w:val="clear" w:pos="1134"/>
          <w:tab w:val="clear" w:pos="1701"/>
          <w:tab w:val="clear" w:pos="2268"/>
          <w:tab w:val="clear" w:pos="2835"/>
          <w:tab w:val="left" w:pos="794"/>
          <w:tab w:val="left" w:pos="1191"/>
          <w:tab w:val="left" w:pos="1588"/>
          <w:tab w:val="left" w:pos="1985"/>
        </w:tabs>
        <w:spacing w:line="360" w:lineRule="auto"/>
        <w:ind w:firstLineChars="200" w:firstLine="480"/>
        <w:jc w:val="both"/>
        <w:rPr>
          <w:szCs w:val="24"/>
          <w:lang w:val="en-US" w:eastAsia="zh-CN"/>
        </w:rPr>
      </w:pPr>
      <w:r>
        <w:rPr>
          <w:rFonts w:hint="eastAsia"/>
          <w:szCs w:val="24"/>
          <w:lang w:val="en-US" w:eastAsia="zh-CN"/>
        </w:rPr>
        <w:t>考虑到能力建设活动对广大发展中国家的重要意义和作用，以及国际电联在该领域富有成效的工作，我们建议：</w:t>
      </w:r>
    </w:p>
    <w:p w14:paraId="218B18F7" w14:textId="77777777" w:rsidR="00413F58" w:rsidRDefault="00F02829">
      <w:pPr>
        <w:tabs>
          <w:tab w:val="clear" w:pos="567"/>
          <w:tab w:val="clear" w:pos="1134"/>
          <w:tab w:val="clear" w:pos="1701"/>
          <w:tab w:val="clear" w:pos="2268"/>
          <w:tab w:val="clear" w:pos="2835"/>
          <w:tab w:val="left" w:pos="794"/>
          <w:tab w:val="left" w:pos="1191"/>
          <w:tab w:val="left" w:pos="1588"/>
          <w:tab w:val="left" w:pos="1985"/>
        </w:tabs>
        <w:spacing w:line="360" w:lineRule="auto"/>
        <w:ind w:firstLineChars="200" w:firstLine="480"/>
        <w:jc w:val="both"/>
        <w:rPr>
          <w:szCs w:val="24"/>
          <w:lang w:val="en-US" w:eastAsia="zh-CN"/>
        </w:rPr>
      </w:pPr>
      <w:r>
        <w:rPr>
          <w:rFonts w:hint="eastAsia"/>
          <w:szCs w:val="24"/>
          <w:lang w:val="en-US" w:eastAsia="zh-CN"/>
        </w:rPr>
        <w:t>1.</w:t>
      </w:r>
      <w:r>
        <w:rPr>
          <w:rFonts w:hint="eastAsia"/>
          <w:szCs w:val="24"/>
          <w:lang w:val="en-US" w:eastAsia="zh-CN"/>
        </w:rPr>
        <w:t>全面梳理总结国际电联在能力建设领域开展的各项活动，为有志于为国际电联能力建设积极贡献的利益攸关方提供明确的指导。包括高级培训中心项目、数字化转型中心、在区域和国际电联层面通过建立伙伴关系开展的培训活动，以及通过</w:t>
      </w:r>
      <w:r>
        <w:rPr>
          <w:rFonts w:hint="eastAsia"/>
          <w:szCs w:val="24"/>
          <w:lang w:val="en-US" w:eastAsia="zh-CN"/>
        </w:rPr>
        <w:t>ITU-D</w:t>
      </w:r>
      <w:r>
        <w:rPr>
          <w:rFonts w:hint="eastAsia"/>
          <w:szCs w:val="24"/>
          <w:lang w:val="en-US" w:eastAsia="zh-CN"/>
        </w:rPr>
        <w:t>项目合作形式开展的培训活动。</w:t>
      </w:r>
    </w:p>
    <w:p w14:paraId="218B18F8" w14:textId="77777777" w:rsidR="00413F58" w:rsidRDefault="00F02829">
      <w:pPr>
        <w:tabs>
          <w:tab w:val="clear" w:pos="567"/>
          <w:tab w:val="clear" w:pos="1134"/>
          <w:tab w:val="clear" w:pos="1701"/>
          <w:tab w:val="clear" w:pos="2268"/>
          <w:tab w:val="clear" w:pos="2835"/>
          <w:tab w:val="left" w:pos="794"/>
          <w:tab w:val="left" w:pos="1191"/>
          <w:tab w:val="left" w:pos="1588"/>
          <w:tab w:val="left" w:pos="1985"/>
        </w:tabs>
        <w:spacing w:line="360" w:lineRule="auto"/>
        <w:ind w:firstLineChars="200" w:firstLine="480"/>
        <w:jc w:val="both"/>
        <w:rPr>
          <w:szCs w:val="24"/>
          <w:lang w:val="en-US" w:eastAsia="zh-CN"/>
        </w:rPr>
      </w:pPr>
      <w:r>
        <w:rPr>
          <w:rFonts w:hint="eastAsia"/>
          <w:szCs w:val="24"/>
          <w:lang w:val="en-US" w:eastAsia="zh-CN"/>
        </w:rPr>
        <w:t>2.</w:t>
      </w:r>
      <w:r>
        <w:rPr>
          <w:rFonts w:hint="eastAsia"/>
          <w:szCs w:val="24"/>
          <w:lang w:val="en-US" w:eastAsia="zh-CN"/>
        </w:rPr>
        <w:t>明确各类培训项目的职责和重点区分，避免不同类型培训项目之间的重叠和竞争，实现培训资源优化。如果不同类型项目之间没有明确的重点区分，则应采用统一的评估和遴选标准及流程。</w:t>
      </w:r>
    </w:p>
    <w:p w14:paraId="218B18F9" w14:textId="3671B91B" w:rsidR="00413F58" w:rsidRDefault="00F02829">
      <w:pPr>
        <w:tabs>
          <w:tab w:val="clear" w:pos="567"/>
          <w:tab w:val="clear" w:pos="1134"/>
          <w:tab w:val="clear" w:pos="1701"/>
          <w:tab w:val="clear" w:pos="2268"/>
          <w:tab w:val="clear" w:pos="2835"/>
          <w:tab w:val="left" w:pos="794"/>
          <w:tab w:val="left" w:pos="1191"/>
          <w:tab w:val="left" w:pos="1588"/>
          <w:tab w:val="left" w:pos="1985"/>
        </w:tabs>
        <w:spacing w:line="360" w:lineRule="auto"/>
        <w:ind w:firstLineChars="200" w:firstLine="480"/>
        <w:jc w:val="both"/>
        <w:rPr>
          <w:szCs w:val="24"/>
          <w:lang w:val="en-US" w:eastAsia="zh-CN"/>
        </w:rPr>
      </w:pPr>
      <w:r>
        <w:rPr>
          <w:rFonts w:hint="eastAsia"/>
          <w:szCs w:val="24"/>
          <w:lang w:val="en-US" w:eastAsia="zh-CN"/>
        </w:rPr>
        <w:t>3.</w:t>
      </w:r>
      <w:r>
        <w:rPr>
          <w:rFonts w:hint="eastAsia"/>
          <w:szCs w:val="24"/>
          <w:lang w:val="en-US" w:eastAsia="zh-CN"/>
        </w:rPr>
        <w:t>发挥国际电联协调作用，推动现有及潜在的培训机构之间的导师和课件资源共享。此外，建议国际电联加强参与各培训机构的培训课程，积极分享国际电联在相关技术和标准领域开展的工作。</w:t>
      </w:r>
    </w:p>
    <w:p w14:paraId="3591FF12" w14:textId="3A559C65" w:rsidR="00C73B4E" w:rsidRDefault="00C73B4E" w:rsidP="00C73B4E">
      <w:pPr>
        <w:spacing w:before="840"/>
        <w:jc w:val="center"/>
      </w:pPr>
      <w:r>
        <w:t>______________</w:t>
      </w:r>
    </w:p>
    <w:p w14:paraId="015D9CF5" w14:textId="7F5B1F18" w:rsidR="00C73B4E" w:rsidRPr="00C73B4E" w:rsidRDefault="00C73B4E" w:rsidP="00C73B4E">
      <w:pPr>
        <w:tabs>
          <w:tab w:val="clear" w:pos="567"/>
          <w:tab w:val="clear" w:pos="1134"/>
          <w:tab w:val="clear" w:pos="1701"/>
          <w:tab w:val="clear" w:pos="2268"/>
          <w:tab w:val="clear" w:pos="2835"/>
          <w:tab w:val="left" w:pos="7164"/>
        </w:tabs>
      </w:pPr>
      <w:r>
        <w:tab/>
      </w:r>
    </w:p>
    <w:sectPr w:rsidR="00C73B4E" w:rsidRPr="00C73B4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1904" w14:textId="77777777" w:rsidR="000F6F2C" w:rsidRDefault="00F02829">
      <w:pPr>
        <w:spacing w:before="0"/>
      </w:pPr>
      <w:r>
        <w:separator/>
      </w:r>
    </w:p>
  </w:endnote>
  <w:endnote w:type="continuationSeparator" w:id="0">
    <w:p w14:paraId="218B1906" w14:textId="77777777" w:rsidR="000F6F2C" w:rsidRDefault="00F028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1900" w14:textId="4C71C384" w:rsidR="00413F58" w:rsidRPr="00C73B4E" w:rsidRDefault="00F02829">
    <w:pPr>
      <w:pStyle w:val="Footer"/>
      <w:rPr>
        <w:color w:val="F2F2F2" w:themeColor="background1" w:themeShade="F2"/>
      </w:rPr>
    </w:pPr>
    <w:r w:rsidRPr="00C73B4E">
      <w:rPr>
        <w:color w:val="F2F2F2" w:themeColor="background1" w:themeShade="F2"/>
      </w:rPr>
      <w:fldChar w:fldCharType="begin"/>
    </w:r>
    <w:r w:rsidRPr="00C73B4E">
      <w:rPr>
        <w:color w:val="F2F2F2" w:themeColor="background1" w:themeShade="F2"/>
      </w:rPr>
      <w:instrText xml:space="preserve"> FILENAME \p  \* MERGEFORMAT </w:instrText>
    </w:r>
    <w:r w:rsidRPr="00C73B4E">
      <w:rPr>
        <w:color w:val="F2F2F2" w:themeColor="background1" w:themeShade="F2"/>
      </w:rPr>
      <w:fldChar w:fldCharType="separate"/>
    </w:r>
    <w:r w:rsidRPr="00C73B4E">
      <w:rPr>
        <w:color w:val="F2F2F2" w:themeColor="background1" w:themeShade="F2"/>
      </w:rPr>
      <w:t>Document1</w:t>
    </w:r>
    <w:r w:rsidRPr="00C73B4E">
      <w:rPr>
        <w:color w:val="F2F2F2" w:themeColor="background1" w:themeShade="F2"/>
      </w:rPr>
      <w:fldChar w:fldCharType="end"/>
    </w:r>
    <w:r w:rsidRPr="00C73B4E">
      <w:rPr>
        <w:color w:val="F2F2F2" w:themeColor="background1" w:themeShade="F2"/>
      </w:rPr>
      <w:tab/>
    </w:r>
    <w:r w:rsidRPr="00C73B4E">
      <w:rPr>
        <w:color w:val="F2F2F2" w:themeColor="background1" w:themeShade="F2"/>
      </w:rPr>
      <w:fldChar w:fldCharType="begin"/>
    </w:r>
    <w:r w:rsidRPr="00C73B4E">
      <w:rPr>
        <w:color w:val="F2F2F2" w:themeColor="background1" w:themeShade="F2"/>
      </w:rPr>
      <w:instrText xml:space="preserve"> SAVEDATE \@ DD.MM.YY </w:instrText>
    </w:r>
    <w:r w:rsidRPr="00C73B4E">
      <w:rPr>
        <w:color w:val="F2F2F2" w:themeColor="background1" w:themeShade="F2"/>
      </w:rPr>
      <w:fldChar w:fldCharType="separate"/>
    </w:r>
    <w:r w:rsidR="0056054D">
      <w:rPr>
        <w:noProof/>
        <w:color w:val="F2F2F2" w:themeColor="background1" w:themeShade="F2"/>
      </w:rPr>
      <w:t>07.03.22</w:t>
    </w:r>
    <w:r w:rsidRPr="00C73B4E">
      <w:rPr>
        <w:color w:val="F2F2F2" w:themeColor="background1" w:themeShade="F2"/>
      </w:rPr>
      <w:fldChar w:fldCharType="end"/>
    </w:r>
    <w:r w:rsidRPr="00C73B4E">
      <w:rPr>
        <w:color w:val="F2F2F2" w:themeColor="background1" w:themeShade="F2"/>
      </w:rPr>
      <w:tab/>
    </w:r>
    <w:r w:rsidRPr="00C73B4E">
      <w:rPr>
        <w:color w:val="F2F2F2" w:themeColor="background1" w:themeShade="F2"/>
      </w:rPr>
      <w:fldChar w:fldCharType="begin"/>
    </w:r>
    <w:r w:rsidRPr="00C73B4E">
      <w:rPr>
        <w:color w:val="F2F2F2" w:themeColor="background1" w:themeShade="F2"/>
      </w:rPr>
      <w:instrText xml:space="preserve"> PRINTDATE \@ DD.MM.YY </w:instrText>
    </w:r>
    <w:r w:rsidRPr="00C73B4E">
      <w:rPr>
        <w:color w:val="F2F2F2" w:themeColor="background1" w:themeShade="F2"/>
      </w:rPr>
      <w:fldChar w:fldCharType="separate"/>
    </w:r>
    <w:r w:rsidRPr="00C73B4E">
      <w:rPr>
        <w:color w:val="F2F2F2" w:themeColor="background1" w:themeShade="F2"/>
      </w:rPr>
      <w:t>18.07.00</w:t>
    </w:r>
    <w:r w:rsidRPr="00C73B4E">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1901" w14:textId="77777777" w:rsidR="00413F58" w:rsidRDefault="00F0282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18FC" w14:textId="77777777" w:rsidR="00413F58" w:rsidRDefault="00F02829">
      <w:pPr>
        <w:spacing w:before="0"/>
      </w:pPr>
      <w:r>
        <w:separator/>
      </w:r>
    </w:p>
  </w:footnote>
  <w:footnote w:type="continuationSeparator" w:id="0">
    <w:p w14:paraId="218B18FD" w14:textId="77777777" w:rsidR="00413F58" w:rsidRDefault="00F0282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18FE" w14:textId="77777777" w:rsidR="00413F58" w:rsidRDefault="00F02829">
    <w:pPr>
      <w:pStyle w:val="Header"/>
    </w:pPr>
    <w:r>
      <w:fldChar w:fldCharType="begin"/>
    </w:r>
    <w:r>
      <w:instrText>PAGE</w:instrText>
    </w:r>
    <w:r>
      <w:fldChar w:fldCharType="separate"/>
    </w:r>
    <w:r>
      <w:t>2</w:t>
    </w:r>
    <w:r>
      <w:fldChar w:fldCharType="end"/>
    </w:r>
  </w:p>
  <w:p w14:paraId="218B18FF" w14:textId="7BE2A87F" w:rsidR="00413F58" w:rsidRDefault="00F02829">
    <w:pPr>
      <w:pStyle w:val="Header"/>
      <w:rPr>
        <w:bCs/>
      </w:rPr>
    </w:pPr>
    <w:r>
      <w:rPr>
        <w:bCs/>
      </w:rPr>
      <w:t>C22/</w:t>
    </w:r>
    <w:r w:rsidR="00573B9F">
      <w:rPr>
        <w:rFonts w:hint="eastAsia"/>
        <w:bCs/>
        <w:lang w:eastAsia="zh-CN"/>
      </w:rPr>
      <w:t>7</w:t>
    </w:r>
    <w:r w:rsidR="00614631">
      <w:rPr>
        <w:rFonts w:hint="eastAsia"/>
        <w:bCs/>
        <w:lang w:eastAsia="zh-CN"/>
      </w:rPr>
      <w:t>0</w:t>
    </w:r>
    <w:r>
      <w:rPr>
        <w:bCs/>
      </w:rPr>
      <w:t>-</w:t>
    </w:r>
    <w:r w:rsidR="00614631">
      <w:rPr>
        <w:bCs/>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6795"/>
    <w:rsid w:val="00076AF6"/>
    <w:rsid w:val="00085CF2"/>
    <w:rsid w:val="000B1705"/>
    <w:rsid w:val="000D75B2"/>
    <w:rsid w:val="000F6F2C"/>
    <w:rsid w:val="001121F5"/>
    <w:rsid w:val="00137D04"/>
    <w:rsid w:val="001400DC"/>
    <w:rsid w:val="00140CE1"/>
    <w:rsid w:val="0014634F"/>
    <w:rsid w:val="0017539C"/>
    <w:rsid w:val="00175AC2"/>
    <w:rsid w:val="0017609F"/>
    <w:rsid w:val="001C628E"/>
    <w:rsid w:val="001E0F7B"/>
    <w:rsid w:val="001E52D4"/>
    <w:rsid w:val="002119FD"/>
    <w:rsid w:val="002130E0"/>
    <w:rsid w:val="00221C44"/>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3F58"/>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3074E"/>
    <w:rsid w:val="0056054D"/>
    <w:rsid w:val="00564FBC"/>
    <w:rsid w:val="00573B9F"/>
    <w:rsid w:val="00582442"/>
    <w:rsid w:val="005F3269"/>
    <w:rsid w:val="00614631"/>
    <w:rsid w:val="00623AE3"/>
    <w:rsid w:val="00637AD1"/>
    <w:rsid w:val="0064737F"/>
    <w:rsid w:val="006535F1"/>
    <w:rsid w:val="0065557D"/>
    <w:rsid w:val="00662984"/>
    <w:rsid w:val="006716BB"/>
    <w:rsid w:val="006B6680"/>
    <w:rsid w:val="006B6DCC"/>
    <w:rsid w:val="006F0126"/>
    <w:rsid w:val="00702DEF"/>
    <w:rsid w:val="00706861"/>
    <w:rsid w:val="0075051B"/>
    <w:rsid w:val="00761A7D"/>
    <w:rsid w:val="00793188"/>
    <w:rsid w:val="00794D34"/>
    <w:rsid w:val="00804DD7"/>
    <w:rsid w:val="00813E5E"/>
    <w:rsid w:val="0083581B"/>
    <w:rsid w:val="00864AFF"/>
    <w:rsid w:val="00872F78"/>
    <w:rsid w:val="008B4A6A"/>
    <w:rsid w:val="008C7E27"/>
    <w:rsid w:val="008E1B33"/>
    <w:rsid w:val="009173EF"/>
    <w:rsid w:val="00932906"/>
    <w:rsid w:val="00961B0B"/>
    <w:rsid w:val="009B38C3"/>
    <w:rsid w:val="009B7945"/>
    <w:rsid w:val="009E17BD"/>
    <w:rsid w:val="009E485A"/>
    <w:rsid w:val="00A00BB1"/>
    <w:rsid w:val="00A04CEC"/>
    <w:rsid w:val="00A27F92"/>
    <w:rsid w:val="00A32257"/>
    <w:rsid w:val="00A36D20"/>
    <w:rsid w:val="00A55622"/>
    <w:rsid w:val="00A83502"/>
    <w:rsid w:val="00AD15B3"/>
    <w:rsid w:val="00AF6E49"/>
    <w:rsid w:val="00B0250B"/>
    <w:rsid w:val="00B04A67"/>
    <w:rsid w:val="00B0583C"/>
    <w:rsid w:val="00B210D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73B4E"/>
    <w:rsid w:val="00CA14F1"/>
    <w:rsid w:val="00CA6393"/>
    <w:rsid w:val="00CB18FF"/>
    <w:rsid w:val="00CD0C08"/>
    <w:rsid w:val="00CE03FB"/>
    <w:rsid w:val="00CE433C"/>
    <w:rsid w:val="00CF33F3"/>
    <w:rsid w:val="00D06183"/>
    <w:rsid w:val="00D22C42"/>
    <w:rsid w:val="00D623C1"/>
    <w:rsid w:val="00D65041"/>
    <w:rsid w:val="00DB384B"/>
    <w:rsid w:val="00E10E80"/>
    <w:rsid w:val="00E124F0"/>
    <w:rsid w:val="00E60F04"/>
    <w:rsid w:val="00E854E4"/>
    <w:rsid w:val="00EB0D6F"/>
    <w:rsid w:val="00EB2232"/>
    <w:rsid w:val="00EC5337"/>
    <w:rsid w:val="00F02829"/>
    <w:rsid w:val="00F2112B"/>
    <w:rsid w:val="00F2150A"/>
    <w:rsid w:val="00F231D8"/>
    <w:rsid w:val="00F46C5F"/>
    <w:rsid w:val="00F94A63"/>
    <w:rsid w:val="00FA1C28"/>
    <w:rsid w:val="00FB1279"/>
    <w:rsid w:val="00FB7596"/>
    <w:rsid w:val="00FB788F"/>
    <w:rsid w:val="00FE4077"/>
    <w:rsid w:val="00FE77D2"/>
    <w:rsid w:val="00FE7B94"/>
    <w:rsid w:val="16A01F18"/>
    <w:rsid w:val="19111234"/>
    <w:rsid w:val="1ADB533B"/>
    <w:rsid w:val="1CAE048E"/>
    <w:rsid w:val="27652807"/>
    <w:rsid w:val="300065D2"/>
    <w:rsid w:val="37CE2266"/>
    <w:rsid w:val="3D9324EC"/>
    <w:rsid w:val="417925BA"/>
    <w:rsid w:val="4A2315E8"/>
    <w:rsid w:val="558570B1"/>
    <w:rsid w:val="59451C63"/>
    <w:rsid w:val="5A0E7BDB"/>
    <w:rsid w:val="639F7D9D"/>
    <w:rsid w:val="676F2F5B"/>
    <w:rsid w:val="677B6B6C"/>
    <w:rsid w:val="67867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18C8"/>
  <w15:docId w15:val="{05F42C36-89B6-4943-B9F5-337B4E80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heme="minorEastAsia"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qFormat/>
    <w:pPr>
      <w:tabs>
        <w:tab w:val="clear" w:pos="567"/>
        <w:tab w:val="clear" w:pos="1134"/>
        <w:tab w:val="clear" w:pos="1701"/>
        <w:tab w:val="clear" w:pos="2268"/>
        <w:tab w:val="clear" w:pos="2835"/>
      </w:tabs>
      <w:spacing w:before="0"/>
      <w:jc w:val="center"/>
    </w:pPr>
    <w:rPr>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000FF"/>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paragraph" w:customStyle="1" w:styleId="Equation">
    <w:name w:val="Equation"/>
    <w:basedOn w:val="Normal"/>
    <w:qFormat/>
    <w:pPr>
      <w:tabs>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spacing w:before="840"/>
      <w:jc w:val="center"/>
    </w:pPr>
    <w:rPr>
      <w:b/>
      <w:sz w:val="28"/>
    </w:rPr>
  </w:style>
  <w:style w:type="paragraph" w:customStyle="1" w:styleId="Title1">
    <w:name w:val="Title 1"/>
    <w:basedOn w:val="Source"/>
    <w:next w:val="Title2"/>
    <w:qFormat/>
    <w:pPr>
      <w:spacing w:before="240"/>
    </w:pPr>
    <w:rPr>
      <w:b w:val="0"/>
      <w:caps/>
    </w:rPr>
  </w:style>
  <w:style w:type="paragraph" w:customStyle="1" w:styleId="Title2">
    <w:name w:val="Title 2"/>
    <w:basedOn w:val="Source"/>
    <w:next w:val="Title3"/>
    <w:qFormat/>
    <w:pPr>
      <w:spacing w:before="240"/>
    </w:pPr>
    <w:rPr>
      <w:b w:val="0"/>
      <w:caps/>
    </w:rPr>
  </w:style>
  <w:style w:type="paragraph" w:customStyle="1" w:styleId="Title3">
    <w:name w:val="Title 3"/>
    <w:basedOn w:val="Title2"/>
    <w:next w:val="Normalaftertitle"/>
    <w:qFormat/>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qFormat/>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customStyle="1" w:styleId="Table">
    <w:name w:val="Table_#"/>
    <w:basedOn w:val="Normal"/>
    <w:next w:val="Normal"/>
    <w:qFormat/>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CD62533F719A46A77FEA7F877DDC05" ma:contentTypeVersion="1" ma:contentTypeDescription="Create a new document." ma:contentTypeScope="" ma:versionID="4c4cf562cdca957db4870c843bbe90f6">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B4D69-1D32-4801-A8AA-8CA23BC50EC3}">
  <ds:schemaRefs/>
</ds:datastoreItem>
</file>

<file path=customXml/itemProps2.xml><?xml version="1.0" encoding="utf-8"?>
<ds:datastoreItem xmlns:ds="http://schemas.openxmlformats.org/officeDocument/2006/customXml" ds:itemID="{CF6DB4D6-8A2B-4254-82D9-06A62EC1454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949DE5-9772-4FE0-8C4E-19EB42960256}">
  <ds:schemaRefs>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D7B07AE3-02AB-4F05-8738-DFD1B45844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244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ITU</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Proposal to enhance the capacity building initiatives in ITU</dc:title>
  <dc:subject>Council 2022</dc:subject>
  <dc:creator>Brouard, Ricarda</dc:creator>
  <cp:keywords>C2022, C22, Council-22</cp:keywords>
  <cp:lastModifiedBy>Xue, Kun</cp:lastModifiedBy>
  <cp:revision>3</cp:revision>
  <cp:lastPrinted>2000-07-18T13:30:00Z</cp:lastPrinted>
  <dcterms:created xsi:type="dcterms:W3CDTF">2022-03-07T09:31:00Z</dcterms:created>
  <dcterms:modified xsi:type="dcterms:W3CDTF">2022-03-07T10:09:00Z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0x01010038CD62533F719A46A77FEA7F877DDC05</vt:lpwstr>
  </property>
  <property fmtid="{D5CDD505-2E9C-101B-9397-08002B2CF9AE}" pid="9" name="KSOProductBuildVer">
    <vt:lpwstr>2052-11.1.0.11365</vt:lpwstr>
  </property>
  <property fmtid="{D5CDD505-2E9C-101B-9397-08002B2CF9AE}" pid="10" name="ICV">
    <vt:lpwstr>8EBC08D4DDD842FC9C3671132FCEB423</vt:lpwstr>
  </property>
</Properties>
</file>