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61708061" w14:textId="77777777">
        <w:trPr>
          <w:cantSplit/>
        </w:trPr>
        <w:tc>
          <w:tcPr>
            <w:tcW w:w="6912" w:type="dxa"/>
          </w:tcPr>
          <w:p w14:paraId="41E5B2DB" w14:textId="77777777" w:rsidR="00093EEB" w:rsidRPr="000B0D00" w:rsidRDefault="00093EEB" w:rsidP="004C0724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D50A36">
              <w:rPr>
                <w:b/>
                <w:bCs/>
                <w:sz w:val="30"/>
                <w:szCs w:val="30"/>
              </w:rPr>
              <w:t>2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D50A36">
              <w:rPr>
                <w:b/>
                <w:bCs/>
                <w:sz w:val="26"/>
                <w:szCs w:val="26"/>
              </w:rPr>
              <w:t>Ginebra</w:t>
            </w:r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D50A36">
              <w:rPr>
                <w:b/>
                <w:bCs/>
                <w:sz w:val="26"/>
                <w:szCs w:val="26"/>
              </w:rPr>
              <w:t>21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D50A36">
              <w:rPr>
                <w:b/>
                <w:bCs/>
                <w:sz w:val="26"/>
                <w:szCs w:val="26"/>
              </w:rPr>
              <w:t>31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D50A36">
              <w:rPr>
                <w:b/>
                <w:bCs/>
                <w:sz w:val="26"/>
                <w:szCs w:val="26"/>
              </w:rPr>
              <w:t>marzo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D50A3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240B52B4" w14:textId="77777777" w:rsidR="00093EEB" w:rsidRPr="000B0D00" w:rsidRDefault="007955DA" w:rsidP="004C0724">
            <w:pPr>
              <w:spacing w:before="0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703809F1" wp14:editId="30E24FD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19744F4C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3FA03E6" w14:textId="77777777" w:rsidR="00093EEB" w:rsidRPr="00EB1212" w:rsidRDefault="00093EEB" w:rsidP="004C072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3D6439A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E12C7B1" w14:textId="77777777" w:rsidR="00093EEB" w:rsidRPr="000B0D00" w:rsidRDefault="00093EEB" w:rsidP="004C072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18383CD" w14:textId="77777777" w:rsidR="00093EEB" w:rsidRPr="000B0D00" w:rsidRDefault="00093EEB" w:rsidP="004C072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554D65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904578B" w14:textId="4A70DFA5" w:rsidR="00093EEB" w:rsidRPr="00093EEB" w:rsidRDefault="00004BFF" w:rsidP="004C072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lt_pId005"/>
            <w:bookmarkStart w:id="4" w:name="dnum" w:colFirst="1" w:colLast="1"/>
            <w:bookmarkStart w:id="5" w:name="dmeeting" w:colFirst="0" w:colLast="0"/>
            <w:r w:rsidRPr="00004BFF">
              <w:rPr>
                <w:rFonts w:cs="Times"/>
                <w:b/>
                <w:szCs w:val="24"/>
                <w:lang w:val="es-MX"/>
              </w:rPr>
              <w:t>Punto del orden del día:</w:t>
            </w:r>
            <w:r w:rsidR="00064F8F" w:rsidRPr="00004BFF">
              <w:rPr>
                <w:rFonts w:cs="Times"/>
                <w:b/>
                <w:szCs w:val="24"/>
                <w:lang w:val="es-MX"/>
              </w:rPr>
              <w:t xml:space="preserve"> PL 1.5</w:t>
            </w:r>
            <w:bookmarkEnd w:id="3"/>
          </w:p>
        </w:tc>
        <w:tc>
          <w:tcPr>
            <w:tcW w:w="3261" w:type="dxa"/>
          </w:tcPr>
          <w:p w14:paraId="469F38DA" w14:textId="77777777" w:rsidR="00093EEB" w:rsidRPr="00093EEB" w:rsidRDefault="00093EEB" w:rsidP="004C072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D50A36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/</w:t>
            </w:r>
            <w:r w:rsidR="00064F8F">
              <w:rPr>
                <w:b/>
                <w:bCs/>
                <w:szCs w:val="24"/>
              </w:rPr>
              <w:t>64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1267B2B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2B09F75" w14:textId="77777777" w:rsidR="00093EEB" w:rsidRPr="000B0D00" w:rsidRDefault="00093EEB" w:rsidP="004C072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4CE1EDAC" w14:textId="51D6AAB8" w:rsidR="00093EEB" w:rsidRPr="00093EEB" w:rsidRDefault="00064F8F" w:rsidP="004C072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77F9A">
              <w:rPr>
                <w:b/>
                <w:bCs/>
                <w:szCs w:val="24"/>
              </w:rPr>
              <w:t>8</w:t>
            </w:r>
            <w:r w:rsidR="003D090E">
              <w:rPr>
                <w:b/>
                <w:bCs/>
                <w:szCs w:val="24"/>
              </w:rPr>
              <w:t xml:space="preserve"> </w:t>
            </w:r>
            <w:r w:rsidR="005B46FF">
              <w:rPr>
                <w:b/>
                <w:bCs/>
                <w:szCs w:val="24"/>
              </w:rPr>
              <w:t>de f</w:t>
            </w:r>
            <w:r>
              <w:rPr>
                <w:b/>
                <w:bCs/>
                <w:szCs w:val="24"/>
              </w:rPr>
              <w:t>ebrero</w:t>
            </w:r>
            <w:r w:rsidR="00093EEB">
              <w:rPr>
                <w:b/>
                <w:bCs/>
                <w:szCs w:val="24"/>
              </w:rPr>
              <w:t xml:space="preserve"> de 20</w:t>
            </w:r>
            <w:r w:rsidR="007955DA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2</w:t>
            </w:r>
          </w:p>
        </w:tc>
      </w:tr>
      <w:tr w:rsidR="00093EEB" w:rsidRPr="000B0D00" w14:paraId="7A9B1CC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F409936" w14:textId="77777777" w:rsidR="00093EEB" w:rsidRPr="000B0D00" w:rsidRDefault="00093EEB" w:rsidP="004C072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5C4267F6" w14:textId="77777777" w:rsidR="00093EEB" w:rsidRPr="00093EEB" w:rsidRDefault="00093EEB" w:rsidP="004C072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2CA0C183" w14:textId="77777777">
        <w:trPr>
          <w:cantSplit/>
        </w:trPr>
        <w:tc>
          <w:tcPr>
            <w:tcW w:w="10173" w:type="dxa"/>
            <w:gridSpan w:val="2"/>
          </w:tcPr>
          <w:p w14:paraId="1DCE592E" w14:textId="77777777" w:rsidR="00064F8F" w:rsidRPr="00064F8F" w:rsidRDefault="00064F8F" w:rsidP="004C0724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1"/>
            <w:bookmarkEnd w:id="7"/>
            <w:r w:rsidRPr="00064F8F">
              <w:rPr>
                <w:lang w:val="es-ES"/>
              </w:rPr>
              <w:t>Informe del Presidente del Grupo de Trabajo del Consejo</w:t>
            </w:r>
          </w:p>
          <w:p w14:paraId="2BAD263D" w14:textId="7B828814" w:rsidR="009D7118" w:rsidRPr="009D7118" w:rsidRDefault="00064F8F" w:rsidP="004C0724">
            <w:pPr>
              <w:pStyle w:val="Source"/>
              <w:spacing w:before="0"/>
              <w:rPr>
                <w:lang w:val="es-ES"/>
              </w:rPr>
            </w:pPr>
            <w:r w:rsidRPr="00064F8F">
              <w:rPr>
                <w:lang w:val="es-ES"/>
              </w:rPr>
              <w:t>sobre la Protección de la Infancia en Línea</w:t>
            </w:r>
          </w:p>
        </w:tc>
      </w:tr>
      <w:tr w:rsidR="00093EEB" w:rsidRPr="000B0D00" w14:paraId="7C2ED02D" w14:textId="77777777">
        <w:trPr>
          <w:cantSplit/>
        </w:trPr>
        <w:tc>
          <w:tcPr>
            <w:tcW w:w="10173" w:type="dxa"/>
            <w:gridSpan w:val="2"/>
          </w:tcPr>
          <w:p w14:paraId="3B6DFF25" w14:textId="77777777" w:rsidR="00064F8F" w:rsidRPr="00064F8F" w:rsidRDefault="00064F8F" w:rsidP="004C0724">
            <w:pPr>
              <w:pStyle w:val="Title1"/>
              <w:rPr>
                <w:lang w:val="es-ES"/>
              </w:rPr>
            </w:pPr>
            <w:bookmarkStart w:id="9" w:name="dtitle1" w:colFirst="0" w:colLast="0"/>
            <w:bookmarkStart w:id="10" w:name="_Hlk97193281"/>
            <w:bookmarkEnd w:id="8"/>
            <w:r w:rsidRPr="00064F8F">
              <w:rPr>
                <w:lang w:val="es-ES"/>
              </w:rPr>
              <w:t xml:space="preserve">INFORME </w:t>
            </w:r>
            <w:r w:rsidRPr="004C0724">
              <w:t>CUADRIENAL</w:t>
            </w:r>
            <w:r w:rsidRPr="00064F8F">
              <w:rPr>
                <w:lang w:val="es-ES"/>
              </w:rPr>
              <w:t xml:space="preserve"> DEL GRUPO DE TRABAJO DEL CONSEJO</w:t>
            </w:r>
          </w:p>
          <w:p w14:paraId="2E2C7FC7" w14:textId="2105EDDA" w:rsidR="00093EEB" w:rsidRPr="00064F8F" w:rsidRDefault="00064F8F" w:rsidP="004C0724">
            <w:pPr>
              <w:pStyle w:val="Title1"/>
              <w:spacing w:before="0"/>
              <w:rPr>
                <w:lang w:val="es-ES"/>
              </w:rPr>
            </w:pPr>
            <w:r w:rsidRPr="00064F8F">
              <w:rPr>
                <w:lang w:val="es-ES"/>
              </w:rPr>
              <w:t>SOBRE LA PROTECCIÓN DE LA INFANCIA EN LÍNE</w:t>
            </w:r>
            <w:r w:rsidR="00D366D0">
              <w:rPr>
                <w:lang w:val="es-ES"/>
              </w:rPr>
              <w:t>a</w:t>
            </w:r>
            <w:bookmarkEnd w:id="10"/>
          </w:p>
        </w:tc>
      </w:tr>
      <w:bookmarkEnd w:id="9"/>
    </w:tbl>
    <w:p w14:paraId="2AF55B37" w14:textId="77777777" w:rsidR="00093EEB" w:rsidRPr="000B0D00" w:rsidRDefault="00093EEB" w:rsidP="004C0724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904CD2" w14:paraId="297263DF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9130A" w14:textId="7ED1C3D0" w:rsidR="00093EEB" w:rsidRPr="00904CD2" w:rsidRDefault="00093EEB" w:rsidP="004C0724">
            <w:pPr>
              <w:pStyle w:val="Headingb"/>
              <w:rPr>
                <w:lang w:val="es-MX"/>
              </w:rPr>
            </w:pPr>
            <w:r w:rsidRPr="00904CD2">
              <w:rPr>
                <w:lang w:val="es-MX"/>
              </w:rPr>
              <w:t>Resumen</w:t>
            </w:r>
          </w:p>
          <w:p w14:paraId="541C3A1A" w14:textId="416B6002" w:rsidR="00093EEB" w:rsidRPr="00904CD2" w:rsidRDefault="00904CD2" w:rsidP="004C0724">
            <w:pPr>
              <w:rPr>
                <w:lang w:val="es-MX"/>
              </w:rPr>
            </w:pPr>
            <w:r w:rsidRPr="00904CD2">
              <w:rPr>
                <w:lang w:val="es-MX"/>
              </w:rPr>
              <w:t xml:space="preserve">En este </w:t>
            </w:r>
            <w:r w:rsidR="00292056" w:rsidRPr="00904CD2">
              <w:rPr>
                <w:lang w:val="es-MX"/>
              </w:rPr>
              <w:t xml:space="preserve">informe </w:t>
            </w:r>
            <w:r w:rsidRPr="00904CD2">
              <w:rPr>
                <w:lang w:val="es-MX"/>
              </w:rPr>
              <w:t xml:space="preserve">se resumen las actividades </w:t>
            </w:r>
            <w:r>
              <w:rPr>
                <w:lang w:val="es-MX"/>
              </w:rPr>
              <w:t xml:space="preserve">y </w:t>
            </w:r>
            <w:r w:rsidR="00443E55">
              <w:rPr>
                <w:lang w:val="es-MX"/>
              </w:rPr>
              <w:t>resultados</w:t>
            </w:r>
            <w:r>
              <w:rPr>
                <w:lang w:val="es-MX"/>
              </w:rPr>
              <w:t xml:space="preserve"> </w:t>
            </w:r>
            <w:r w:rsidRPr="00904CD2">
              <w:rPr>
                <w:lang w:val="es-MX"/>
              </w:rPr>
              <w:t xml:space="preserve">del Grupo de Trabajo del </w:t>
            </w:r>
            <w:r w:rsidRPr="004C0724">
              <w:rPr>
                <w:rFonts w:cs="Calibri"/>
                <w:lang w:val="es-MX"/>
              </w:rPr>
              <w:t>Consejo</w:t>
            </w:r>
            <w:r w:rsidRPr="00904CD2">
              <w:rPr>
                <w:lang w:val="es-MX"/>
              </w:rPr>
              <w:t xml:space="preserve"> sobre la Protección de la Infancia en Línea</w:t>
            </w:r>
            <w:r>
              <w:rPr>
                <w:lang w:val="es-MX"/>
              </w:rPr>
              <w:t xml:space="preserve"> desde la Conferencia de Plenipotenciarios de 2018,</w:t>
            </w:r>
            <w:r w:rsidRPr="00904CD2">
              <w:rPr>
                <w:lang w:val="es-MX"/>
              </w:rPr>
              <w:t xml:space="preserve"> de conformidad con la</w:t>
            </w:r>
            <w:r>
              <w:rPr>
                <w:lang w:val="es-MX"/>
              </w:rPr>
              <w:t xml:space="preserve"> </w:t>
            </w:r>
            <w:r w:rsidR="001A6EE2">
              <w:rPr>
                <w:lang w:val="es-MX"/>
              </w:rPr>
              <w:t>Resolución 1306 del Consejo</w:t>
            </w:r>
            <w:r w:rsidRPr="00904CD2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y la </w:t>
            </w:r>
            <w:r w:rsidRPr="00904CD2">
              <w:rPr>
                <w:lang w:val="es-MX"/>
              </w:rPr>
              <w:t xml:space="preserve">Resolución 179 (Rev. </w:t>
            </w:r>
            <w:r>
              <w:rPr>
                <w:lang w:val="es-MX"/>
              </w:rPr>
              <w:t>Dubái</w:t>
            </w:r>
            <w:r w:rsidRPr="00904CD2">
              <w:rPr>
                <w:lang w:val="es-MX"/>
              </w:rPr>
              <w:t>, 201</w:t>
            </w:r>
            <w:r>
              <w:rPr>
                <w:lang w:val="es-MX"/>
              </w:rPr>
              <w:t>8</w:t>
            </w:r>
            <w:r w:rsidRPr="00904CD2">
              <w:rPr>
                <w:lang w:val="es-MX"/>
              </w:rPr>
              <w:t>) de la Conferencia de Plenipotenciarios de la UIT.</w:t>
            </w:r>
          </w:p>
          <w:p w14:paraId="59EDDE9F" w14:textId="77777777" w:rsidR="00093EEB" w:rsidRPr="00DB604B" w:rsidRDefault="00093EEB" w:rsidP="004C0724">
            <w:pPr>
              <w:pStyle w:val="Headingb"/>
              <w:rPr>
                <w:lang w:val="es-MX"/>
              </w:rPr>
            </w:pPr>
            <w:r w:rsidRPr="00DB604B">
              <w:rPr>
                <w:lang w:val="es-MX"/>
              </w:rPr>
              <w:t>Acción solicitada</w:t>
            </w:r>
          </w:p>
          <w:p w14:paraId="447D64BA" w14:textId="3E0EF16C" w:rsidR="00093EEB" w:rsidRPr="00904CD2" w:rsidRDefault="00904CD2" w:rsidP="004C0724">
            <w:pPr>
              <w:rPr>
                <w:lang w:val="es-MX"/>
              </w:rPr>
            </w:pPr>
            <w:r w:rsidRPr="00904CD2">
              <w:rPr>
                <w:lang w:val="es-MX"/>
              </w:rPr>
              <w:t xml:space="preserve">Se invita al Consejo a </w:t>
            </w:r>
            <w:r w:rsidRPr="00904CD2">
              <w:rPr>
                <w:b/>
                <w:lang w:val="es-MX"/>
              </w:rPr>
              <w:t>examinar</w:t>
            </w:r>
            <w:r>
              <w:rPr>
                <w:lang w:val="es-MX"/>
              </w:rPr>
              <w:t xml:space="preserve"> </w:t>
            </w:r>
            <w:r w:rsidR="001A6EE2">
              <w:rPr>
                <w:lang w:val="es-MX"/>
              </w:rPr>
              <w:t xml:space="preserve">el presente </w:t>
            </w:r>
            <w:r w:rsidR="00292056">
              <w:rPr>
                <w:lang w:val="es-MX"/>
              </w:rPr>
              <w:t>i</w:t>
            </w:r>
            <w:r w:rsidR="00292056" w:rsidRPr="00904CD2">
              <w:rPr>
                <w:lang w:val="es-MX"/>
              </w:rPr>
              <w:t xml:space="preserve">nforme </w:t>
            </w:r>
            <w:r w:rsidRPr="00904CD2">
              <w:rPr>
                <w:lang w:val="es-MX"/>
              </w:rPr>
              <w:t xml:space="preserve">y a </w:t>
            </w:r>
            <w:r w:rsidRPr="00904CD2">
              <w:rPr>
                <w:b/>
                <w:lang w:val="es-MX"/>
              </w:rPr>
              <w:t>presentar</w:t>
            </w:r>
            <w:r w:rsidRPr="00904CD2">
              <w:rPr>
                <w:lang w:val="es-MX"/>
              </w:rPr>
              <w:t xml:space="preserve"> sus recomendaciones a la Conferencia de Plenipotenciarios, según proceda</w:t>
            </w:r>
            <w:r w:rsidR="00551021">
              <w:rPr>
                <w:lang w:val="es-MX"/>
              </w:rPr>
              <w:t>.</w:t>
            </w:r>
          </w:p>
          <w:p w14:paraId="198E1E1F" w14:textId="77777777" w:rsidR="00093EEB" w:rsidRPr="00DB604B" w:rsidRDefault="00093EEB" w:rsidP="004C0724">
            <w:pPr>
              <w:pStyle w:val="Headingb"/>
              <w:rPr>
                <w:lang w:val="es-MX"/>
              </w:rPr>
            </w:pPr>
            <w:r w:rsidRPr="00DB604B">
              <w:rPr>
                <w:lang w:val="es-MX"/>
              </w:rPr>
              <w:t>Referencia</w:t>
            </w:r>
          </w:p>
          <w:bookmarkStart w:id="11" w:name="lt_pId019"/>
          <w:p w14:paraId="63F0D6EE" w14:textId="327ED75D" w:rsidR="00093EEB" w:rsidRPr="00904CD2" w:rsidRDefault="00904CD2" w:rsidP="00901790">
            <w:pPr>
              <w:spacing w:after="120"/>
              <w:rPr>
                <w:i/>
                <w:iCs/>
                <w:lang w:val="es-MX"/>
              </w:rPr>
            </w:pPr>
            <w:r>
              <w:rPr>
                <w:i/>
                <w:lang w:val="es-MX"/>
              </w:rPr>
              <w:fldChar w:fldCharType="begin"/>
            </w:r>
            <w:r>
              <w:rPr>
                <w:i/>
                <w:lang w:val="es-MX"/>
              </w:rPr>
              <w:instrText xml:space="preserve"> HYPERLINK "https://www.itu.int/en/council/Documents/basic-texts/DEC-011-S.pdf" </w:instrText>
            </w:r>
            <w:r>
              <w:rPr>
                <w:i/>
                <w:lang w:val="es-MX"/>
              </w:rPr>
              <w:fldChar w:fldCharType="separate"/>
            </w:r>
            <w:r w:rsidRPr="00904CD2">
              <w:rPr>
                <w:rStyle w:val="Hyperlink"/>
                <w:i/>
                <w:lang w:val="es-MX"/>
              </w:rPr>
              <w:t>Decisión 11 (Rev. Dubá</w:t>
            </w:r>
            <w:r w:rsidR="00064F8F" w:rsidRPr="00904CD2">
              <w:rPr>
                <w:rStyle w:val="Hyperlink"/>
                <w:i/>
                <w:lang w:val="es-MX"/>
              </w:rPr>
              <w:t>i, 2018)</w:t>
            </w:r>
            <w:bookmarkEnd w:id="11"/>
            <w:r w:rsidRPr="00904CD2">
              <w:rPr>
                <w:rStyle w:val="Hyperlink"/>
                <w:i/>
                <w:lang w:val="es-MX"/>
              </w:rPr>
              <w:t xml:space="preserve"> de la Conferencia de Plenipotenciarios</w:t>
            </w:r>
            <w:r>
              <w:rPr>
                <w:i/>
                <w:lang w:val="es-MX"/>
              </w:rPr>
              <w:fldChar w:fldCharType="end"/>
            </w:r>
            <w:r w:rsidR="00064F8F" w:rsidRPr="00904CD2">
              <w:rPr>
                <w:i/>
                <w:iCs/>
                <w:lang w:val="es-MX"/>
              </w:rPr>
              <w:br/>
            </w:r>
            <w:bookmarkStart w:id="12" w:name="lt_pId020"/>
            <w:r w:rsidR="00064F8F" w:rsidRPr="00064F8F">
              <w:rPr>
                <w:i/>
                <w:iCs/>
                <w:lang w:val="en-GB"/>
              </w:rPr>
              <w:fldChar w:fldCharType="begin"/>
            </w:r>
            <w:r w:rsidR="00064F8F" w:rsidRPr="00904CD2">
              <w:rPr>
                <w:i/>
                <w:iCs/>
                <w:lang w:val="es-MX"/>
              </w:rPr>
              <w:instrText xml:space="preserve"> HYPERLINK "https://www.itu.int/en/council/cwg-cop/Pages/default.aspx" </w:instrText>
            </w:r>
            <w:r w:rsidR="00064F8F" w:rsidRPr="00064F8F">
              <w:rPr>
                <w:i/>
                <w:iCs/>
                <w:lang w:val="en-GB"/>
              </w:rPr>
              <w:fldChar w:fldCharType="separate"/>
            </w:r>
            <w:r w:rsidR="00C61FEB">
              <w:rPr>
                <w:rStyle w:val="Hyperlink"/>
                <w:i/>
                <w:iCs/>
                <w:lang w:val="es-MX"/>
              </w:rPr>
              <w:t xml:space="preserve">Sitio web del </w:t>
            </w:r>
            <w:r w:rsidR="00C61FEB" w:rsidRPr="00C61FEB">
              <w:rPr>
                <w:rStyle w:val="Hyperlink"/>
                <w:i/>
                <w:iCs/>
                <w:lang w:val="es-MX"/>
              </w:rPr>
              <w:t>GTC-</w:t>
            </w:r>
            <w:proofErr w:type="spellStart"/>
            <w:r w:rsidR="00C61FEB" w:rsidRPr="00C61FEB">
              <w:rPr>
                <w:rStyle w:val="Hyperlink"/>
                <w:i/>
                <w:iCs/>
                <w:lang w:val="es-MX"/>
              </w:rPr>
              <w:t>PIeL</w:t>
            </w:r>
            <w:proofErr w:type="spellEnd"/>
            <w:r w:rsidR="00064F8F" w:rsidRPr="00064F8F">
              <w:rPr>
                <w:i/>
                <w:iCs/>
                <w:lang w:val="en-GB"/>
              </w:rPr>
              <w:fldChar w:fldCharType="end"/>
            </w:r>
            <w:r w:rsidR="00064F8F" w:rsidRPr="00904CD2">
              <w:rPr>
                <w:i/>
                <w:iCs/>
                <w:lang w:val="es-MX"/>
              </w:rPr>
              <w:t xml:space="preserve">; </w:t>
            </w:r>
            <w:hyperlink r:id="rId8" w:history="1">
              <w:r w:rsidR="00FA5396" w:rsidRPr="00FA5396">
                <w:rPr>
                  <w:rStyle w:val="Hyperlink"/>
                  <w:i/>
                  <w:iCs/>
                  <w:lang w:val="es-MX"/>
                </w:rPr>
                <w:t xml:space="preserve">Resolución </w:t>
              </w:r>
              <w:r w:rsidR="00064F8F" w:rsidRPr="00FA5396">
                <w:rPr>
                  <w:rStyle w:val="Hyperlink"/>
                  <w:i/>
                  <w:iCs/>
                  <w:lang w:val="es-MX"/>
                </w:rPr>
                <w:t>1306</w:t>
              </w:r>
              <w:r w:rsidR="00FA5396" w:rsidRPr="00FA5396">
                <w:rPr>
                  <w:rStyle w:val="Hyperlink"/>
                  <w:i/>
                  <w:iCs/>
                  <w:lang w:val="es-MX"/>
                </w:rPr>
                <w:t xml:space="preserve"> del Consejo</w:t>
              </w:r>
            </w:hyperlink>
            <w:r w:rsidR="00064F8F" w:rsidRPr="00904CD2">
              <w:rPr>
                <w:i/>
                <w:iCs/>
                <w:lang w:val="es-MX"/>
              </w:rPr>
              <w:t xml:space="preserve">, </w:t>
            </w:r>
            <w:hyperlink r:id="rId9" w:history="1">
              <w:r w:rsidR="00064F8F" w:rsidRPr="00551021">
                <w:rPr>
                  <w:rStyle w:val="Hyperlink"/>
                  <w:i/>
                  <w:iCs/>
                  <w:lang w:val="es-MX"/>
                </w:rPr>
                <w:t>Resolu</w:t>
              </w:r>
              <w:r w:rsidR="00FA5396" w:rsidRPr="00551021">
                <w:rPr>
                  <w:rStyle w:val="Hyperlink"/>
                  <w:i/>
                  <w:iCs/>
                  <w:lang w:val="es-MX"/>
                </w:rPr>
                <w:t>ción</w:t>
              </w:r>
              <w:r w:rsidR="00064F8F" w:rsidRPr="00551021">
                <w:rPr>
                  <w:rStyle w:val="Hyperlink"/>
                  <w:i/>
                  <w:iCs/>
                  <w:lang w:val="es-MX"/>
                </w:rPr>
                <w:t xml:space="preserve"> 179</w:t>
              </w:r>
              <w:r w:rsidR="00901790">
                <w:rPr>
                  <w:rStyle w:val="Hyperlink"/>
                  <w:i/>
                  <w:iCs/>
                  <w:lang w:val="es-MX"/>
                </w:rPr>
                <w:br/>
              </w:r>
              <w:r w:rsidR="00064F8F" w:rsidRPr="00551021">
                <w:rPr>
                  <w:rStyle w:val="Hyperlink"/>
                  <w:i/>
                  <w:iCs/>
                  <w:lang w:val="es-MX"/>
                </w:rPr>
                <w:t>(Rev. Dub</w:t>
              </w:r>
              <w:r w:rsidR="00FA5396" w:rsidRPr="00551021">
                <w:rPr>
                  <w:rStyle w:val="Hyperlink"/>
                  <w:i/>
                  <w:iCs/>
                  <w:lang w:val="es-MX"/>
                </w:rPr>
                <w:t>á</w:t>
              </w:r>
              <w:r w:rsidR="00064F8F" w:rsidRPr="00551021">
                <w:rPr>
                  <w:rStyle w:val="Hyperlink"/>
                  <w:i/>
                  <w:iCs/>
                  <w:lang w:val="es-MX"/>
                </w:rPr>
                <w:t>i, 2018</w:t>
              </w:r>
              <w:r w:rsidR="00FA5396" w:rsidRPr="00551021">
                <w:rPr>
                  <w:rStyle w:val="Hyperlink"/>
                  <w:i/>
                  <w:iCs/>
                  <w:lang w:val="es-MX"/>
                </w:rPr>
                <w:t>) de la Conferencia de Plenipotenciarios</w:t>
              </w:r>
              <w:bookmarkEnd w:id="12"/>
            </w:hyperlink>
          </w:p>
        </w:tc>
      </w:tr>
    </w:tbl>
    <w:p w14:paraId="2F29C359" w14:textId="7EFEDD38" w:rsidR="007955DA" w:rsidRDefault="00121A0F" w:rsidP="00901790">
      <w:pPr>
        <w:pStyle w:val="Heading1"/>
      </w:pPr>
      <w:bookmarkStart w:id="13" w:name="lt_pId021"/>
      <w:r w:rsidRPr="00904CD2">
        <w:rPr>
          <w:lang w:val="es-MX"/>
        </w:rPr>
        <w:t>1</w:t>
      </w:r>
      <w:r w:rsidRPr="00904CD2">
        <w:rPr>
          <w:lang w:val="es-MX"/>
        </w:rPr>
        <w:tab/>
      </w:r>
      <w:bookmarkEnd w:id="13"/>
      <w:proofErr w:type="gramStart"/>
      <w:r w:rsidR="00FA5396">
        <w:rPr>
          <w:lang w:val="es-MX"/>
        </w:rPr>
        <w:t>Introducción</w:t>
      </w:r>
      <w:proofErr w:type="gramEnd"/>
    </w:p>
    <w:p w14:paraId="76A9BA43" w14:textId="6F359329" w:rsidR="00121A0F" w:rsidRPr="00302B7B" w:rsidRDefault="00121A0F" w:rsidP="004C0724">
      <w:pPr>
        <w:rPr>
          <w:rFonts w:ascii="Times New Roman" w:hAnsi="Times New Roman"/>
          <w:color w:val="000000"/>
          <w:szCs w:val="24"/>
          <w:lang w:val="es-ES" w:eastAsia="es-ES"/>
        </w:rPr>
      </w:pPr>
      <w:bookmarkStart w:id="14" w:name="_Hlk96507484"/>
      <w:r w:rsidRPr="004C0724">
        <w:rPr>
          <w:bCs/>
          <w:szCs w:val="24"/>
          <w:lang w:val="es-ES"/>
        </w:rPr>
        <w:t>1.1</w:t>
      </w:r>
      <w:bookmarkEnd w:id="14"/>
      <w:r w:rsidRPr="004C0724">
        <w:rPr>
          <w:bCs/>
          <w:szCs w:val="24"/>
          <w:lang w:val="es-ES"/>
        </w:rPr>
        <w:tab/>
      </w:r>
      <w:r w:rsidR="00FA5396">
        <w:rPr>
          <w:bCs/>
          <w:szCs w:val="24"/>
          <w:lang w:val="es-ES"/>
        </w:rPr>
        <w:t>En la Resolución 1306</w:t>
      </w:r>
      <w:r w:rsidR="00292056">
        <w:rPr>
          <w:bCs/>
          <w:szCs w:val="24"/>
          <w:lang w:val="es-ES"/>
        </w:rPr>
        <w:t xml:space="preserve"> del Consejo</w:t>
      </w:r>
      <w:r w:rsidRPr="00302B7B">
        <w:rPr>
          <w:bCs/>
          <w:szCs w:val="24"/>
          <w:lang w:val="es-ES"/>
        </w:rPr>
        <w:t>, se encarga al Grupo de Trabajo del Consejo sobre la Protección de la Infancia en Línea (GTC-</w:t>
      </w:r>
      <w:proofErr w:type="spellStart"/>
      <w:r w:rsidRPr="00302B7B">
        <w:rPr>
          <w:bCs/>
          <w:szCs w:val="24"/>
          <w:lang w:val="es-ES"/>
        </w:rPr>
        <w:t>PIeL</w:t>
      </w:r>
      <w:proofErr w:type="spellEnd"/>
      <w:r w:rsidRPr="00302B7B">
        <w:rPr>
          <w:bCs/>
          <w:szCs w:val="24"/>
          <w:lang w:val="es-ES"/>
        </w:rPr>
        <w:t xml:space="preserve">) que prepare un proyecto de </w:t>
      </w:r>
      <w:r w:rsidR="00292056" w:rsidRPr="00302B7B">
        <w:rPr>
          <w:bCs/>
          <w:szCs w:val="24"/>
          <w:lang w:val="es-ES"/>
        </w:rPr>
        <w:t xml:space="preserve">informe </w:t>
      </w:r>
      <w:r w:rsidRPr="00302B7B">
        <w:rPr>
          <w:bCs/>
          <w:szCs w:val="24"/>
          <w:lang w:val="es-ES"/>
        </w:rPr>
        <w:t>final sobre las actividades realizadas y los resultados logrados en la materia, incluidas propuestas</w:t>
      </w:r>
      <w:r w:rsidRPr="00302B7B">
        <w:rPr>
          <w:rFonts w:ascii="Times New Roman" w:hAnsi="Times New Roman"/>
          <w:color w:val="000000"/>
          <w:szCs w:val="24"/>
          <w:lang w:val="es-ES" w:eastAsia="es-ES"/>
        </w:rPr>
        <w:t xml:space="preserve"> </w:t>
      </w:r>
      <w:r w:rsidRPr="00302B7B">
        <w:rPr>
          <w:bCs/>
          <w:szCs w:val="24"/>
          <w:lang w:val="es-ES"/>
        </w:rPr>
        <w:t>para un futuro examen, llegado el caso, que será examinado por</w:t>
      </w:r>
      <w:r w:rsidR="00FA5396">
        <w:rPr>
          <w:bCs/>
          <w:szCs w:val="24"/>
          <w:lang w:val="es-ES"/>
        </w:rPr>
        <w:t xml:space="preserve"> el Consejo en su reunión de 2022</w:t>
      </w:r>
      <w:r w:rsidRPr="00302B7B">
        <w:rPr>
          <w:bCs/>
          <w:szCs w:val="24"/>
          <w:lang w:val="es-ES"/>
        </w:rPr>
        <w:t xml:space="preserve"> y presentado en la Conferencia de Plenipotenciarios de </w:t>
      </w:r>
      <w:r w:rsidR="00FA5396">
        <w:rPr>
          <w:bCs/>
          <w:szCs w:val="24"/>
          <w:lang w:val="es-ES"/>
        </w:rPr>
        <w:t>2022</w:t>
      </w:r>
      <w:r w:rsidR="00292056">
        <w:rPr>
          <w:bCs/>
          <w:szCs w:val="24"/>
          <w:lang w:val="es-ES"/>
        </w:rPr>
        <w:t xml:space="preserve"> (PP-22)</w:t>
      </w:r>
      <w:r w:rsidRPr="00302B7B">
        <w:rPr>
          <w:bCs/>
          <w:szCs w:val="24"/>
          <w:lang w:val="es-ES"/>
        </w:rPr>
        <w:t>.</w:t>
      </w:r>
    </w:p>
    <w:p w14:paraId="7D8A15A8" w14:textId="616C8DA7" w:rsidR="00121A0F" w:rsidRPr="007E6F03" w:rsidRDefault="00FA5396" w:rsidP="004C0724">
      <w:pPr>
        <w:rPr>
          <w:rFonts w:ascii="Times New Roman" w:hAnsi="Times New Roman"/>
          <w:color w:val="000000"/>
          <w:szCs w:val="24"/>
          <w:lang w:val="es-MX" w:eastAsia="es-ES"/>
        </w:rPr>
      </w:pPr>
      <w:r w:rsidRPr="007E6F03">
        <w:rPr>
          <w:bCs/>
          <w:szCs w:val="24"/>
          <w:lang w:val="es-MX"/>
        </w:rPr>
        <w:t xml:space="preserve">Además, de conformidad con la </w:t>
      </w:r>
      <w:r w:rsidR="004C0E9B" w:rsidRPr="007E6F03">
        <w:rPr>
          <w:bCs/>
          <w:szCs w:val="24"/>
          <w:lang w:val="es-MX"/>
        </w:rPr>
        <w:t>Decisión</w:t>
      </w:r>
      <w:r w:rsidRPr="007E6F03">
        <w:rPr>
          <w:bCs/>
          <w:szCs w:val="24"/>
          <w:lang w:val="es-MX"/>
        </w:rPr>
        <w:t xml:space="preserve"> 11 (Rev. Dubá</w:t>
      </w:r>
      <w:r w:rsidR="00121A0F" w:rsidRPr="007E6F03">
        <w:rPr>
          <w:bCs/>
          <w:szCs w:val="24"/>
          <w:lang w:val="es-MX"/>
        </w:rPr>
        <w:t>i, 2018)</w:t>
      </w:r>
      <w:r w:rsidRPr="007E6F03">
        <w:rPr>
          <w:bCs/>
          <w:szCs w:val="24"/>
          <w:lang w:val="es-MX"/>
        </w:rPr>
        <w:t xml:space="preserve"> de la Conferencia de Plenipotenciarios</w:t>
      </w:r>
      <w:r w:rsidR="00121A0F" w:rsidRPr="007E6F03">
        <w:rPr>
          <w:bCs/>
          <w:szCs w:val="24"/>
          <w:lang w:val="es-MX"/>
        </w:rPr>
        <w:t xml:space="preserve">, </w:t>
      </w:r>
      <w:r w:rsidR="007E6F03" w:rsidRPr="007E6F03">
        <w:rPr>
          <w:bCs/>
          <w:szCs w:val="24"/>
          <w:lang w:val="es-MX"/>
        </w:rPr>
        <w:t>e</w:t>
      </w:r>
      <w:r w:rsidR="007E6F03">
        <w:rPr>
          <w:bCs/>
          <w:szCs w:val="24"/>
          <w:lang w:val="es-MX"/>
        </w:rPr>
        <w:t xml:space="preserve">l </w:t>
      </w:r>
      <w:r w:rsidR="007E6F03" w:rsidRPr="007E6F03">
        <w:rPr>
          <w:bCs/>
          <w:szCs w:val="24"/>
          <w:lang w:val="es-MX"/>
        </w:rPr>
        <w:t>Consejo, en su reunión ordinaria previa a la Conferencia de Plenipotenciarios, examin</w:t>
      </w:r>
      <w:r w:rsidR="007E6F03">
        <w:rPr>
          <w:bCs/>
          <w:szCs w:val="24"/>
          <w:lang w:val="es-MX"/>
        </w:rPr>
        <w:t>ará</w:t>
      </w:r>
      <w:r w:rsidR="007E6F03" w:rsidRPr="007E6F03">
        <w:rPr>
          <w:bCs/>
          <w:szCs w:val="24"/>
          <w:lang w:val="es-MX"/>
        </w:rPr>
        <w:t xml:space="preserve"> los informes cuadrienales de los </w:t>
      </w:r>
      <w:r w:rsidR="007E6F03">
        <w:rPr>
          <w:bCs/>
          <w:szCs w:val="24"/>
          <w:lang w:val="es-MX"/>
        </w:rPr>
        <w:t>Grupos de Trabajo del Consejo (</w:t>
      </w:r>
      <w:r w:rsidR="007E6F03" w:rsidRPr="007E6F03">
        <w:rPr>
          <w:bCs/>
          <w:szCs w:val="24"/>
          <w:lang w:val="es-MX"/>
        </w:rPr>
        <w:t>GTC</w:t>
      </w:r>
      <w:r w:rsidR="007E6F03">
        <w:rPr>
          <w:bCs/>
          <w:szCs w:val="24"/>
          <w:lang w:val="es-MX"/>
        </w:rPr>
        <w:t>)</w:t>
      </w:r>
      <w:r w:rsidR="007E6F03" w:rsidRPr="007E6F03">
        <w:rPr>
          <w:bCs/>
          <w:szCs w:val="24"/>
          <w:lang w:val="es-MX"/>
        </w:rPr>
        <w:t xml:space="preserve"> y present</w:t>
      </w:r>
      <w:r w:rsidR="007E6F03">
        <w:rPr>
          <w:bCs/>
          <w:szCs w:val="24"/>
          <w:lang w:val="es-MX"/>
        </w:rPr>
        <w:t>ará</w:t>
      </w:r>
      <w:r w:rsidR="007E6F03" w:rsidRPr="007E6F03">
        <w:rPr>
          <w:bCs/>
          <w:szCs w:val="24"/>
          <w:lang w:val="es-MX"/>
        </w:rPr>
        <w:t xml:space="preserve"> recomendaciones a la Conferencia de Plenipotenciarios sobre la necesidad de mantener, modificar, disolver o crear los GTC para el próximo periodo</w:t>
      </w:r>
      <w:r w:rsidR="007E6F03">
        <w:rPr>
          <w:bCs/>
          <w:szCs w:val="24"/>
          <w:lang w:val="es-MX"/>
        </w:rPr>
        <w:t>.</w:t>
      </w:r>
    </w:p>
    <w:p w14:paraId="7CC2D0C8" w14:textId="18BBE890" w:rsidR="00121A0F" w:rsidRPr="004C0E9B" w:rsidRDefault="00121A0F" w:rsidP="004C0724">
      <w:pPr>
        <w:rPr>
          <w:lang w:val="es-MX"/>
        </w:rPr>
      </w:pPr>
      <w:r w:rsidRPr="004C0E9B">
        <w:rPr>
          <w:lang w:val="es-MX"/>
        </w:rPr>
        <w:lastRenderedPageBreak/>
        <w:t>1.2</w:t>
      </w:r>
      <w:r w:rsidRPr="004C0E9B">
        <w:rPr>
          <w:lang w:val="es-MX"/>
        </w:rPr>
        <w:tab/>
      </w:r>
      <w:r w:rsidR="004C0E9B" w:rsidRPr="004C0E9B">
        <w:rPr>
          <w:lang w:val="es-MX"/>
        </w:rPr>
        <w:t xml:space="preserve">Así pues, en el presente </w:t>
      </w:r>
      <w:r w:rsidR="00292056" w:rsidRPr="004C0E9B">
        <w:rPr>
          <w:lang w:val="es-MX"/>
        </w:rPr>
        <w:t xml:space="preserve">documento </w:t>
      </w:r>
      <w:r w:rsidR="004C0E9B" w:rsidRPr="004C0E9B">
        <w:rPr>
          <w:lang w:val="es-MX"/>
        </w:rPr>
        <w:t>se resumen los resultados de las cuatro reuniones del GTC-</w:t>
      </w:r>
      <w:proofErr w:type="spellStart"/>
      <w:r w:rsidR="004C0E9B" w:rsidRPr="004C0E9B">
        <w:rPr>
          <w:lang w:val="es-MX"/>
        </w:rPr>
        <w:t>PIeL</w:t>
      </w:r>
      <w:proofErr w:type="spellEnd"/>
      <w:r w:rsidR="004C0E9B">
        <w:rPr>
          <w:lang w:val="es-MX"/>
        </w:rPr>
        <w:t xml:space="preserve"> </w:t>
      </w:r>
      <w:r w:rsidR="004C0E9B" w:rsidRPr="00F255DB">
        <w:rPr>
          <w:lang w:val="es-MX"/>
        </w:rPr>
        <w:t>(</w:t>
      </w:r>
      <w:hyperlink r:id="rId10" w:history="1">
        <w:r w:rsidR="004C0E9B" w:rsidRPr="003340DD">
          <w:rPr>
            <w:rStyle w:val="Hyperlink"/>
            <w:lang w:val="es-MX"/>
          </w:rPr>
          <w:t xml:space="preserve">Informe </w:t>
        </w:r>
        <w:r w:rsidR="004A35FF" w:rsidRPr="003340DD">
          <w:rPr>
            <w:rStyle w:val="Hyperlink"/>
            <w:lang w:val="es-MX"/>
          </w:rPr>
          <w:t xml:space="preserve">de la </w:t>
        </w:r>
        <w:r w:rsidR="00F101C8" w:rsidRPr="003340DD">
          <w:rPr>
            <w:rStyle w:val="Hyperlink"/>
            <w:lang w:val="es-MX"/>
          </w:rPr>
          <w:t>15</w:t>
        </w:r>
        <w:r w:rsidR="004A35FF" w:rsidRPr="003340DD">
          <w:rPr>
            <w:rStyle w:val="Hyperlink"/>
            <w:vertAlign w:val="superscript"/>
            <w:lang w:val="es-MX"/>
          </w:rPr>
          <w:t>a</w:t>
        </w:r>
        <w:r w:rsidR="004C0E9B" w:rsidRPr="003340DD">
          <w:rPr>
            <w:rStyle w:val="Hyperlink"/>
            <w:lang w:val="es-MX"/>
          </w:rPr>
          <w:t xml:space="preserve"> </w:t>
        </w:r>
        <w:r w:rsidR="004A35FF" w:rsidRPr="003340DD">
          <w:rPr>
            <w:rStyle w:val="Hyperlink"/>
            <w:lang w:val="es-MX"/>
          </w:rPr>
          <w:t xml:space="preserve">reunión </w:t>
        </w:r>
        <w:r w:rsidR="004C0E9B" w:rsidRPr="003340DD">
          <w:rPr>
            <w:rStyle w:val="Hyperlink"/>
            <w:lang w:val="es-MX"/>
          </w:rPr>
          <w:t xml:space="preserve">del GTC de </w:t>
        </w:r>
        <w:r w:rsidR="00F101C8" w:rsidRPr="003340DD">
          <w:rPr>
            <w:rStyle w:val="Hyperlink"/>
            <w:lang w:val="es-MX"/>
          </w:rPr>
          <w:t>2019</w:t>
        </w:r>
      </w:hyperlink>
      <w:r w:rsidR="004C0E9B" w:rsidRPr="00F255DB">
        <w:rPr>
          <w:lang w:val="es-MX"/>
        </w:rPr>
        <w:t xml:space="preserve">, </w:t>
      </w:r>
      <w:hyperlink r:id="rId11" w:history="1">
        <w:r w:rsidR="004C0E9B" w:rsidRPr="003340DD">
          <w:rPr>
            <w:rStyle w:val="Hyperlink"/>
            <w:lang w:val="es-MX"/>
          </w:rPr>
          <w:t xml:space="preserve">Informe </w:t>
        </w:r>
        <w:r w:rsidR="004A35FF" w:rsidRPr="003340DD">
          <w:rPr>
            <w:rStyle w:val="Hyperlink"/>
            <w:lang w:val="es-MX"/>
          </w:rPr>
          <w:t xml:space="preserve">de la </w:t>
        </w:r>
        <w:r w:rsidR="00F101C8" w:rsidRPr="003340DD">
          <w:rPr>
            <w:rStyle w:val="Hyperlink"/>
            <w:lang w:val="es-MX"/>
          </w:rPr>
          <w:t>16</w:t>
        </w:r>
        <w:r w:rsidR="004A35FF" w:rsidRPr="003340DD">
          <w:rPr>
            <w:rStyle w:val="Hyperlink"/>
            <w:lang w:val="es-MX"/>
          </w:rPr>
          <w:t>ª reunión</w:t>
        </w:r>
        <w:r w:rsidR="004C0E9B" w:rsidRPr="003340DD">
          <w:rPr>
            <w:rStyle w:val="Hyperlink"/>
            <w:lang w:val="es-MX"/>
          </w:rPr>
          <w:t xml:space="preserve"> del GTC de </w:t>
        </w:r>
        <w:r w:rsidR="00F101C8" w:rsidRPr="003340DD">
          <w:rPr>
            <w:rStyle w:val="Hyperlink"/>
            <w:lang w:val="es-MX"/>
          </w:rPr>
          <w:t>2020</w:t>
        </w:r>
      </w:hyperlink>
      <w:r w:rsidR="004C0E9B" w:rsidRPr="00F255DB">
        <w:rPr>
          <w:lang w:val="es-MX"/>
        </w:rPr>
        <w:t xml:space="preserve">, </w:t>
      </w:r>
      <w:hyperlink r:id="rId12" w:history="1">
        <w:r w:rsidR="004C0E9B" w:rsidRPr="003340DD">
          <w:rPr>
            <w:rStyle w:val="Hyperlink"/>
            <w:lang w:val="es-MX"/>
          </w:rPr>
          <w:t xml:space="preserve">Informe </w:t>
        </w:r>
        <w:r w:rsidR="004A35FF" w:rsidRPr="003340DD">
          <w:rPr>
            <w:rStyle w:val="Hyperlink"/>
            <w:lang w:val="es-MX"/>
          </w:rPr>
          <w:t xml:space="preserve">de la </w:t>
        </w:r>
        <w:r w:rsidR="00F101C8" w:rsidRPr="003340DD">
          <w:rPr>
            <w:rStyle w:val="Hyperlink"/>
            <w:lang w:val="es-MX"/>
          </w:rPr>
          <w:t>17</w:t>
        </w:r>
        <w:r w:rsidR="004A35FF" w:rsidRPr="003340DD">
          <w:rPr>
            <w:rStyle w:val="Hyperlink"/>
            <w:vertAlign w:val="superscript"/>
            <w:lang w:val="es-MX"/>
          </w:rPr>
          <w:t>a</w:t>
        </w:r>
        <w:r w:rsidR="004C0E9B" w:rsidRPr="003340DD">
          <w:rPr>
            <w:rStyle w:val="Hyperlink"/>
            <w:lang w:val="es-MX"/>
          </w:rPr>
          <w:t xml:space="preserve"> </w:t>
        </w:r>
        <w:r w:rsidR="001D6683" w:rsidRPr="003340DD">
          <w:rPr>
            <w:rStyle w:val="Hyperlink"/>
            <w:lang w:val="es-MX"/>
          </w:rPr>
          <w:t xml:space="preserve">reunión </w:t>
        </w:r>
        <w:r w:rsidR="004C0E9B" w:rsidRPr="003340DD">
          <w:rPr>
            <w:rStyle w:val="Hyperlink"/>
            <w:lang w:val="es-MX"/>
          </w:rPr>
          <w:t>d</w:t>
        </w:r>
        <w:r w:rsidR="004A35FF" w:rsidRPr="003340DD">
          <w:rPr>
            <w:rStyle w:val="Hyperlink"/>
            <w:lang w:val="es-MX"/>
          </w:rPr>
          <w:t xml:space="preserve">el GTC </w:t>
        </w:r>
        <w:r w:rsidR="004C0E9B" w:rsidRPr="003340DD">
          <w:rPr>
            <w:rStyle w:val="Hyperlink"/>
            <w:lang w:val="es-MX"/>
          </w:rPr>
          <w:t xml:space="preserve">de </w:t>
        </w:r>
        <w:r w:rsidR="00F101C8" w:rsidRPr="003340DD">
          <w:rPr>
            <w:rStyle w:val="Hyperlink"/>
            <w:lang w:val="es-MX"/>
          </w:rPr>
          <w:t>2021</w:t>
        </w:r>
      </w:hyperlink>
      <w:r w:rsidR="004C0E9B" w:rsidRPr="00F255DB">
        <w:rPr>
          <w:lang w:val="es-MX"/>
        </w:rPr>
        <w:t xml:space="preserve"> e </w:t>
      </w:r>
      <w:hyperlink r:id="rId13" w:history="1">
        <w:r w:rsidR="004C0E9B" w:rsidRPr="003340DD">
          <w:rPr>
            <w:rStyle w:val="Hyperlink"/>
            <w:lang w:val="es-MX"/>
          </w:rPr>
          <w:t xml:space="preserve">Informe </w:t>
        </w:r>
        <w:r w:rsidR="004A35FF" w:rsidRPr="003340DD">
          <w:rPr>
            <w:rStyle w:val="Hyperlink"/>
            <w:lang w:val="es-MX"/>
          </w:rPr>
          <w:t xml:space="preserve">de la </w:t>
        </w:r>
        <w:r w:rsidR="00F101C8" w:rsidRPr="003340DD">
          <w:rPr>
            <w:rStyle w:val="Hyperlink"/>
            <w:lang w:val="es-MX"/>
          </w:rPr>
          <w:t>18</w:t>
        </w:r>
        <w:r w:rsidR="004A35FF" w:rsidRPr="003340DD">
          <w:rPr>
            <w:rStyle w:val="Hyperlink"/>
            <w:vertAlign w:val="superscript"/>
            <w:lang w:val="es-MX"/>
          </w:rPr>
          <w:t>a</w:t>
        </w:r>
        <w:r w:rsidR="004C0E9B" w:rsidRPr="003340DD">
          <w:rPr>
            <w:rStyle w:val="Hyperlink"/>
            <w:lang w:val="es-MX"/>
          </w:rPr>
          <w:t xml:space="preserve"> </w:t>
        </w:r>
        <w:r w:rsidR="004A35FF" w:rsidRPr="003340DD">
          <w:rPr>
            <w:rStyle w:val="Hyperlink"/>
            <w:lang w:val="es-MX"/>
          </w:rPr>
          <w:t xml:space="preserve">reunión </w:t>
        </w:r>
        <w:r w:rsidR="004C0E9B" w:rsidRPr="003340DD">
          <w:rPr>
            <w:rStyle w:val="Hyperlink"/>
            <w:lang w:val="es-MX"/>
          </w:rPr>
          <w:t xml:space="preserve">del GTC de </w:t>
        </w:r>
        <w:r w:rsidR="00F101C8" w:rsidRPr="003340DD">
          <w:rPr>
            <w:rStyle w:val="Hyperlink"/>
            <w:lang w:val="es-MX"/>
          </w:rPr>
          <w:t>2022</w:t>
        </w:r>
      </w:hyperlink>
      <w:r w:rsidR="004C0E9B" w:rsidRPr="00F255DB">
        <w:rPr>
          <w:lang w:val="es-MX"/>
        </w:rPr>
        <w:t>)</w:t>
      </w:r>
      <w:r w:rsidR="00F101C8" w:rsidRPr="00F255DB">
        <w:rPr>
          <w:lang w:val="es-MX"/>
        </w:rPr>
        <w:t xml:space="preserve"> que</w:t>
      </w:r>
      <w:r w:rsidR="00F101C8">
        <w:rPr>
          <w:lang w:val="es-MX"/>
        </w:rPr>
        <w:t xml:space="preserve"> se </w:t>
      </w:r>
      <w:r w:rsidR="004A35FF">
        <w:rPr>
          <w:lang w:val="es-MX"/>
        </w:rPr>
        <w:t>han celebrado</w:t>
      </w:r>
      <w:r w:rsidR="00F101C8">
        <w:rPr>
          <w:lang w:val="es-MX"/>
        </w:rPr>
        <w:t xml:space="preserve"> después de la Conferencia de Plenipotenciarios</w:t>
      </w:r>
      <w:r w:rsidR="004A35FF">
        <w:rPr>
          <w:lang w:val="es-MX"/>
        </w:rPr>
        <w:t xml:space="preserve"> de la UIT</w:t>
      </w:r>
      <w:r w:rsidR="00F101C8">
        <w:rPr>
          <w:lang w:val="es-MX"/>
        </w:rPr>
        <w:t xml:space="preserve"> de 2018.</w:t>
      </w:r>
    </w:p>
    <w:p w14:paraId="05BB574F" w14:textId="43945794" w:rsidR="00AE67B9" w:rsidRPr="00DB604B" w:rsidRDefault="00AE67B9" w:rsidP="00901790">
      <w:pPr>
        <w:pStyle w:val="Heading1"/>
        <w:rPr>
          <w:lang w:val="es-MX"/>
        </w:rPr>
      </w:pPr>
      <w:bookmarkStart w:id="15" w:name="lt_pId025"/>
      <w:r w:rsidRPr="00DB604B">
        <w:rPr>
          <w:lang w:val="es-MX"/>
        </w:rPr>
        <w:t>2</w:t>
      </w:r>
      <w:r w:rsidRPr="00DB604B">
        <w:rPr>
          <w:lang w:val="es-MX"/>
        </w:rPr>
        <w:tab/>
      </w:r>
      <w:bookmarkEnd w:id="15"/>
      <w:proofErr w:type="gramStart"/>
      <w:r w:rsidR="00F101C8" w:rsidRPr="00DB604B">
        <w:rPr>
          <w:lang w:val="es-MX"/>
        </w:rPr>
        <w:t>Actividades</w:t>
      </w:r>
      <w:proofErr w:type="gramEnd"/>
      <w:r w:rsidR="00F101C8" w:rsidRPr="00DB604B">
        <w:rPr>
          <w:lang w:val="es-MX"/>
        </w:rPr>
        <w:t xml:space="preserve"> del GTC-</w:t>
      </w:r>
      <w:proofErr w:type="spellStart"/>
      <w:r w:rsidR="00F101C8" w:rsidRPr="00DB604B">
        <w:rPr>
          <w:lang w:val="es-MX"/>
        </w:rPr>
        <w:t>PIeL</w:t>
      </w:r>
      <w:proofErr w:type="spellEnd"/>
    </w:p>
    <w:p w14:paraId="7B6480CE" w14:textId="798BD2C7" w:rsidR="00121A0F" w:rsidRPr="00F101C8" w:rsidRDefault="00AE67B9" w:rsidP="004C0724">
      <w:pPr>
        <w:rPr>
          <w:rFonts w:cs="Calibri"/>
          <w:lang w:val="es-MX"/>
        </w:rPr>
      </w:pPr>
      <w:r w:rsidRPr="00F101C8">
        <w:rPr>
          <w:lang w:val="es-MX"/>
        </w:rPr>
        <w:t>2.1</w:t>
      </w:r>
      <w:r w:rsidRPr="00F101C8">
        <w:rPr>
          <w:lang w:val="es-MX"/>
        </w:rPr>
        <w:tab/>
      </w:r>
      <w:bookmarkStart w:id="16" w:name="lt_pId027"/>
      <w:r w:rsidR="00F101C8" w:rsidRPr="00F101C8">
        <w:rPr>
          <w:rFonts w:cs="Calibri"/>
          <w:lang w:val="es-MX"/>
        </w:rPr>
        <w:t xml:space="preserve">Los principales resultados de la </w:t>
      </w:r>
      <w:hyperlink r:id="rId14" w:history="1">
        <w:r w:rsidR="00F101C8" w:rsidRPr="001D6683">
          <w:rPr>
            <w:rStyle w:val="Hyperlink"/>
            <w:rFonts w:cs="Calibri"/>
            <w:lang w:val="es-MX"/>
          </w:rPr>
          <w:t>decimoquinta reunión</w:t>
        </w:r>
      </w:hyperlink>
      <w:r w:rsidR="00F101C8" w:rsidRPr="00F101C8">
        <w:rPr>
          <w:rFonts w:cs="Calibri"/>
          <w:lang w:val="es-MX"/>
        </w:rPr>
        <w:t xml:space="preserve"> del GTC-</w:t>
      </w:r>
      <w:proofErr w:type="spellStart"/>
      <w:r w:rsidR="00F101C8" w:rsidRPr="00F101C8">
        <w:rPr>
          <w:rFonts w:cs="Calibri"/>
          <w:lang w:val="es-MX"/>
        </w:rPr>
        <w:t>PIeL</w:t>
      </w:r>
      <w:proofErr w:type="spellEnd"/>
      <w:r w:rsidR="00F101C8" w:rsidRPr="00F101C8">
        <w:rPr>
          <w:rFonts w:cs="Calibri"/>
          <w:lang w:val="es-MX"/>
        </w:rPr>
        <w:t>, celebrada el 26 de septiembre de 2019, fueron</w:t>
      </w:r>
      <w:r w:rsidR="001D6683">
        <w:rPr>
          <w:rFonts w:cs="Calibri"/>
          <w:lang w:val="es-MX"/>
        </w:rPr>
        <w:t xml:space="preserve"> los siguientes</w:t>
      </w:r>
      <w:r w:rsidRPr="00F101C8">
        <w:rPr>
          <w:rFonts w:cs="Calibri"/>
          <w:lang w:val="es-MX"/>
        </w:rPr>
        <w:t>:</w:t>
      </w:r>
      <w:bookmarkEnd w:id="16"/>
    </w:p>
    <w:p w14:paraId="4F390387" w14:textId="77777777" w:rsidR="00AE67B9" w:rsidRPr="003D090E" w:rsidRDefault="00AE67B9" w:rsidP="004C0724">
      <w:pPr>
        <w:pStyle w:val="enumlev1"/>
        <w:rPr>
          <w:lang w:val="es-ES"/>
        </w:rPr>
      </w:pPr>
      <w:r w:rsidRPr="00302B7B">
        <w:rPr>
          <w:lang w:val="es-ES"/>
        </w:rPr>
        <w:t>•</w:t>
      </w:r>
      <w:r w:rsidRPr="00302B7B">
        <w:rPr>
          <w:lang w:val="es-ES"/>
        </w:rPr>
        <w:tab/>
      </w:r>
      <w:r w:rsidRPr="00302B7B">
        <w:t>E</w:t>
      </w:r>
      <w:r w:rsidRPr="003D090E">
        <w:rPr>
          <w:lang w:val="es-ES"/>
        </w:rPr>
        <w:t>l Presidente instó a que se presentaran orientaciones e ideas acerca de la manera de mejorar el número de respuestas recibidas de los jóvenes.</w:t>
      </w:r>
    </w:p>
    <w:p w14:paraId="5949309A" w14:textId="5351D8BD" w:rsidR="00AE67B9" w:rsidRPr="003D090E" w:rsidRDefault="00AE67B9" w:rsidP="004C0724">
      <w:pPr>
        <w:pStyle w:val="enumlev1"/>
        <w:rPr>
          <w:lang w:val="es-ES"/>
        </w:rPr>
      </w:pPr>
      <w:r w:rsidRPr="003D090E">
        <w:rPr>
          <w:lang w:val="es-ES"/>
        </w:rPr>
        <w:t>•</w:t>
      </w:r>
      <w:r w:rsidRPr="003D090E">
        <w:rPr>
          <w:lang w:val="es-ES"/>
        </w:rPr>
        <w:tab/>
        <w:t xml:space="preserve">El Presidente recomendó </w:t>
      </w:r>
      <w:r w:rsidR="00F101C8">
        <w:rPr>
          <w:lang w:val="es-ES"/>
        </w:rPr>
        <w:t xml:space="preserve">una </w:t>
      </w:r>
      <w:r w:rsidRPr="003D090E">
        <w:rPr>
          <w:lang w:val="es-ES"/>
        </w:rPr>
        <w:t xml:space="preserve">mayor implicación y participación </w:t>
      </w:r>
      <w:r w:rsidR="00F101C8" w:rsidRPr="003D090E">
        <w:rPr>
          <w:lang w:val="es-ES"/>
        </w:rPr>
        <w:t xml:space="preserve">de las partes interesadas </w:t>
      </w:r>
      <w:r w:rsidRPr="003D090E">
        <w:rPr>
          <w:lang w:val="es-ES"/>
        </w:rPr>
        <w:t>en las reuniones dado que se trata de una plataforma única para el intercambio de información y de enseñanzas extraídas.</w:t>
      </w:r>
    </w:p>
    <w:p w14:paraId="67DA66A0" w14:textId="2672B078" w:rsidR="00AE67B9" w:rsidRPr="003D090E" w:rsidRDefault="00AE67B9" w:rsidP="004C0724">
      <w:pPr>
        <w:pStyle w:val="enumlev1"/>
        <w:rPr>
          <w:lang w:val="es-ES"/>
        </w:rPr>
      </w:pPr>
      <w:r w:rsidRPr="003D090E">
        <w:rPr>
          <w:lang w:val="es-ES"/>
        </w:rPr>
        <w:t>•</w:t>
      </w:r>
      <w:r w:rsidRPr="003D090E">
        <w:rPr>
          <w:lang w:val="es-ES"/>
        </w:rPr>
        <w:tab/>
      </w:r>
      <w:r w:rsidR="00D87E0D">
        <w:rPr>
          <w:lang w:val="es-ES"/>
        </w:rPr>
        <w:t>El GTC</w:t>
      </w:r>
      <w:r w:rsidR="001D6683">
        <w:rPr>
          <w:lang w:val="es-ES"/>
        </w:rPr>
        <w:t xml:space="preserve"> invitó </w:t>
      </w:r>
      <w:r w:rsidRPr="003D090E">
        <w:rPr>
          <w:lang w:val="es-ES"/>
        </w:rPr>
        <w:t xml:space="preserve">a los </w:t>
      </w:r>
      <w:r w:rsidR="00292056">
        <w:rPr>
          <w:lang w:val="es-ES"/>
        </w:rPr>
        <w:t>m</w:t>
      </w:r>
      <w:r w:rsidR="00292056" w:rsidRPr="003D090E">
        <w:rPr>
          <w:lang w:val="es-ES"/>
        </w:rPr>
        <w:t xml:space="preserve">iembros </w:t>
      </w:r>
      <w:r w:rsidRPr="003D090E">
        <w:rPr>
          <w:lang w:val="es-ES"/>
        </w:rPr>
        <w:t xml:space="preserve">a darse cuenta y </w:t>
      </w:r>
      <w:r w:rsidR="001A6EE2">
        <w:rPr>
          <w:lang w:val="es-ES"/>
        </w:rPr>
        <w:t xml:space="preserve">a </w:t>
      </w:r>
      <w:r w:rsidRPr="003D090E">
        <w:rPr>
          <w:lang w:val="es-ES"/>
        </w:rPr>
        <w:t xml:space="preserve">ser conscientes de la importancia de evaluar la </w:t>
      </w:r>
      <w:r w:rsidR="00D87E0D">
        <w:rPr>
          <w:lang w:val="es-ES"/>
        </w:rPr>
        <w:t xml:space="preserve">eficacia de un </w:t>
      </w:r>
      <w:r w:rsidRPr="003D090E">
        <w:rPr>
          <w:lang w:val="es-ES"/>
        </w:rPr>
        <w:t>programa</w:t>
      </w:r>
      <w:r w:rsidR="00D87E0D">
        <w:rPr>
          <w:lang w:val="es-ES"/>
        </w:rPr>
        <w:t xml:space="preserve"> dado</w:t>
      </w:r>
      <w:r w:rsidRPr="003D090E">
        <w:rPr>
          <w:lang w:val="es-ES"/>
        </w:rPr>
        <w:t>.</w:t>
      </w:r>
    </w:p>
    <w:p w14:paraId="409FEA6E" w14:textId="2FED620F" w:rsidR="00AE67B9" w:rsidRPr="003D090E" w:rsidRDefault="00AE67B9" w:rsidP="004C0724">
      <w:pPr>
        <w:pStyle w:val="enumlev1"/>
        <w:rPr>
          <w:lang w:val="es-ES"/>
        </w:rPr>
      </w:pPr>
      <w:r w:rsidRPr="003D090E">
        <w:rPr>
          <w:lang w:val="es-ES"/>
        </w:rPr>
        <w:t>•</w:t>
      </w:r>
      <w:r w:rsidRPr="003D090E">
        <w:rPr>
          <w:lang w:val="es-ES"/>
        </w:rPr>
        <w:tab/>
        <w:t xml:space="preserve">Se </w:t>
      </w:r>
      <w:r w:rsidR="00D87E0D">
        <w:rPr>
          <w:lang w:val="es-ES"/>
        </w:rPr>
        <w:t>envió</w:t>
      </w:r>
      <w:r w:rsidRPr="003D090E">
        <w:rPr>
          <w:lang w:val="es-ES"/>
        </w:rPr>
        <w:t xml:space="preserve"> una primera declaración de coordinació</w:t>
      </w:r>
      <w:r w:rsidR="00D87E0D">
        <w:rPr>
          <w:lang w:val="es-ES"/>
        </w:rPr>
        <w:t xml:space="preserve">n a la Comisión de Estudio 2 del </w:t>
      </w:r>
      <w:r w:rsidRPr="003D090E">
        <w:rPr>
          <w:lang w:val="es-ES"/>
        </w:rPr>
        <w:t>UIT</w:t>
      </w:r>
      <w:r w:rsidR="00D87E0D">
        <w:rPr>
          <w:lang w:val="es-ES"/>
        </w:rPr>
        <w:t>-D</w:t>
      </w:r>
      <w:r w:rsidRPr="003D090E">
        <w:rPr>
          <w:lang w:val="es-ES"/>
        </w:rPr>
        <w:t xml:space="preserve"> a fin de informar a las delegaciones acerca de la labor en relación con las directrices y de garantizar un proceso más participativo.</w:t>
      </w:r>
    </w:p>
    <w:p w14:paraId="51F163CA" w14:textId="4E1A68F7" w:rsidR="00AE67B9" w:rsidRPr="00302B7B" w:rsidRDefault="00AE67B9" w:rsidP="004C0724">
      <w:pPr>
        <w:pStyle w:val="enumlev1"/>
        <w:rPr>
          <w:rFonts w:cs="Calibri"/>
          <w:color w:val="000000"/>
          <w:sz w:val="27"/>
          <w:szCs w:val="27"/>
        </w:rPr>
      </w:pPr>
      <w:r w:rsidRPr="003D090E">
        <w:rPr>
          <w:lang w:val="es-ES"/>
        </w:rPr>
        <w:t>•</w:t>
      </w:r>
      <w:r w:rsidRPr="003D090E">
        <w:rPr>
          <w:lang w:val="es-ES"/>
        </w:rPr>
        <w:tab/>
        <w:t xml:space="preserve">Se </w:t>
      </w:r>
      <w:r w:rsidR="00D87E0D">
        <w:rPr>
          <w:lang w:val="es-ES"/>
        </w:rPr>
        <w:t>envió</w:t>
      </w:r>
      <w:r w:rsidRPr="003D090E">
        <w:rPr>
          <w:lang w:val="es-ES"/>
        </w:rPr>
        <w:t xml:space="preserve"> una segunda declaración de coordinación al UIT-D para sol</w:t>
      </w:r>
      <w:r w:rsidR="00D87E0D">
        <w:rPr>
          <w:lang w:val="es-ES"/>
        </w:rPr>
        <w:t xml:space="preserve">icitar más información sobre </w:t>
      </w:r>
      <w:r w:rsidR="00150360">
        <w:rPr>
          <w:lang w:val="es-ES"/>
        </w:rPr>
        <w:t xml:space="preserve">el </w:t>
      </w:r>
      <w:r w:rsidR="00150360" w:rsidRPr="00150360">
        <w:rPr>
          <w:lang w:val="es-ES"/>
        </w:rPr>
        <w:t xml:space="preserve">Grupo de Expertos </w:t>
      </w:r>
      <w:r w:rsidR="005A767D">
        <w:rPr>
          <w:lang w:val="es-ES"/>
        </w:rPr>
        <w:t>en</w:t>
      </w:r>
      <w:r w:rsidR="00CA7056">
        <w:rPr>
          <w:lang w:val="es-ES"/>
        </w:rPr>
        <w:t xml:space="preserve"> i</w:t>
      </w:r>
      <w:r w:rsidR="00150360" w:rsidRPr="00150360">
        <w:rPr>
          <w:lang w:val="es-ES"/>
        </w:rPr>
        <w:t xml:space="preserve">ndicadores </w:t>
      </w:r>
      <w:r w:rsidR="00CA7056">
        <w:rPr>
          <w:lang w:val="es-ES"/>
        </w:rPr>
        <w:t>de los</w:t>
      </w:r>
      <w:r w:rsidR="00150360" w:rsidRPr="00150360">
        <w:rPr>
          <w:lang w:val="es-ES"/>
        </w:rPr>
        <w:t xml:space="preserve"> </w:t>
      </w:r>
      <w:r w:rsidR="00CA7056">
        <w:rPr>
          <w:lang w:val="es-ES"/>
        </w:rPr>
        <w:t>h</w:t>
      </w:r>
      <w:r w:rsidR="00150360" w:rsidRPr="00150360">
        <w:rPr>
          <w:lang w:val="es-ES"/>
        </w:rPr>
        <w:t>ogar</w:t>
      </w:r>
      <w:r w:rsidR="00CA7056">
        <w:rPr>
          <w:lang w:val="es-ES"/>
        </w:rPr>
        <w:t>es</w:t>
      </w:r>
      <w:r w:rsidR="00150360" w:rsidRPr="00150360">
        <w:rPr>
          <w:lang w:val="es-ES"/>
        </w:rPr>
        <w:t xml:space="preserve"> </w:t>
      </w:r>
      <w:r w:rsidRPr="003D090E">
        <w:rPr>
          <w:lang w:val="es-ES"/>
        </w:rPr>
        <w:t xml:space="preserve">y el debate conexo sobre los indicadores de </w:t>
      </w:r>
      <w:proofErr w:type="spellStart"/>
      <w:r w:rsidRPr="003D090E">
        <w:rPr>
          <w:lang w:val="es-ES"/>
        </w:rPr>
        <w:t>PIeL</w:t>
      </w:r>
      <w:proofErr w:type="spellEnd"/>
      <w:r w:rsidRPr="003D090E">
        <w:rPr>
          <w:lang w:val="es-ES"/>
        </w:rPr>
        <w:t>.</w:t>
      </w:r>
    </w:p>
    <w:p w14:paraId="6E416332" w14:textId="2DBF3C87" w:rsidR="00AE67B9" w:rsidRPr="00150360" w:rsidRDefault="00AE67B9" w:rsidP="004C0724">
      <w:pPr>
        <w:rPr>
          <w:lang w:val="es-MX"/>
        </w:rPr>
      </w:pPr>
      <w:r w:rsidRPr="004C0724">
        <w:rPr>
          <w:bCs/>
          <w:szCs w:val="24"/>
          <w:lang w:val="es-ES"/>
        </w:rPr>
        <w:t>2.2</w:t>
      </w:r>
      <w:r w:rsidRPr="004C0724">
        <w:rPr>
          <w:bCs/>
          <w:lang w:val="es-ES"/>
        </w:rPr>
        <w:tab/>
      </w:r>
      <w:r w:rsidR="00150360" w:rsidRPr="00150360">
        <w:rPr>
          <w:rFonts w:eastAsia="Calibri" w:cs="Calibri"/>
          <w:lang w:val="es-MX"/>
        </w:rPr>
        <w:t xml:space="preserve">Los principales resultados de la </w:t>
      </w:r>
      <w:hyperlink r:id="rId15" w:history="1">
        <w:r w:rsidR="00150360" w:rsidRPr="005A767D">
          <w:rPr>
            <w:rStyle w:val="Hyperlink"/>
            <w:rFonts w:eastAsia="Calibri" w:cs="Calibri"/>
            <w:lang w:val="es-MX"/>
          </w:rPr>
          <w:t>decimosexta reunión</w:t>
        </w:r>
      </w:hyperlink>
      <w:r w:rsidR="00150360" w:rsidRPr="00150360">
        <w:rPr>
          <w:rFonts w:eastAsia="Calibri" w:cs="Calibri"/>
          <w:lang w:val="es-MX"/>
        </w:rPr>
        <w:t xml:space="preserve"> del GTC-</w:t>
      </w:r>
      <w:proofErr w:type="spellStart"/>
      <w:r w:rsidR="00150360" w:rsidRPr="00150360">
        <w:rPr>
          <w:rFonts w:eastAsia="Calibri" w:cs="Calibri"/>
          <w:lang w:val="es-MX"/>
        </w:rPr>
        <w:t>PIeL</w:t>
      </w:r>
      <w:proofErr w:type="spellEnd"/>
      <w:r w:rsidR="00150360" w:rsidRPr="00150360">
        <w:rPr>
          <w:rFonts w:eastAsia="Calibri" w:cs="Calibri"/>
          <w:lang w:val="es-MX"/>
        </w:rPr>
        <w:t xml:space="preserve">, celebrada el </w:t>
      </w:r>
      <w:r w:rsidR="00150360">
        <w:rPr>
          <w:rFonts w:eastAsia="Calibri" w:cs="Calibri"/>
          <w:lang w:val="es-MX"/>
        </w:rPr>
        <w:t>4 de febrero de 2020</w:t>
      </w:r>
      <w:r w:rsidR="00150360" w:rsidRPr="00150360">
        <w:rPr>
          <w:rFonts w:eastAsia="Calibri" w:cs="Calibri"/>
          <w:lang w:val="es-MX"/>
        </w:rPr>
        <w:t>, fueron</w:t>
      </w:r>
      <w:r w:rsidR="001D6683" w:rsidRPr="001D6683">
        <w:t xml:space="preserve"> </w:t>
      </w:r>
      <w:r w:rsidR="001D6683" w:rsidRPr="001D6683">
        <w:rPr>
          <w:rFonts w:eastAsia="Calibri" w:cs="Calibri"/>
          <w:lang w:val="es-MX"/>
        </w:rPr>
        <w:t>los siguientes</w:t>
      </w:r>
      <w:r w:rsidR="00150360" w:rsidRPr="00150360">
        <w:rPr>
          <w:rFonts w:eastAsia="Calibri" w:cs="Calibri"/>
          <w:lang w:val="es-MX"/>
        </w:rPr>
        <w:t>:</w:t>
      </w:r>
      <w:r w:rsidR="00C773B8" w:rsidRPr="00150360">
        <w:rPr>
          <w:rFonts w:eastAsia="Calibri"/>
          <w:lang w:val="es-MX"/>
        </w:rPr>
        <w:t xml:space="preserve"> </w:t>
      </w:r>
    </w:p>
    <w:p w14:paraId="18C94E69" w14:textId="08113A87" w:rsidR="00AE67B9" w:rsidRPr="00150360" w:rsidRDefault="00AE67B9" w:rsidP="004C0724">
      <w:pPr>
        <w:pStyle w:val="enumlev1"/>
        <w:rPr>
          <w:rFonts w:eastAsia="Calibri" w:cs="Calibri"/>
          <w:lang w:val="es-MX"/>
        </w:rPr>
      </w:pPr>
      <w:r w:rsidRPr="00150360">
        <w:rPr>
          <w:rFonts w:eastAsia="Calibri" w:cs="Calibri"/>
          <w:lang w:val="es-MX"/>
        </w:rPr>
        <w:t>•</w:t>
      </w:r>
      <w:r w:rsidRPr="00150360">
        <w:rPr>
          <w:rFonts w:eastAsia="Calibri" w:cs="Calibri"/>
          <w:lang w:val="es-MX"/>
        </w:rPr>
        <w:tab/>
      </w:r>
      <w:r w:rsidR="00150360" w:rsidRPr="00150360">
        <w:rPr>
          <w:rFonts w:eastAsia="Calibri" w:cs="Calibri"/>
          <w:lang w:val="es-MX"/>
        </w:rPr>
        <w:t xml:space="preserve">El Presidente indicó que se prepararía un informe </w:t>
      </w:r>
      <w:r w:rsidR="00150360">
        <w:rPr>
          <w:rFonts w:eastAsia="Calibri" w:cs="Calibri"/>
          <w:lang w:val="es-MX"/>
        </w:rPr>
        <w:t xml:space="preserve">en el </w:t>
      </w:r>
      <w:r w:rsidR="00150360" w:rsidRPr="00150360">
        <w:rPr>
          <w:rFonts w:eastAsia="Calibri" w:cs="Calibri"/>
          <w:lang w:val="es-MX"/>
        </w:rPr>
        <w:t>que</w:t>
      </w:r>
      <w:r w:rsidR="00150360">
        <w:rPr>
          <w:rFonts w:eastAsia="Calibri" w:cs="Calibri"/>
          <w:lang w:val="es-MX"/>
        </w:rPr>
        <w:t xml:space="preserve"> se</w:t>
      </w:r>
      <w:r w:rsidR="00150360" w:rsidRPr="00150360">
        <w:rPr>
          <w:rFonts w:eastAsia="Calibri" w:cs="Calibri"/>
          <w:lang w:val="es-MX"/>
        </w:rPr>
        <w:t xml:space="preserve"> </w:t>
      </w:r>
      <w:r w:rsidR="00150360">
        <w:rPr>
          <w:rFonts w:eastAsia="Calibri" w:cs="Calibri"/>
          <w:lang w:val="es-MX"/>
        </w:rPr>
        <w:t>abarcarían</w:t>
      </w:r>
      <w:r w:rsidR="00150360" w:rsidRPr="00150360">
        <w:rPr>
          <w:rFonts w:eastAsia="Calibri" w:cs="Calibri"/>
          <w:lang w:val="es-MX"/>
        </w:rPr>
        <w:t xml:space="preserve"> las reuniones decimoquinta y decimosexta del GTC-</w:t>
      </w:r>
      <w:proofErr w:type="spellStart"/>
      <w:r w:rsidR="00150360" w:rsidRPr="00150360">
        <w:rPr>
          <w:rFonts w:eastAsia="Calibri" w:cs="Calibri"/>
          <w:lang w:val="es-MX"/>
        </w:rPr>
        <w:t>PIeL</w:t>
      </w:r>
      <w:proofErr w:type="spellEnd"/>
      <w:r w:rsidR="00150360" w:rsidRPr="00150360">
        <w:rPr>
          <w:rFonts w:eastAsia="Calibri" w:cs="Calibri"/>
          <w:lang w:val="es-MX"/>
        </w:rPr>
        <w:t xml:space="preserve">. </w:t>
      </w:r>
    </w:p>
    <w:p w14:paraId="69497D77" w14:textId="50560E84" w:rsidR="00AE67B9" w:rsidRPr="003D090E" w:rsidRDefault="00AE67B9" w:rsidP="004C0724">
      <w:pPr>
        <w:pStyle w:val="enumlev1"/>
        <w:rPr>
          <w:rFonts w:eastAsia="Calibri" w:cs="Calibri"/>
        </w:rPr>
      </w:pPr>
      <w:r w:rsidRPr="003D090E">
        <w:rPr>
          <w:rFonts w:eastAsia="Calibri" w:cs="Calibri"/>
        </w:rPr>
        <w:t>•</w:t>
      </w:r>
      <w:r w:rsidRPr="003D090E">
        <w:rPr>
          <w:rFonts w:eastAsia="Calibri" w:cs="Calibri"/>
        </w:rPr>
        <w:tab/>
        <w:t xml:space="preserve">La Mascota de la </w:t>
      </w:r>
      <w:proofErr w:type="spellStart"/>
      <w:r w:rsidRPr="003D090E">
        <w:rPr>
          <w:rFonts w:eastAsia="Calibri" w:cs="Calibri"/>
        </w:rPr>
        <w:t>PIeL</w:t>
      </w:r>
      <w:proofErr w:type="spellEnd"/>
      <w:r w:rsidRPr="003D090E">
        <w:rPr>
          <w:rFonts w:eastAsia="Calibri" w:cs="Calibri"/>
        </w:rPr>
        <w:t xml:space="preserve"> se </w:t>
      </w:r>
      <w:r w:rsidR="00150360">
        <w:rPr>
          <w:rFonts w:eastAsia="Calibri" w:cs="Calibri"/>
        </w:rPr>
        <w:t>puso</w:t>
      </w:r>
      <w:r w:rsidRPr="003D090E">
        <w:rPr>
          <w:rFonts w:eastAsia="Calibri" w:cs="Calibri"/>
        </w:rPr>
        <w:t xml:space="preserve"> en línea.</w:t>
      </w:r>
    </w:p>
    <w:p w14:paraId="6F537932" w14:textId="353D77E8" w:rsidR="00AE67B9" w:rsidRPr="00150360" w:rsidRDefault="00AE67B9" w:rsidP="004C0724">
      <w:pPr>
        <w:pStyle w:val="enumlev1"/>
        <w:rPr>
          <w:rFonts w:eastAsia="Calibri" w:cs="Calibri"/>
          <w:lang w:val="es-MX"/>
        </w:rPr>
      </w:pPr>
      <w:r w:rsidRPr="00150360">
        <w:rPr>
          <w:rFonts w:eastAsia="Calibri" w:cs="Calibri"/>
          <w:lang w:val="es-MX"/>
        </w:rPr>
        <w:t>•</w:t>
      </w:r>
      <w:r w:rsidRPr="00150360">
        <w:rPr>
          <w:rFonts w:eastAsia="Calibri" w:cs="Calibri"/>
          <w:lang w:val="es-MX"/>
        </w:rPr>
        <w:tab/>
      </w:r>
      <w:r w:rsidR="00150360" w:rsidRPr="00150360">
        <w:rPr>
          <w:rFonts w:eastAsia="Calibri" w:cs="Calibri"/>
          <w:lang w:val="es-MX"/>
        </w:rPr>
        <w:t xml:space="preserve">El Presidente recomendó una implicación y </w:t>
      </w:r>
      <w:r w:rsidR="00715845">
        <w:rPr>
          <w:rFonts w:eastAsia="Calibri" w:cs="Calibri"/>
          <w:lang w:val="es-MX"/>
        </w:rPr>
        <w:t xml:space="preserve">una </w:t>
      </w:r>
      <w:r w:rsidR="00150360" w:rsidRPr="00150360">
        <w:rPr>
          <w:rFonts w:eastAsia="Calibri" w:cs="Calibri"/>
          <w:lang w:val="es-MX"/>
        </w:rPr>
        <w:t>participación</w:t>
      </w:r>
      <w:r w:rsidR="00715845">
        <w:rPr>
          <w:rFonts w:eastAsia="Calibri" w:cs="Calibri"/>
          <w:lang w:val="es-MX"/>
        </w:rPr>
        <w:t xml:space="preserve"> más proactivas</w:t>
      </w:r>
      <w:r w:rsidR="00150360" w:rsidRPr="00150360">
        <w:rPr>
          <w:rFonts w:eastAsia="Calibri" w:cs="Calibri"/>
          <w:lang w:val="es-MX"/>
        </w:rPr>
        <w:t xml:space="preserve"> </w:t>
      </w:r>
      <w:r w:rsidR="002F27C5" w:rsidRPr="00150360">
        <w:rPr>
          <w:rFonts w:eastAsia="Calibri" w:cs="Calibri"/>
          <w:lang w:val="es-MX"/>
        </w:rPr>
        <w:t xml:space="preserve">de </w:t>
      </w:r>
      <w:r w:rsidR="002F27C5">
        <w:rPr>
          <w:rFonts w:eastAsia="Calibri" w:cs="Calibri"/>
          <w:lang w:val="es-MX"/>
        </w:rPr>
        <w:t>todas las</w:t>
      </w:r>
      <w:r w:rsidR="002F27C5" w:rsidRPr="00150360">
        <w:rPr>
          <w:rFonts w:eastAsia="Calibri" w:cs="Calibri"/>
          <w:lang w:val="es-MX"/>
        </w:rPr>
        <w:t xml:space="preserve"> partes interesadas </w:t>
      </w:r>
      <w:r w:rsidR="002F27C5">
        <w:rPr>
          <w:rFonts w:eastAsia="Calibri" w:cs="Calibri"/>
          <w:lang w:val="es-MX"/>
        </w:rPr>
        <w:t>pertinentes</w:t>
      </w:r>
      <w:r w:rsidR="005A767D">
        <w:rPr>
          <w:rFonts w:eastAsia="Calibri" w:cs="Calibri"/>
          <w:lang w:val="es-MX"/>
        </w:rPr>
        <w:t xml:space="preserve"> </w:t>
      </w:r>
      <w:r w:rsidR="005A767D" w:rsidRPr="00150360">
        <w:rPr>
          <w:rFonts w:eastAsia="Calibri" w:cs="Calibri"/>
          <w:lang w:val="es-MX"/>
        </w:rPr>
        <w:t>en las reuniones</w:t>
      </w:r>
      <w:r w:rsidR="00150360">
        <w:rPr>
          <w:rFonts w:eastAsia="Calibri" w:cs="Calibri"/>
          <w:lang w:val="es-MX"/>
        </w:rPr>
        <w:t xml:space="preserve">, </w:t>
      </w:r>
      <w:r w:rsidR="00715845">
        <w:rPr>
          <w:rFonts w:eastAsia="Calibri" w:cs="Calibri"/>
          <w:lang w:val="es-MX"/>
        </w:rPr>
        <w:t>incluidos</w:t>
      </w:r>
      <w:r w:rsidR="00150360">
        <w:rPr>
          <w:rFonts w:eastAsia="Calibri" w:cs="Calibri"/>
          <w:lang w:val="es-MX"/>
        </w:rPr>
        <w:t xml:space="preserve"> los expertos y los asociados de la UIT en el ámbito de la </w:t>
      </w:r>
      <w:proofErr w:type="spellStart"/>
      <w:r w:rsidR="00150360">
        <w:rPr>
          <w:rFonts w:eastAsia="Calibri" w:cs="Calibri"/>
          <w:lang w:val="es-MX"/>
        </w:rPr>
        <w:t>PIeL</w:t>
      </w:r>
      <w:proofErr w:type="spellEnd"/>
      <w:r w:rsidR="00150360">
        <w:rPr>
          <w:rFonts w:eastAsia="Calibri" w:cs="Calibri"/>
          <w:lang w:val="es-MX"/>
        </w:rPr>
        <w:t xml:space="preserve">, </w:t>
      </w:r>
      <w:r w:rsidR="002F27C5">
        <w:rPr>
          <w:rFonts w:eastAsia="Calibri" w:cs="Calibri"/>
          <w:lang w:val="es-MX"/>
        </w:rPr>
        <w:t xml:space="preserve">y destacó </w:t>
      </w:r>
      <w:r w:rsidR="00150360" w:rsidRPr="00150360">
        <w:rPr>
          <w:rFonts w:eastAsia="Calibri" w:cs="Calibri"/>
          <w:lang w:val="es-MX"/>
        </w:rPr>
        <w:t>que se trata</w:t>
      </w:r>
      <w:r w:rsidR="002F27C5">
        <w:rPr>
          <w:rFonts w:eastAsia="Calibri" w:cs="Calibri"/>
          <w:lang w:val="es-MX"/>
        </w:rPr>
        <w:t>ba</w:t>
      </w:r>
      <w:r w:rsidR="00150360" w:rsidRPr="00150360">
        <w:rPr>
          <w:rFonts w:eastAsia="Calibri" w:cs="Calibri"/>
          <w:lang w:val="es-MX"/>
        </w:rPr>
        <w:t xml:space="preserve"> de una plataforma única para el intercambio de información y de enseñanzas extraídas</w:t>
      </w:r>
      <w:r w:rsidR="002F27C5">
        <w:rPr>
          <w:rFonts w:eastAsia="Calibri" w:cs="Calibri"/>
          <w:lang w:val="es-MX"/>
        </w:rPr>
        <w:t>.</w:t>
      </w:r>
    </w:p>
    <w:p w14:paraId="73EC181F" w14:textId="4E39155E" w:rsidR="00AE67B9" w:rsidRPr="002F27C5" w:rsidRDefault="00AE67B9" w:rsidP="004C0724">
      <w:pPr>
        <w:rPr>
          <w:rFonts w:eastAsia="Calibri" w:cs="Calibri"/>
          <w:lang w:val="es-MX"/>
        </w:rPr>
      </w:pPr>
      <w:r w:rsidRPr="004C0724">
        <w:rPr>
          <w:rFonts w:cs="Calibri"/>
          <w:lang w:val="es-MX"/>
        </w:rPr>
        <w:t>2.3</w:t>
      </w:r>
      <w:r w:rsidRPr="004C0724">
        <w:rPr>
          <w:rFonts w:cs="Calibri"/>
          <w:lang w:val="es-MX"/>
        </w:rPr>
        <w:tab/>
      </w:r>
      <w:r w:rsidR="002F27C5" w:rsidRPr="002F27C5">
        <w:rPr>
          <w:rFonts w:eastAsia="Calibri" w:cs="Calibri"/>
          <w:lang w:val="es-MX"/>
        </w:rPr>
        <w:t xml:space="preserve">Los principales resultados de la </w:t>
      </w:r>
      <w:hyperlink r:id="rId16" w:history="1">
        <w:r w:rsidR="002F27C5" w:rsidRPr="00715845">
          <w:rPr>
            <w:rStyle w:val="Hyperlink"/>
            <w:rFonts w:eastAsia="Calibri" w:cs="Calibri"/>
            <w:lang w:val="es-MX"/>
          </w:rPr>
          <w:t>decimoséptima reunión</w:t>
        </w:r>
      </w:hyperlink>
      <w:r w:rsidR="002F27C5" w:rsidRPr="002F27C5">
        <w:rPr>
          <w:rFonts w:eastAsia="Calibri" w:cs="Calibri"/>
          <w:lang w:val="es-MX"/>
        </w:rPr>
        <w:t xml:space="preserve"> del GTC-</w:t>
      </w:r>
      <w:proofErr w:type="spellStart"/>
      <w:r w:rsidR="002F27C5" w:rsidRPr="002F27C5">
        <w:rPr>
          <w:rFonts w:eastAsia="Calibri" w:cs="Calibri"/>
          <w:lang w:val="es-MX"/>
        </w:rPr>
        <w:t>PIeL</w:t>
      </w:r>
      <w:proofErr w:type="spellEnd"/>
      <w:r w:rsidR="002F27C5" w:rsidRPr="002F27C5">
        <w:rPr>
          <w:rFonts w:eastAsia="Calibri" w:cs="Calibri"/>
          <w:lang w:val="es-MX"/>
        </w:rPr>
        <w:t xml:space="preserve">, celebrada el </w:t>
      </w:r>
      <w:r w:rsidR="002F27C5">
        <w:rPr>
          <w:rFonts w:eastAsia="Calibri" w:cs="Calibri"/>
          <w:lang w:val="es-MX"/>
        </w:rPr>
        <w:t>26 de enero de 2021</w:t>
      </w:r>
      <w:r w:rsidR="002F27C5" w:rsidRPr="002F27C5">
        <w:rPr>
          <w:rFonts w:eastAsia="Calibri" w:cs="Calibri"/>
          <w:lang w:val="es-MX"/>
        </w:rPr>
        <w:t>, fueron</w:t>
      </w:r>
      <w:r w:rsidR="001D6683" w:rsidRPr="001D6683">
        <w:rPr>
          <w:rFonts w:eastAsia="Calibri" w:cs="Calibri"/>
          <w:lang w:val="es-MX"/>
        </w:rPr>
        <w:t xml:space="preserve"> los siguientes</w:t>
      </w:r>
      <w:r w:rsidR="00DB604B">
        <w:rPr>
          <w:rFonts w:eastAsia="Calibri" w:cs="Calibri"/>
          <w:lang w:val="es-MX"/>
        </w:rPr>
        <w:t>:</w:t>
      </w:r>
    </w:p>
    <w:p w14:paraId="70DDE273" w14:textId="232903B7" w:rsidR="00D24DD9" w:rsidRPr="003D090E" w:rsidRDefault="00D24DD9" w:rsidP="004C0724">
      <w:pPr>
        <w:pStyle w:val="enumlev1"/>
        <w:rPr>
          <w:rFonts w:eastAsia="Calibri" w:cs="Calibri"/>
        </w:rPr>
      </w:pPr>
      <w:r w:rsidRPr="003D090E">
        <w:rPr>
          <w:rFonts w:eastAsia="Calibri" w:cs="Calibri"/>
        </w:rPr>
        <w:t>•</w:t>
      </w:r>
      <w:r w:rsidRPr="003D090E">
        <w:rPr>
          <w:rFonts w:eastAsia="Calibri" w:cs="Calibri"/>
        </w:rPr>
        <w:tab/>
        <w:t xml:space="preserve">El </w:t>
      </w:r>
      <w:proofErr w:type="gramStart"/>
      <w:r w:rsidRPr="003D090E">
        <w:rPr>
          <w:rFonts w:eastAsia="Calibri" w:cs="Calibri"/>
        </w:rPr>
        <w:t>Presidente</w:t>
      </w:r>
      <w:proofErr w:type="gramEnd"/>
      <w:r w:rsidRPr="003D090E">
        <w:rPr>
          <w:rFonts w:eastAsia="Calibri" w:cs="Calibri"/>
        </w:rPr>
        <w:t xml:space="preserve"> afirmó que la reunión había tenido una muy buena asistencia y que la participación en los debates tanto verbalmente como en el chat había sido alta, animada e interesante.</w:t>
      </w:r>
    </w:p>
    <w:p w14:paraId="63521C51" w14:textId="017A480C" w:rsidR="00D24DD9" w:rsidRPr="002F27C5" w:rsidRDefault="00D24DD9" w:rsidP="004C0724">
      <w:pPr>
        <w:pStyle w:val="enumlev1"/>
        <w:rPr>
          <w:rFonts w:eastAsia="Calibri" w:cs="Calibri"/>
          <w:lang w:val="es-MX"/>
        </w:rPr>
      </w:pPr>
      <w:r w:rsidRPr="002F27C5">
        <w:rPr>
          <w:rFonts w:eastAsia="Calibri" w:cs="Calibri"/>
          <w:lang w:val="es-MX"/>
        </w:rPr>
        <w:t>•</w:t>
      </w:r>
      <w:r w:rsidRPr="002F27C5">
        <w:rPr>
          <w:rFonts w:eastAsia="Calibri" w:cs="Calibri"/>
          <w:lang w:val="es-MX"/>
        </w:rPr>
        <w:tab/>
      </w:r>
      <w:bookmarkStart w:id="17" w:name="lt_pId041"/>
      <w:r w:rsidR="002F27C5" w:rsidRPr="002F27C5">
        <w:rPr>
          <w:rFonts w:eastAsia="Calibri" w:cs="Calibri"/>
          <w:lang w:val="es-MX"/>
        </w:rPr>
        <w:t xml:space="preserve">El Presidente </w:t>
      </w:r>
      <w:r w:rsidR="002F27C5">
        <w:rPr>
          <w:rFonts w:eastAsia="Calibri" w:cs="Calibri"/>
          <w:lang w:val="es-MX"/>
        </w:rPr>
        <w:t>volvió a alentar</w:t>
      </w:r>
      <w:r w:rsidR="002F27C5" w:rsidRPr="002F27C5">
        <w:rPr>
          <w:rFonts w:eastAsia="Calibri" w:cs="Calibri"/>
          <w:lang w:val="es-MX"/>
        </w:rPr>
        <w:t xml:space="preserve"> a los socios de la UIT en el ámbito de</w:t>
      </w:r>
      <w:r w:rsidR="00715845">
        <w:rPr>
          <w:rFonts w:eastAsia="Calibri" w:cs="Calibri"/>
          <w:lang w:val="es-MX"/>
        </w:rPr>
        <w:t xml:space="preserve"> la</w:t>
      </w:r>
      <w:r w:rsidR="002F27C5" w:rsidRPr="002F27C5">
        <w:rPr>
          <w:rFonts w:eastAsia="Calibri" w:cs="Calibri"/>
          <w:lang w:val="es-MX"/>
        </w:rPr>
        <w:t xml:space="preserve"> </w:t>
      </w:r>
      <w:proofErr w:type="spellStart"/>
      <w:r w:rsidR="002F27C5" w:rsidRPr="002F27C5">
        <w:rPr>
          <w:rFonts w:eastAsia="Calibri" w:cs="Calibri"/>
          <w:lang w:val="es-MX"/>
        </w:rPr>
        <w:t>PIeL</w:t>
      </w:r>
      <w:proofErr w:type="spellEnd"/>
      <w:r w:rsidR="002F27C5" w:rsidRPr="002F27C5">
        <w:rPr>
          <w:rFonts w:eastAsia="Calibri" w:cs="Calibri"/>
          <w:lang w:val="es-MX"/>
        </w:rPr>
        <w:t xml:space="preserve"> a </w:t>
      </w:r>
      <w:r w:rsidR="00715845">
        <w:rPr>
          <w:rFonts w:eastAsia="Calibri" w:cs="Calibri"/>
          <w:lang w:val="es-MX"/>
        </w:rPr>
        <w:t>seguir participando</w:t>
      </w:r>
      <w:r w:rsidR="002F27C5" w:rsidRPr="002F27C5">
        <w:rPr>
          <w:rFonts w:eastAsia="Calibri" w:cs="Calibri"/>
          <w:lang w:val="es-MX"/>
        </w:rPr>
        <w:t xml:space="preserve"> en las reuniones del GTC-</w:t>
      </w:r>
      <w:proofErr w:type="spellStart"/>
      <w:r w:rsidR="002F27C5" w:rsidRPr="002F27C5">
        <w:rPr>
          <w:rFonts w:eastAsia="Calibri" w:cs="Calibri"/>
          <w:lang w:val="es-MX"/>
        </w:rPr>
        <w:t>PIeL</w:t>
      </w:r>
      <w:proofErr w:type="spellEnd"/>
      <w:r w:rsidR="00715845">
        <w:rPr>
          <w:rFonts w:eastAsia="Calibri" w:cs="Calibri"/>
          <w:lang w:val="es-MX"/>
        </w:rPr>
        <w:t>,</w:t>
      </w:r>
      <w:r w:rsidR="002F27C5" w:rsidRPr="002F27C5">
        <w:rPr>
          <w:rFonts w:eastAsia="Calibri" w:cs="Calibri"/>
          <w:lang w:val="es-MX"/>
        </w:rPr>
        <w:t xml:space="preserve"> dado que se trata de una plataforma única para</w:t>
      </w:r>
      <w:r w:rsidR="002F27C5">
        <w:rPr>
          <w:rFonts w:eastAsia="Calibri" w:cs="Calibri"/>
          <w:lang w:val="es-MX"/>
        </w:rPr>
        <w:t xml:space="preserve"> </w:t>
      </w:r>
      <w:r w:rsidR="00715845">
        <w:rPr>
          <w:rFonts w:eastAsia="Calibri" w:cs="Calibri"/>
          <w:lang w:val="es-MX"/>
        </w:rPr>
        <w:t>establecer</w:t>
      </w:r>
      <w:r w:rsidR="002F27C5">
        <w:rPr>
          <w:rFonts w:eastAsia="Calibri" w:cs="Calibri"/>
          <w:lang w:val="es-MX"/>
        </w:rPr>
        <w:t xml:space="preserve"> </w:t>
      </w:r>
      <w:r w:rsidR="00715845">
        <w:rPr>
          <w:rFonts w:eastAsia="Calibri" w:cs="Calibri"/>
          <w:lang w:val="es-MX"/>
        </w:rPr>
        <w:t>enfoques</w:t>
      </w:r>
      <w:r w:rsidR="002F27C5">
        <w:rPr>
          <w:rFonts w:eastAsia="Calibri" w:cs="Calibri"/>
          <w:lang w:val="es-MX"/>
        </w:rPr>
        <w:t xml:space="preserve"> colaborativos </w:t>
      </w:r>
      <w:r w:rsidR="00715845">
        <w:rPr>
          <w:rFonts w:eastAsia="Calibri" w:cs="Calibri"/>
          <w:lang w:val="es-MX"/>
        </w:rPr>
        <w:t>de</w:t>
      </w:r>
      <w:r w:rsidR="002F27C5">
        <w:rPr>
          <w:rFonts w:eastAsia="Calibri" w:cs="Calibri"/>
          <w:lang w:val="es-MX"/>
        </w:rPr>
        <w:t xml:space="preserve"> la protección de la infancia en línea</w:t>
      </w:r>
      <w:r w:rsidRPr="002F27C5">
        <w:rPr>
          <w:rFonts w:eastAsia="Calibri" w:cs="Calibri"/>
          <w:lang w:val="es-MX"/>
        </w:rPr>
        <w:t>.</w:t>
      </w:r>
      <w:bookmarkEnd w:id="17"/>
    </w:p>
    <w:p w14:paraId="790B54DB" w14:textId="1234A35B" w:rsidR="00D24DD9" w:rsidRPr="003D090E" w:rsidRDefault="00D24DD9" w:rsidP="004C0724">
      <w:pPr>
        <w:pStyle w:val="enumlev1"/>
        <w:rPr>
          <w:rFonts w:eastAsia="Calibri" w:cs="Calibri"/>
        </w:rPr>
      </w:pPr>
      <w:r w:rsidRPr="003D090E">
        <w:rPr>
          <w:rFonts w:eastAsia="Calibri" w:cs="Calibri"/>
        </w:rPr>
        <w:t>•</w:t>
      </w:r>
      <w:r w:rsidRPr="003D090E">
        <w:rPr>
          <w:rFonts w:eastAsia="Calibri" w:cs="Calibri"/>
        </w:rPr>
        <w:tab/>
        <w:t>El Presidente recomendó involucrar a las Oficinas Regionales de la UIT en el GTC-</w:t>
      </w:r>
      <w:proofErr w:type="spellStart"/>
      <w:r w:rsidRPr="003D090E">
        <w:rPr>
          <w:rFonts w:eastAsia="Calibri" w:cs="Calibri"/>
        </w:rPr>
        <w:t>PIeL</w:t>
      </w:r>
      <w:proofErr w:type="spellEnd"/>
      <w:r w:rsidRPr="003D090E">
        <w:rPr>
          <w:rFonts w:eastAsia="Calibri" w:cs="Calibri"/>
        </w:rPr>
        <w:t xml:space="preserve"> y las reuniones </w:t>
      </w:r>
      <w:r w:rsidR="002F27C5">
        <w:rPr>
          <w:rFonts w:eastAsia="Calibri" w:cs="Calibri"/>
        </w:rPr>
        <w:t>conexas</w:t>
      </w:r>
      <w:r w:rsidRPr="003D090E">
        <w:rPr>
          <w:rFonts w:eastAsia="Calibri" w:cs="Calibri"/>
        </w:rPr>
        <w:t>.</w:t>
      </w:r>
    </w:p>
    <w:p w14:paraId="20E71E31" w14:textId="3A4791A8" w:rsidR="00D24DD9" w:rsidRPr="003D090E" w:rsidRDefault="00D24DD9" w:rsidP="004C0724">
      <w:pPr>
        <w:pStyle w:val="enumlev1"/>
        <w:rPr>
          <w:rFonts w:eastAsia="Calibri" w:cs="Calibri"/>
        </w:rPr>
      </w:pPr>
      <w:r w:rsidRPr="003D090E">
        <w:rPr>
          <w:rFonts w:eastAsia="Calibri" w:cs="Calibri"/>
        </w:rPr>
        <w:t>•</w:t>
      </w:r>
      <w:r w:rsidRPr="003D090E">
        <w:rPr>
          <w:rFonts w:eastAsia="Calibri" w:cs="Calibri"/>
        </w:rPr>
        <w:tab/>
        <w:t xml:space="preserve">El Reino de Arabia Saudita propuso organizar sesiones informativas sobre temas relacionados con la </w:t>
      </w:r>
      <w:proofErr w:type="spellStart"/>
      <w:r w:rsidR="002F27C5">
        <w:rPr>
          <w:rFonts w:eastAsia="Calibri" w:cs="Calibri"/>
        </w:rPr>
        <w:t>PIeL</w:t>
      </w:r>
      <w:proofErr w:type="spellEnd"/>
      <w:r w:rsidRPr="003D090E">
        <w:rPr>
          <w:rFonts w:eastAsia="Calibri" w:cs="Calibri"/>
        </w:rPr>
        <w:t xml:space="preserve"> con la UIT y los </w:t>
      </w:r>
      <w:r w:rsidR="002F27C5">
        <w:rPr>
          <w:rFonts w:eastAsia="Calibri" w:cs="Calibri"/>
        </w:rPr>
        <w:t>asociados</w:t>
      </w:r>
      <w:r w:rsidRPr="003D090E">
        <w:rPr>
          <w:rFonts w:eastAsia="Calibri" w:cs="Calibri"/>
        </w:rPr>
        <w:t>.</w:t>
      </w:r>
    </w:p>
    <w:p w14:paraId="5D7DFD6A" w14:textId="453156A9" w:rsidR="00D24DD9" w:rsidRDefault="00D24DD9" w:rsidP="004C0724">
      <w:pPr>
        <w:pStyle w:val="enumlev1"/>
        <w:rPr>
          <w:color w:val="000000"/>
          <w:sz w:val="27"/>
          <w:szCs w:val="27"/>
        </w:rPr>
      </w:pPr>
      <w:r w:rsidRPr="003D090E">
        <w:rPr>
          <w:rFonts w:eastAsia="Calibri" w:cs="Calibri"/>
        </w:rPr>
        <w:lastRenderedPageBreak/>
        <w:t>•</w:t>
      </w:r>
      <w:r w:rsidRPr="003D090E">
        <w:rPr>
          <w:rFonts w:eastAsia="Calibri" w:cs="Calibri"/>
        </w:rPr>
        <w:tab/>
        <w:t xml:space="preserve">El </w:t>
      </w:r>
      <w:proofErr w:type="gramStart"/>
      <w:r w:rsidRPr="003D090E">
        <w:rPr>
          <w:rFonts w:eastAsia="Calibri" w:cs="Calibri"/>
        </w:rPr>
        <w:t>Pres</w:t>
      </w:r>
      <w:r w:rsidR="00814363">
        <w:rPr>
          <w:rFonts w:eastAsia="Calibri" w:cs="Calibri"/>
        </w:rPr>
        <w:t>idente</w:t>
      </w:r>
      <w:proofErr w:type="gramEnd"/>
      <w:r w:rsidR="00814363">
        <w:rPr>
          <w:rFonts w:eastAsia="Calibri" w:cs="Calibri"/>
        </w:rPr>
        <w:t xml:space="preserve"> invitó finalmente a los </w:t>
      </w:r>
      <w:r w:rsidR="00292056">
        <w:rPr>
          <w:rFonts w:eastAsia="Calibri" w:cs="Calibri"/>
        </w:rPr>
        <w:t>m</w:t>
      </w:r>
      <w:r w:rsidR="00292056" w:rsidRPr="003D090E">
        <w:rPr>
          <w:rFonts w:eastAsia="Calibri" w:cs="Calibri"/>
        </w:rPr>
        <w:t xml:space="preserve">iembros </w:t>
      </w:r>
      <w:r w:rsidRPr="003D090E">
        <w:rPr>
          <w:rFonts w:eastAsia="Calibri" w:cs="Calibri"/>
        </w:rPr>
        <w:t>del GTC-</w:t>
      </w:r>
      <w:proofErr w:type="spellStart"/>
      <w:r w:rsidRPr="003D090E">
        <w:rPr>
          <w:rFonts w:eastAsia="Calibri" w:cs="Calibri"/>
        </w:rPr>
        <w:t>PIeL</w:t>
      </w:r>
      <w:proofErr w:type="spellEnd"/>
      <w:r w:rsidRPr="003D090E">
        <w:rPr>
          <w:rFonts w:eastAsia="Calibri" w:cs="Calibri"/>
        </w:rPr>
        <w:t xml:space="preserve"> a contribuir al trabajo de la C</w:t>
      </w:r>
      <w:r w:rsidR="002F27C5">
        <w:rPr>
          <w:rFonts w:eastAsia="Calibri" w:cs="Calibri"/>
        </w:rPr>
        <w:t>omisión de Estudio</w:t>
      </w:r>
      <w:r w:rsidRPr="003D090E">
        <w:rPr>
          <w:rFonts w:eastAsia="Calibri" w:cs="Calibri"/>
        </w:rPr>
        <w:t xml:space="preserve"> 2 del UIT-D relacionado con la </w:t>
      </w:r>
      <w:proofErr w:type="spellStart"/>
      <w:r w:rsidRPr="003D090E">
        <w:rPr>
          <w:rFonts w:eastAsia="Calibri" w:cs="Calibri"/>
        </w:rPr>
        <w:t>PIeL</w:t>
      </w:r>
      <w:proofErr w:type="spellEnd"/>
      <w:r w:rsidRPr="003D090E">
        <w:rPr>
          <w:rFonts w:eastAsia="Calibri" w:cs="Calibri"/>
        </w:rPr>
        <w:t>.</w:t>
      </w:r>
    </w:p>
    <w:p w14:paraId="745C2C48" w14:textId="19AD16C8" w:rsidR="00D24DD9" w:rsidRPr="00DB604B" w:rsidRDefault="00D24DD9" w:rsidP="004C0724">
      <w:pPr>
        <w:rPr>
          <w:rFonts w:eastAsia="Calibri" w:cs="Calibri"/>
          <w:lang w:val="es-MX"/>
        </w:rPr>
      </w:pPr>
      <w:r w:rsidRPr="004C0724">
        <w:rPr>
          <w:rFonts w:cs="Calibri"/>
          <w:lang w:val="es-MX"/>
        </w:rPr>
        <w:t>2.4</w:t>
      </w:r>
      <w:r w:rsidRPr="004C0724">
        <w:rPr>
          <w:rFonts w:cs="Calibri"/>
          <w:lang w:val="es-MX"/>
        </w:rPr>
        <w:tab/>
      </w:r>
      <w:bookmarkStart w:id="18" w:name="lt_pId046"/>
      <w:r w:rsidR="00DB604B" w:rsidRPr="00DB604B">
        <w:rPr>
          <w:rFonts w:eastAsia="Calibri" w:cs="Calibri"/>
          <w:lang w:val="es-MX"/>
        </w:rPr>
        <w:t xml:space="preserve">Los principales resultados de la </w:t>
      </w:r>
      <w:hyperlink r:id="rId17" w:history="1">
        <w:r w:rsidR="00DB604B" w:rsidRPr="00172184">
          <w:rPr>
            <w:rStyle w:val="Hyperlink"/>
            <w:rFonts w:eastAsia="Calibri" w:cs="Calibri"/>
            <w:lang w:val="es-MX"/>
          </w:rPr>
          <w:t>decimoctava reunión</w:t>
        </w:r>
      </w:hyperlink>
      <w:r w:rsidR="00DB604B" w:rsidRPr="00DB604B">
        <w:rPr>
          <w:rFonts w:eastAsia="Calibri" w:cs="Calibri"/>
          <w:lang w:val="es-MX"/>
        </w:rPr>
        <w:t xml:space="preserve"> del GTC-</w:t>
      </w:r>
      <w:proofErr w:type="spellStart"/>
      <w:r w:rsidR="00DB604B" w:rsidRPr="00DB604B">
        <w:rPr>
          <w:rFonts w:eastAsia="Calibri" w:cs="Calibri"/>
          <w:lang w:val="es-MX"/>
        </w:rPr>
        <w:t>PIeL</w:t>
      </w:r>
      <w:proofErr w:type="spellEnd"/>
      <w:r w:rsidR="00DB604B" w:rsidRPr="00DB604B">
        <w:rPr>
          <w:rFonts w:eastAsia="Calibri" w:cs="Calibri"/>
          <w:lang w:val="es-MX"/>
        </w:rPr>
        <w:t xml:space="preserve">, celebrada el </w:t>
      </w:r>
      <w:r w:rsidR="00DB604B">
        <w:rPr>
          <w:rFonts w:eastAsia="Calibri" w:cs="Calibri"/>
          <w:lang w:val="es-MX"/>
        </w:rPr>
        <w:t>12</w:t>
      </w:r>
      <w:r w:rsidR="00DB604B" w:rsidRPr="00DB604B">
        <w:rPr>
          <w:rFonts w:eastAsia="Calibri" w:cs="Calibri"/>
          <w:lang w:val="es-MX"/>
        </w:rPr>
        <w:t xml:space="preserve"> de enero de 202</w:t>
      </w:r>
      <w:r w:rsidR="00DB604B">
        <w:rPr>
          <w:rFonts w:eastAsia="Calibri" w:cs="Calibri"/>
          <w:lang w:val="es-MX"/>
        </w:rPr>
        <w:t>2</w:t>
      </w:r>
      <w:r w:rsidR="00DB604B" w:rsidRPr="00DB604B">
        <w:rPr>
          <w:rFonts w:eastAsia="Calibri" w:cs="Calibri"/>
          <w:lang w:val="es-MX"/>
        </w:rPr>
        <w:t>, fueron</w:t>
      </w:r>
      <w:r w:rsidR="001D6683" w:rsidRPr="001D6683">
        <w:rPr>
          <w:rFonts w:eastAsia="Calibri" w:cs="Calibri"/>
          <w:lang w:val="es-MX"/>
        </w:rPr>
        <w:t xml:space="preserve"> los siguientes</w:t>
      </w:r>
      <w:r w:rsidRPr="00DB604B">
        <w:rPr>
          <w:rFonts w:eastAsia="Calibri" w:cs="Calibri"/>
          <w:lang w:val="es-MX"/>
        </w:rPr>
        <w:t>:</w:t>
      </w:r>
      <w:bookmarkEnd w:id="18"/>
    </w:p>
    <w:p w14:paraId="24216FE3" w14:textId="25EC0B44" w:rsidR="00D24DD9" w:rsidRPr="00DB604B" w:rsidRDefault="00B94D2C" w:rsidP="004C0724">
      <w:pPr>
        <w:pStyle w:val="enumlev1"/>
        <w:rPr>
          <w:color w:val="000000"/>
          <w:sz w:val="27"/>
          <w:szCs w:val="27"/>
          <w:lang w:val="es-MX"/>
        </w:rPr>
      </w:pPr>
      <w:bookmarkStart w:id="19" w:name="_Hlk96510865"/>
      <w:r w:rsidRPr="00DB604B">
        <w:rPr>
          <w:rFonts w:eastAsia="Calibri"/>
          <w:lang w:val="es-MX"/>
        </w:rPr>
        <w:t>•</w:t>
      </w:r>
      <w:r w:rsidRPr="00DB604B">
        <w:rPr>
          <w:rFonts w:eastAsia="Calibri"/>
          <w:lang w:val="es-MX"/>
        </w:rPr>
        <w:tab/>
      </w:r>
      <w:bookmarkEnd w:id="19"/>
      <w:r w:rsidR="00DB604B" w:rsidRPr="00DB604B">
        <w:rPr>
          <w:rFonts w:eastAsia="Calibri"/>
          <w:lang w:val="es-MX"/>
        </w:rPr>
        <w:t xml:space="preserve">El Presidente </w:t>
      </w:r>
      <w:r w:rsidR="00172184">
        <w:rPr>
          <w:rFonts w:eastAsia="Calibri"/>
          <w:lang w:val="es-MX"/>
        </w:rPr>
        <w:t>destacó</w:t>
      </w:r>
      <w:r w:rsidR="00DB604B" w:rsidRPr="00DB604B">
        <w:rPr>
          <w:rFonts w:eastAsia="Calibri"/>
          <w:lang w:val="es-MX"/>
        </w:rPr>
        <w:t xml:space="preserve"> el crecimiento del </w:t>
      </w:r>
      <w:r w:rsidR="00DB604B">
        <w:rPr>
          <w:rFonts w:eastAsia="Calibri"/>
          <w:lang w:val="es-MX"/>
        </w:rPr>
        <w:t>GTC-</w:t>
      </w:r>
      <w:proofErr w:type="spellStart"/>
      <w:r w:rsidR="00DB604B">
        <w:rPr>
          <w:rFonts w:eastAsia="Calibri"/>
          <w:lang w:val="es-MX"/>
        </w:rPr>
        <w:t>PIeL</w:t>
      </w:r>
      <w:proofErr w:type="spellEnd"/>
      <w:r w:rsidR="00DB604B">
        <w:rPr>
          <w:rFonts w:eastAsia="Calibri"/>
          <w:lang w:val="es-MX"/>
        </w:rPr>
        <w:t xml:space="preserve"> </w:t>
      </w:r>
      <w:r w:rsidR="00172184">
        <w:rPr>
          <w:rFonts w:eastAsia="Calibri"/>
          <w:lang w:val="es-MX"/>
        </w:rPr>
        <w:t>e indicó</w:t>
      </w:r>
      <w:r w:rsidR="00DB604B">
        <w:rPr>
          <w:rFonts w:eastAsia="Calibri"/>
          <w:lang w:val="es-MX"/>
        </w:rPr>
        <w:t xml:space="preserve"> que esa era la</w:t>
      </w:r>
      <w:r w:rsidR="00DB604B" w:rsidRPr="00DB604B">
        <w:rPr>
          <w:rFonts w:eastAsia="Calibri"/>
          <w:lang w:val="es-MX"/>
        </w:rPr>
        <w:t xml:space="preserve"> reunión </w:t>
      </w:r>
      <w:r w:rsidR="00DB604B">
        <w:rPr>
          <w:rFonts w:eastAsia="Calibri"/>
          <w:lang w:val="es-MX"/>
        </w:rPr>
        <w:t>con</w:t>
      </w:r>
      <w:r w:rsidR="00DB604B" w:rsidRPr="00DB604B">
        <w:rPr>
          <w:rFonts w:eastAsia="Calibri"/>
          <w:lang w:val="es-MX"/>
        </w:rPr>
        <w:t xml:space="preserve"> mayor número de contribuciones (18 en total) y </w:t>
      </w:r>
      <w:r w:rsidR="00DB604B">
        <w:rPr>
          <w:rFonts w:eastAsia="Calibri"/>
          <w:lang w:val="es-MX"/>
        </w:rPr>
        <w:t>de</w:t>
      </w:r>
      <w:r w:rsidR="00DB604B" w:rsidRPr="00DB604B">
        <w:rPr>
          <w:rFonts w:eastAsia="Calibri"/>
          <w:lang w:val="es-MX"/>
        </w:rPr>
        <w:t xml:space="preserve"> participantes (más de 150) [desde la </w:t>
      </w:r>
      <w:r w:rsidR="00DB604B">
        <w:rPr>
          <w:rFonts w:eastAsia="Calibri"/>
          <w:lang w:val="es-MX"/>
        </w:rPr>
        <w:t>creación</w:t>
      </w:r>
      <w:r w:rsidR="00DB604B" w:rsidRPr="00DB604B">
        <w:rPr>
          <w:rFonts w:eastAsia="Calibri"/>
          <w:lang w:val="es-MX"/>
        </w:rPr>
        <w:t xml:space="preserve"> del </w:t>
      </w:r>
      <w:r w:rsidR="00DB604B">
        <w:rPr>
          <w:rFonts w:eastAsia="Calibri"/>
          <w:lang w:val="es-MX"/>
        </w:rPr>
        <w:t>GTC</w:t>
      </w:r>
      <w:r w:rsidR="00DB604B" w:rsidRPr="00DB604B">
        <w:rPr>
          <w:rFonts w:eastAsia="Calibri"/>
          <w:lang w:val="es-MX"/>
        </w:rPr>
        <w:t>].</w:t>
      </w:r>
    </w:p>
    <w:p w14:paraId="2E96215F" w14:textId="51994C19" w:rsidR="004C0724" w:rsidRDefault="00414C0B" w:rsidP="004C0724">
      <w:pPr>
        <w:pStyle w:val="enumlev1"/>
        <w:rPr>
          <w:rFonts w:eastAsia="Calibri"/>
          <w:lang w:val="es-MX"/>
        </w:rPr>
      </w:pPr>
      <w:r w:rsidRPr="00DB604B">
        <w:rPr>
          <w:rFonts w:eastAsia="Calibri"/>
          <w:lang w:val="es-MX"/>
        </w:rPr>
        <w:t>•</w:t>
      </w:r>
      <w:r w:rsidRPr="00DB604B">
        <w:rPr>
          <w:rFonts w:eastAsia="Calibri"/>
          <w:lang w:val="es-MX"/>
        </w:rPr>
        <w:tab/>
      </w:r>
      <w:r w:rsidR="00DB604B" w:rsidRPr="00DB604B">
        <w:rPr>
          <w:rFonts w:eastAsia="Calibri"/>
          <w:lang w:val="es-MX"/>
        </w:rPr>
        <w:t xml:space="preserve">El </w:t>
      </w:r>
      <w:proofErr w:type="gramStart"/>
      <w:r w:rsidR="00DB604B" w:rsidRPr="00DB604B">
        <w:rPr>
          <w:rFonts w:eastAsia="Calibri"/>
          <w:lang w:val="es-MX"/>
        </w:rPr>
        <w:t>Presidente</w:t>
      </w:r>
      <w:proofErr w:type="gramEnd"/>
      <w:r w:rsidR="00DB604B" w:rsidRPr="00DB604B">
        <w:rPr>
          <w:rFonts w:eastAsia="Calibri"/>
          <w:lang w:val="es-MX"/>
        </w:rPr>
        <w:t xml:space="preserve"> afirmó que la participación en los debates tanto verbalmente como en el chat había sido alta, animada e interesante</w:t>
      </w:r>
      <w:r w:rsidR="00DB604B">
        <w:rPr>
          <w:rFonts w:eastAsia="Calibri"/>
          <w:lang w:val="es-MX"/>
        </w:rPr>
        <w:t>, lo que demo</w:t>
      </w:r>
      <w:r w:rsidR="00DB604B" w:rsidRPr="00DB604B">
        <w:rPr>
          <w:rFonts w:eastAsia="Calibri"/>
          <w:lang w:val="es-MX"/>
        </w:rPr>
        <w:t>stra</w:t>
      </w:r>
      <w:r w:rsidR="00DB604B">
        <w:rPr>
          <w:rFonts w:eastAsia="Calibri"/>
          <w:lang w:val="es-MX"/>
        </w:rPr>
        <w:t>ba</w:t>
      </w:r>
      <w:r w:rsidR="00DB604B" w:rsidRPr="00DB604B">
        <w:rPr>
          <w:rFonts w:eastAsia="Calibri"/>
          <w:lang w:val="es-MX"/>
        </w:rPr>
        <w:t xml:space="preserve"> la importancia </w:t>
      </w:r>
      <w:r w:rsidR="00AA3D29">
        <w:rPr>
          <w:rFonts w:eastAsia="Calibri"/>
          <w:lang w:val="es-MX"/>
        </w:rPr>
        <w:t xml:space="preserve">que </w:t>
      </w:r>
      <w:r w:rsidR="00DB604B" w:rsidRPr="00DB604B">
        <w:rPr>
          <w:rFonts w:eastAsia="Calibri"/>
          <w:lang w:val="es-MX"/>
        </w:rPr>
        <w:t xml:space="preserve">este GTC </w:t>
      </w:r>
      <w:r w:rsidR="00AA3D29">
        <w:rPr>
          <w:rFonts w:eastAsia="Calibri"/>
          <w:lang w:val="es-MX"/>
        </w:rPr>
        <w:t xml:space="preserve">había adquirido </w:t>
      </w:r>
      <w:r w:rsidR="00DB604B" w:rsidRPr="00DB604B">
        <w:rPr>
          <w:rFonts w:eastAsia="Calibri"/>
          <w:lang w:val="es-MX"/>
        </w:rPr>
        <w:t xml:space="preserve">para que los </w:t>
      </w:r>
      <w:r w:rsidR="00292056">
        <w:rPr>
          <w:rFonts w:eastAsia="Calibri"/>
          <w:lang w:val="es-MX"/>
        </w:rPr>
        <w:t>m</w:t>
      </w:r>
      <w:r w:rsidR="00292056" w:rsidRPr="00DB604B">
        <w:rPr>
          <w:rFonts w:eastAsia="Calibri"/>
          <w:lang w:val="es-MX"/>
        </w:rPr>
        <w:t xml:space="preserve">iembros </w:t>
      </w:r>
      <w:r w:rsidR="00DB604B" w:rsidRPr="00DB604B">
        <w:rPr>
          <w:rFonts w:eastAsia="Calibri"/>
          <w:lang w:val="es-MX"/>
        </w:rPr>
        <w:t>compart</w:t>
      </w:r>
      <w:r w:rsidR="00AA3D29">
        <w:rPr>
          <w:rFonts w:eastAsia="Calibri"/>
          <w:lang w:val="es-MX"/>
        </w:rPr>
        <w:t>ier</w:t>
      </w:r>
      <w:r w:rsidR="00DB604B" w:rsidRPr="00DB604B">
        <w:rPr>
          <w:rFonts w:eastAsia="Calibri"/>
          <w:lang w:val="es-MX"/>
        </w:rPr>
        <w:t>an sus experiencias en relación con la protección de la infancia en línea.</w:t>
      </w:r>
    </w:p>
    <w:p w14:paraId="65B01982" w14:textId="0CB2DC24" w:rsidR="00DB604B" w:rsidRPr="00DB604B" w:rsidRDefault="004C0724" w:rsidP="004C0724">
      <w:pPr>
        <w:pStyle w:val="enumlev1"/>
        <w:rPr>
          <w:rFonts w:eastAsia="Calibri"/>
          <w:lang w:val="es-MX"/>
        </w:rPr>
      </w:pPr>
      <w:r w:rsidRPr="004C0724">
        <w:rPr>
          <w:rFonts w:eastAsia="Calibri"/>
          <w:lang w:val="es-MX"/>
        </w:rPr>
        <w:t>•</w:t>
      </w:r>
      <w:r>
        <w:rPr>
          <w:rFonts w:eastAsia="Calibri"/>
          <w:lang w:val="es-MX"/>
        </w:rPr>
        <w:tab/>
      </w:r>
      <w:r w:rsidR="00DB604B" w:rsidRPr="00DB604B">
        <w:rPr>
          <w:rFonts w:eastAsia="Calibri"/>
          <w:lang w:val="es-MX"/>
        </w:rPr>
        <w:t xml:space="preserve">El </w:t>
      </w:r>
      <w:proofErr w:type="gramStart"/>
      <w:r w:rsidR="00DB604B" w:rsidRPr="00DB604B">
        <w:rPr>
          <w:rFonts w:eastAsia="Calibri"/>
          <w:lang w:val="es-MX"/>
        </w:rPr>
        <w:t>Presidente</w:t>
      </w:r>
      <w:proofErr w:type="gramEnd"/>
      <w:r w:rsidR="00DB604B" w:rsidRPr="00DB604B">
        <w:rPr>
          <w:rFonts w:eastAsia="Calibri"/>
          <w:lang w:val="es-MX"/>
        </w:rPr>
        <w:t xml:space="preserve"> añadió que cada contribución </w:t>
      </w:r>
      <w:r w:rsidR="00AA3D29">
        <w:rPr>
          <w:rFonts w:eastAsia="Calibri"/>
          <w:lang w:val="es-MX"/>
        </w:rPr>
        <w:t>aportaba</w:t>
      </w:r>
      <w:r w:rsidR="00DB604B" w:rsidRPr="00DB604B">
        <w:rPr>
          <w:rFonts w:eastAsia="Calibri"/>
          <w:lang w:val="es-MX"/>
        </w:rPr>
        <w:t xml:space="preserve"> una perspectiva única en el enfoque</w:t>
      </w:r>
      <w:r w:rsidR="00AA3D29">
        <w:rPr>
          <w:rFonts w:eastAsia="Calibri"/>
          <w:lang w:val="es-MX"/>
        </w:rPr>
        <w:t xml:space="preserve"> holístico</w:t>
      </w:r>
      <w:r w:rsidR="00DB604B" w:rsidRPr="00DB604B">
        <w:rPr>
          <w:rFonts w:eastAsia="Calibri"/>
          <w:lang w:val="es-MX"/>
        </w:rPr>
        <w:t xml:space="preserve"> de la </w:t>
      </w:r>
      <w:r w:rsidR="00292056" w:rsidRPr="00DB604B">
        <w:rPr>
          <w:rFonts w:eastAsia="Calibri"/>
          <w:lang w:val="es-MX"/>
        </w:rPr>
        <w:t xml:space="preserve">iniciativa </w:t>
      </w:r>
      <w:proofErr w:type="spellStart"/>
      <w:r w:rsidR="00DB604B" w:rsidRPr="00DB604B">
        <w:rPr>
          <w:rFonts w:eastAsia="Calibri"/>
          <w:lang w:val="es-MX"/>
        </w:rPr>
        <w:t>PIeL</w:t>
      </w:r>
      <w:proofErr w:type="spellEnd"/>
      <w:r w:rsidR="00292056">
        <w:rPr>
          <w:rFonts w:eastAsia="Calibri"/>
          <w:lang w:val="es-MX"/>
        </w:rPr>
        <w:t>.</w:t>
      </w:r>
      <w:r w:rsidR="00DB604B" w:rsidRPr="00DB604B">
        <w:rPr>
          <w:rFonts w:eastAsia="Calibri"/>
          <w:lang w:val="es-MX"/>
        </w:rPr>
        <w:t xml:space="preserve"> </w:t>
      </w:r>
    </w:p>
    <w:p w14:paraId="5BE83591" w14:textId="3357DC24" w:rsidR="00F46E11" w:rsidRPr="00DB604B" w:rsidRDefault="004C0724" w:rsidP="004C0724">
      <w:pPr>
        <w:pStyle w:val="enumlev1"/>
        <w:rPr>
          <w:rFonts w:eastAsia="Calibri" w:cs="Calibri"/>
          <w:szCs w:val="24"/>
          <w:lang w:val="es-MX"/>
        </w:rPr>
      </w:pPr>
      <w:r w:rsidRPr="004C0724">
        <w:rPr>
          <w:rFonts w:eastAsia="Calibri"/>
          <w:lang w:val="es-MX"/>
        </w:rPr>
        <w:t>•</w:t>
      </w:r>
      <w:r>
        <w:rPr>
          <w:rFonts w:eastAsia="Calibri"/>
          <w:lang w:val="es-MX"/>
        </w:rPr>
        <w:tab/>
      </w:r>
      <w:r w:rsidR="00DB604B" w:rsidRPr="00DB604B">
        <w:rPr>
          <w:rFonts w:eastAsia="Calibri"/>
          <w:lang w:val="es-MX"/>
        </w:rPr>
        <w:t xml:space="preserve">El Presidente recordó a todos los participantes que este año era único </w:t>
      </w:r>
      <w:r w:rsidR="00172184">
        <w:rPr>
          <w:rFonts w:eastAsia="Calibri"/>
          <w:lang w:val="es-MX"/>
        </w:rPr>
        <w:t>por la celebración de</w:t>
      </w:r>
      <w:r w:rsidR="00DB604B" w:rsidRPr="00DB604B">
        <w:rPr>
          <w:rFonts w:eastAsia="Calibri"/>
          <w:lang w:val="es-MX"/>
        </w:rPr>
        <w:t xml:space="preserve"> tres de las pri</w:t>
      </w:r>
      <w:r w:rsidR="00AA3D29">
        <w:rPr>
          <w:rFonts w:eastAsia="Calibri"/>
          <w:lang w:val="es-MX"/>
        </w:rPr>
        <w:t>ncipales conferencias de la UIT, lo que ofrecía</w:t>
      </w:r>
      <w:r w:rsidR="00DB604B" w:rsidRPr="00DB604B">
        <w:rPr>
          <w:rFonts w:eastAsia="Calibri"/>
          <w:lang w:val="es-MX"/>
        </w:rPr>
        <w:t xml:space="preserve"> una gran oportunidad </w:t>
      </w:r>
      <w:r w:rsidR="00AA3D29">
        <w:rPr>
          <w:rFonts w:eastAsia="Calibri"/>
          <w:lang w:val="es-MX"/>
        </w:rPr>
        <w:t>para</w:t>
      </w:r>
      <w:r w:rsidR="00DB604B" w:rsidRPr="00DB604B">
        <w:rPr>
          <w:rFonts w:eastAsia="Calibri"/>
          <w:lang w:val="es-MX"/>
        </w:rPr>
        <w:t xml:space="preserve"> </w:t>
      </w:r>
      <w:r w:rsidR="00AA3D29">
        <w:rPr>
          <w:rFonts w:eastAsia="Calibri"/>
          <w:lang w:val="es-MX"/>
        </w:rPr>
        <w:t>hacer un balance de</w:t>
      </w:r>
      <w:r w:rsidR="00172184">
        <w:rPr>
          <w:rFonts w:eastAsia="Calibri"/>
          <w:lang w:val="es-MX"/>
        </w:rPr>
        <w:t>l</w:t>
      </w:r>
      <w:r w:rsidR="00AA3D29">
        <w:rPr>
          <w:rFonts w:eastAsia="Calibri"/>
          <w:lang w:val="es-MX"/>
        </w:rPr>
        <w:t xml:space="preserve"> </w:t>
      </w:r>
      <w:r w:rsidR="00DB604B" w:rsidRPr="00DB604B">
        <w:rPr>
          <w:rFonts w:eastAsia="Calibri"/>
          <w:lang w:val="es-MX"/>
        </w:rPr>
        <w:t>fructífero</w:t>
      </w:r>
      <w:r w:rsidR="00172184">
        <w:rPr>
          <w:rFonts w:eastAsia="Calibri"/>
          <w:lang w:val="es-MX"/>
        </w:rPr>
        <w:t xml:space="preserve"> </w:t>
      </w:r>
      <w:r w:rsidR="00172184" w:rsidRPr="00DB604B">
        <w:rPr>
          <w:rFonts w:eastAsia="Calibri"/>
          <w:lang w:val="es-MX"/>
        </w:rPr>
        <w:t>periodo</w:t>
      </w:r>
      <w:r w:rsidR="00172184">
        <w:rPr>
          <w:rFonts w:eastAsia="Calibri"/>
          <w:lang w:val="es-MX"/>
        </w:rPr>
        <w:t xml:space="preserve"> transcurrido</w:t>
      </w:r>
      <w:r w:rsidR="00DB604B" w:rsidRPr="00DB604B">
        <w:rPr>
          <w:rFonts w:eastAsia="Calibri"/>
          <w:lang w:val="es-MX"/>
        </w:rPr>
        <w:t xml:space="preserve"> desde la última C</w:t>
      </w:r>
      <w:r w:rsidR="00AA3D29">
        <w:rPr>
          <w:rFonts w:eastAsia="Calibri"/>
          <w:lang w:val="es-MX"/>
        </w:rPr>
        <w:t xml:space="preserve">onferencia de Plenipotenciarios, permitiendo así </w:t>
      </w:r>
      <w:r w:rsidR="00DB604B" w:rsidRPr="00DB604B">
        <w:rPr>
          <w:rFonts w:eastAsia="Calibri"/>
          <w:lang w:val="es-MX"/>
        </w:rPr>
        <w:t xml:space="preserve">a los Estados </w:t>
      </w:r>
      <w:r w:rsidR="00814363">
        <w:rPr>
          <w:rFonts w:eastAsia="Calibri"/>
          <w:lang w:val="es-MX"/>
        </w:rPr>
        <w:t>M</w:t>
      </w:r>
      <w:r w:rsidR="00DB604B" w:rsidRPr="00DB604B">
        <w:rPr>
          <w:rFonts w:eastAsia="Calibri"/>
          <w:lang w:val="es-MX"/>
        </w:rPr>
        <w:t>iembros destacar aspectos importantes de las Resoluciones pertinentes.</w:t>
      </w:r>
    </w:p>
    <w:p w14:paraId="4E71F577" w14:textId="0C16C6AC" w:rsidR="00F46E11" w:rsidRPr="00AA3D29" w:rsidRDefault="00F46E11" w:rsidP="00901790">
      <w:pPr>
        <w:pStyle w:val="Heading1"/>
        <w:rPr>
          <w:bCs/>
          <w:color w:val="000000"/>
          <w:sz w:val="27"/>
          <w:szCs w:val="27"/>
          <w:lang w:val="es-MX"/>
        </w:rPr>
      </w:pPr>
      <w:bookmarkStart w:id="20" w:name="lt_pId051"/>
      <w:r w:rsidRPr="00AA3D29">
        <w:rPr>
          <w:lang w:val="es-MX"/>
        </w:rPr>
        <w:t>3</w:t>
      </w:r>
      <w:r w:rsidRPr="00AA3D29">
        <w:rPr>
          <w:lang w:val="es-MX"/>
        </w:rPr>
        <w:tab/>
      </w:r>
      <w:bookmarkEnd w:id="20"/>
      <w:proofErr w:type="gramStart"/>
      <w:r w:rsidR="00AA3D29" w:rsidRPr="00AA3D29">
        <w:rPr>
          <w:lang w:val="es-MX"/>
        </w:rPr>
        <w:t>Recomendaciones</w:t>
      </w:r>
      <w:proofErr w:type="gramEnd"/>
    </w:p>
    <w:p w14:paraId="2D98B6AB" w14:textId="3B8CF817" w:rsidR="00AA3D29" w:rsidRPr="00AA3D29" w:rsidRDefault="00F46E11" w:rsidP="004C0724">
      <w:pPr>
        <w:rPr>
          <w:rFonts w:eastAsia="Calibri" w:cs="Calibri"/>
          <w:lang w:val="es-MX"/>
        </w:rPr>
      </w:pPr>
      <w:r w:rsidRPr="00AA3D29">
        <w:rPr>
          <w:rFonts w:eastAsia="Calibri" w:cs="Calibri"/>
          <w:lang w:val="es-MX"/>
        </w:rPr>
        <w:t>3.1</w:t>
      </w:r>
      <w:r w:rsidRPr="00AA3D29">
        <w:rPr>
          <w:rFonts w:eastAsia="Calibri" w:cs="Calibri"/>
          <w:lang w:val="es-MX"/>
        </w:rPr>
        <w:tab/>
      </w:r>
      <w:bookmarkStart w:id="21" w:name="lt_pId054"/>
      <w:r w:rsidR="00AA3D29">
        <w:rPr>
          <w:rFonts w:eastAsia="Calibri" w:cs="Calibri"/>
          <w:lang w:val="es-MX"/>
        </w:rPr>
        <w:t>E</w:t>
      </w:r>
      <w:r w:rsidR="00030818">
        <w:rPr>
          <w:rFonts w:eastAsia="Calibri" w:cs="Calibri"/>
          <w:lang w:val="es-MX"/>
        </w:rPr>
        <w:t>l G</w:t>
      </w:r>
      <w:r w:rsidR="00AA3D29" w:rsidRPr="00AA3D29">
        <w:rPr>
          <w:rFonts w:eastAsia="Calibri" w:cs="Calibri"/>
          <w:lang w:val="es-MX"/>
        </w:rPr>
        <w:t xml:space="preserve">rupo recomendó al Consejo que el </w:t>
      </w:r>
      <w:r w:rsidR="00AA3D29">
        <w:rPr>
          <w:rFonts w:eastAsia="Calibri" w:cs="Calibri"/>
          <w:lang w:val="es-MX"/>
        </w:rPr>
        <w:t>GTC-</w:t>
      </w:r>
      <w:proofErr w:type="spellStart"/>
      <w:r w:rsidR="00AA3D29">
        <w:rPr>
          <w:rFonts w:eastAsia="Calibri" w:cs="Calibri"/>
          <w:lang w:val="es-MX"/>
        </w:rPr>
        <w:t>PIeL</w:t>
      </w:r>
      <w:proofErr w:type="spellEnd"/>
      <w:r w:rsidR="00AA3D29" w:rsidRPr="00AA3D29">
        <w:rPr>
          <w:rFonts w:eastAsia="Calibri" w:cs="Calibri"/>
          <w:lang w:val="es-MX"/>
        </w:rPr>
        <w:t xml:space="preserve"> continúe su labor como plataforma única para el intercambio de información, el debate y la colaboración</w:t>
      </w:r>
      <w:r w:rsidR="00AA3D29">
        <w:rPr>
          <w:rFonts w:eastAsia="Calibri" w:cs="Calibri"/>
          <w:lang w:val="es-MX"/>
        </w:rPr>
        <w:t xml:space="preserve"> en el ámbito de la</w:t>
      </w:r>
      <w:r w:rsidR="00AA3D29" w:rsidRPr="00AA3D29">
        <w:rPr>
          <w:rFonts w:eastAsia="Calibri" w:cs="Calibri"/>
          <w:lang w:val="es-MX"/>
        </w:rPr>
        <w:t xml:space="preserve"> protección de la infancia en línea, así como su </w:t>
      </w:r>
      <w:r w:rsidR="00030818">
        <w:rPr>
          <w:rFonts w:eastAsia="Calibri" w:cs="Calibri"/>
          <w:lang w:val="es-MX"/>
        </w:rPr>
        <w:t>función fundamental</w:t>
      </w:r>
      <w:r w:rsidR="00AA3D29" w:rsidRPr="00AA3D29">
        <w:rPr>
          <w:rFonts w:eastAsia="Calibri" w:cs="Calibri"/>
          <w:lang w:val="es-MX"/>
        </w:rPr>
        <w:t xml:space="preserve"> en el asesoramiento </w:t>
      </w:r>
      <w:r w:rsidR="00030818">
        <w:rPr>
          <w:rFonts w:eastAsia="Calibri" w:cs="Calibri"/>
          <w:lang w:val="es-MX"/>
        </w:rPr>
        <w:t>a</w:t>
      </w:r>
      <w:r w:rsidR="00AA3D29" w:rsidRPr="00AA3D29">
        <w:rPr>
          <w:rFonts w:eastAsia="Calibri" w:cs="Calibri"/>
          <w:lang w:val="es-MX"/>
        </w:rPr>
        <w:t xml:space="preserve"> la UIT sobre su trabajo en </w:t>
      </w:r>
      <w:r w:rsidR="00030818">
        <w:rPr>
          <w:rFonts w:eastAsia="Calibri" w:cs="Calibri"/>
          <w:lang w:val="es-MX"/>
        </w:rPr>
        <w:t xml:space="preserve">la </w:t>
      </w:r>
      <w:r w:rsidR="00AA3D29" w:rsidRPr="00AA3D29">
        <w:rPr>
          <w:rFonts w:eastAsia="Calibri" w:cs="Calibri"/>
          <w:lang w:val="es-MX"/>
        </w:rPr>
        <w:t>materia</w:t>
      </w:r>
      <w:r w:rsidR="00030818">
        <w:rPr>
          <w:rFonts w:eastAsia="Calibri" w:cs="Calibri"/>
          <w:lang w:val="es-MX"/>
        </w:rPr>
        <w:t>. El G</w:t>
      </w:r>
      <w:r w:rsidR="00AA3D29" w:rsidRPr="00AA3D29">
        <w:rPr>
          <w:rFonts w:eastAsia="Calibri" w:cs="Calibri"/>
          <w:lang w:val="es-MX"/>
        </w:rPr>
        <w:t xml:space="preserve">rupo valoró la calidad de las reuniones, que </w:t>
      </w:r>
      <w:r w:rsidR="00030818">
        <w:rPr>
          <w:rFonts w:eastAsia="Calibri" w:cs="Calibri"/>
          <w:lang w:val="es-MX"/>
        </w:rPr>
        <w:t>contribuyeron</w:t>
      </w:r>
      <w:r w:rsidR="00AA3D29" w:rsidRPr="00AA3D29">
        <w:rPr>
          <w:rFonts w:eastAsia="Calibri" w:cs="Calibri"/>
          <w:lang w:val="es-MX"/>
        </w:rPr>
        <w:t xml:space="preserve"> a identificar y recopilar las mejores prácticas y las </w:t>
      </w:r>
      <w:r w:rsidR="00030818">
        <w:rPr>
          <w:rFonts w:eastAsia="Calibri" w:cs="Calibri"/>
          <w:lang w:val="es-MX"/>
        </w:rPr>
        <w:t>enseñanzas extraídas,</w:t>
      </w:r>
      <w:r w:rsidR="00AA3D29" w:rsidRPr="00AA3D29">
        <w:rPr>
          <w:rFonts w:eastAsia="Calibri" w:cs="Calibri"/>
          <w:lang w:val="es-MX"/>
        </w:rPr>
        <w:t xml:space="preserve"> a </w:t>
      </w:r>
      <w:r w:rsidR="00030818">
        <w:rPr>
          <w:rFonts w:eastAsia="Calibri" w:cs="Calibri"/>
          <w:lang w:val="es-MX"/>
        </w:rPr>
        <w:t>implicarse</w:t>
      </w:r>
      <w:r w:rsidR="00AA3D29" w:rsidRPr="00AA3D29">
        <w:rPr>
          <w:rFonts w:eastAsia="Calibri" w:cs="Calibri"/>
          <w:lang w:val="es-MX"/>
        </w:rPr>
        <w:t xml:space="preserve"> y a cooperar con todas las partes interesadas en este ámbito. La participación cada vez más activa en las reuniones </w:t>
      </w:r>
      <w:r w:rsidR="00814363">
        <w:rPr>
          <w:rFonts w:eastAsia="Calibri" w:cs="Calibri"/>
          <w:lang w:val="es-MX"/>
        </w:rPr>
        <w:t>ponía de relieve la validez de</w:t>
      </w:r>
      <w:r w:rsidR="00AA3D29" w:rsidRPr="00AA3D29">
        <w:rPr>
          <w:rFonts w:eastAsia="Calibri" w:cs="Calibri"/>
          <w:lang w:val="es-MX"/>
        </w:rPr>
        <w:t xml:space="preserve"> la recomendación del </w:t>
      </w:r>
      <w:r w:rsidR="00030818">
        <w:rPr>
          <w:rFonts w:eastAsia="Calibri" w:cs="Calibri"/>
          <w:lang w:val="es-MX"/>
        </w:rPr>
        <w:t>G</w:t>
      </w:r>
      <w:r w:rsidR="00AA3D29" w:rsidRPr="00AA3D29">
        <w:rPr>
          <w:rFonts w:eastAsia="Calibri" w:cs="Calibri"/>
          <w:lang w:val="es-MX"/>
        </w:rPr>
        <w:t xml:space="preserve">rupo </w:t>
      </w:r>
      <w:r w:rsidR="00030818">
        <w:rPr>
          <w:rFonts w:eastAsia="Calibri" w:cs="Calibri"/>
          <w:lang w:val="es-MX"/>
        </w:rPr>
        <w:t>de</w:t>
      </w:r>
      <w:r w:rsidR="00AA3D29" w:rsidRPr="00AA3D29">
        <w:rPr>
          <w:rFonts w:eastAsia="Calibri" w:cs="Calibri"/>
          <w:lang w:val="es-MX"/>
        </w:rPr>
        <w:t xml:space="preserve"> que </w:t>
      </w:r>
      <w:r w:rsidR="00030818">
        <w:rPr>
          <w:rFonts w:eastAsia="Calibri" w:cs="Calibri"/>
          <w:lang w:val="es-MX"/>
        </w:rPr>
        <w:t>el GTC-</w:t>
      </w:r>
      <w:proofErr w:type="spellStart"/>
      <w:r w:rsidR="00030818">
        <w:rPr>
          <w:rFonts w:eastAsia="Calibri" w:cs="Calibri"/>
          <w:lang w:val="es-MX"/>
        </w:rPr>
        <w:t>PIeL</w:t>
      </w:r>
      <w:proofErr w:type="spellEnd"/>
      <w:r w:rsidR="00030818">
        <w:rPr>
          <w:rFonts w:eastAsia="Calibri" w:cs="Calibri"/>
          <w:lang w:val="es-MX"/>
        </w:rPr>
        <w:t xml:space="preserve"> siguiera funcionando.</w:t>
      </w:r>
    </w:p>
    <w:bookmarkEnd w:id="21"/>
    <w:p w14:paraId="3D68B69B" w14:textId="46F8D251" w:rsidR="00F46E11" w:rsidRPr="00030818" w:rsidRDefault="00F46E11" w:rsidP="004C0724">
      <w:pPr>
        <w:rPr>
          <w:rFonts w:eastAsia="Calibri" w:cs="Calibri"/>
          <w:lang w:val="es-MX"/>
        </w:rPr>
      </w:pPr>
      <w:r w:rsidRPr="00030818">
        <w:rPr>
          <w:rFonts w:eastAsia="Calibri" w:cs="Calibri"/>
          <w:lang w:val="es-MX"/>
        </w:rPr>
        <w:t>3.2</w:t>
      </w:r>
      <w:r w:rsidRPr="00030818">
        <w:rPr>
          <w:rFonts w:eastAsia="Calibri" w:cs="Calibri"/>
          <w:lang w:val="es-MX"/>
        </w:rPr>
        <w:tab/>
      </w:r>
      <w:bookmarkStart w:id="22" w:name="lt_pId056"/>
      <w:r w:rsidR="00030818">
        <w:rPr>
          <w:rFonts w:eastAsia="Calibri" w:cs="Calibri"/>
          <w:lang w:val="es-MX"/>
        </w:rPr>
        <w:t xml:space="preserve">Se sugirió </w:t>
      </w:r>
      <w:r w:rsidR="00150208">
        <w:rPr>
          <w:rFonts w:eastAsia="Calibri" w:cs="Calibri"/>
          <w:lang w:val="es-MX"/>
        </w:rPr>
        <w:t xml:space="preserve">la posibilidad de </w:t>
      </w:r>
      <w:r w:rsidR="00030818">
        <w:rPr>
          <w:rFonts w:eastAsia="Calibri" w:cs="Calibri"/>
          <w:lang w:val="es-MX"/>
        </w:rPr>
        <w:t xml:space="preserve">modificar el mandato </w:t>
      </w:r>
      <w:r w:rsidR="00030818" w:rsidRPr="00030818">
        <w:rPr>
          <w:rFonts w:eastAsia="Calibri" w:cs="Calibri"/>
          <w:lang w:val="es-MX"/>
        </w:rPr>
        <w:t xml:space="preserve">del </w:t>
      </w:r>
      <w:r w:rsidR="00030818">
        <w:rPr>
          <w:rFonts w:eastAsia="Calibri" w:cs="Calibri"/>
          <w:lang w:val="es-MX"/>
        </w:rPr>
        <w:t>GTC-</w:t>
      </w:r>
      <w:proofErr w:type="spellStart"/>
      <w:r w:rsidR="00030818">
        <w:rPr>
          <w:rFonts w:eastAsia="Calibri" w:cs="Calibri"/>
          <w:lang w:val="es-MX"/>
        </w:rPr>
        <w:t>PIeL</w:t>
      </w:r>
      <w:proofErr w:type="spellEnd"/>
      <w:r w:rsidR="00030818">
        <w:rPr>
          <w:rFonts w:eastAsia="Calibri" w:cs="Calibri"/>
          <w:lang w:val="es-MX"/>
        </w:rPr>
        <w:t xml:space="preserve"> para</w:t>
      </w:r>
      <w:r w:rsidR="00030818" w:rsidRPr="00030818">
        <w:rPr>
          <w:rFonts w:eastAsia="Calibri" w:cs="Calibri"/>
          <w:lang w:val="es-MX"/>
        </w:rPr>
        <w:t xml:space="preserve"> </w:t>
      </w:r>
      <w:r w:rsidR="00030818">
        <w:rPr>
          <w:rFonts w:eastAsia="Calibri" w:cs="Calibri"/>
          <w:lang w:val="es-MX"/>
        </w:rPr>
        <w:t>indicar</w:t>
      </w:r>
      <w:r w:rsidR="00030818" w:rsidRPr="00030818">
        <w:rPr>
          <w:rFonts w:eastAsia="Calibri" w:cs="Calibri"/>
          <w:lang w:val="es-MX"/>
        </w:rPr>
        <w:t xml:space="preserve"> mejor su naturaleza, funcionalidad y objetivos como plataforma para el intercambio de información, la recopilación de mejores prácticas, la coordinación de esfuerzos y la cooperación entre las partes interesadas que trabajan en</w:t>
      </w:r>
      <w:r w:rsidR="00150208">
        <w:rPr>
          <w:rFonts w:eastAsia="Calibri" w:cs="Calibri"/>
          <w:lang w:val="es-MX"/>
        </w:rPr>
        <w:t xml:space="preserve"> el ámbito de</w:t>
      </w:r>
      <w:r w:rsidR="00030818" w:rsidRPr="00030818">
        <w:rPr>
          <w:rFonts w:eastAsia="Calibri" w:cs="Calibri"/>
          <w:lang w:val="es-MX"/>
        </w:rPr>
        <w:t xml:space="preserve"> la protección de la infancia en línea</w:t>
      </w:r>
      <w:r w:rsidRPr="00030818">
        <w:rPr>
          <w:rFonts w:eastAsia="Calibri" w:cs="Calibri"/>
          <w:lang w:val="es-MX"/>
        </w:rPr>
        <w:t>.</w:t>
      </w:r>
      <w:bookmarkEnd w:id="22"/>
    </w:p>
    <w:p w14:paraId="3FB0FE4C" w14:textId="6C162BF1" w:rsidR="00D24DD9" w:rsidRDefault="00F46E11" w:rsidP="00901790">
      <w:pPr>
        <w:pStyle w:val="Heading1"/>
        <w:rPr>
          <w:bCs/>
          <w:color w:val="000000"/>
          <w:sz w:val="27"/>
          <w:szCs w:val="27"/>
        </w:rPr>
      </w:pPr>
      <w:r w:rsidRPr="00904CD2">
        <w:rPr>
          <w:lang w:val="es-MX"/>
        </w:rPr>
        <w:t>4</w:t>
      </w:r>
      <w:r w:rsidRPr="00904CD2">
        <w:rPr>
          <w:lang w:val="es-MX"/>
        </w:rPr>
        <w:tab/>
      </w:r>
      <w:proofErr w:type="gramStart"/>
      <w:r w:rsidRPr="00904CD2">
        <w:rPr>
          <w:lang w:val="es-MX"/>
        </w:rPr>
        <w:t>Agradecimientos</w:t>
      </w:r>
      <w:proofErr w:type="gramEnd"/>
    </w:p>
    <w:p w14:paraId="74EEEEDB" w14:textId="729F2A21" w:rsidR="00121A0F" w:rsidRDefault="00030818" w:rsidP="004C0724">
      <w:pPr>
        <w:rPr>
          <w:rFonts w:eastAsia="Calibri" w:cs="Calibri"/>
        </w:rPr>
      </w:pPr>
      <w:r>
        <w:rPr>
          <w:rFonts w:eastAsia="Calibri" w:cs="Calibri"/>
        </w:rPr>
        <w:t xml:space="preserve">Agradezco a los </w:t>
      </w:r>
      <w:r w:rsidR="00292056">
        <w:rPr>
          <w:rFonts w:eastAsia="Calibri" w:cs="Calibri"/>
        </w:rPr>
        <w:t>m</w:t>
      </w:r>
      <w:r w:rsidR="00292056" w:rsidRPr="003D090E">
        <w:rPr>
          <w:rFonts w:eastAsia="Calibri" w:cs="Calibri"/>
        </w:rPr>
        <w:t xml:space="preserve">iembros </w:t>
      </w:r>
      <w:r w:rsidR="00F46E11" w:rsidRPr="003D090E">
        <w:rPr>
          <w:rFonts w:eastAsia="Calibri" w:cs="Calibri"/>
        </w:rPr>
        <w:t xml:space="preserve">de la UIT </w:t>
      </w:r>
      <w:r w:rsidR="00700427">
        <w:rPr>
          <w:rFonts w:eastAsia="Calibri" w:cs="Calibri"/>
        </w:rPr>
        <w:t xml:space="preserve">y a todos los asociados </w:t>
      </w:r>
      <w:r w:rsidR="00150208">
        <w:rPr>
          <w:rFonts w:eastAsia="Calibri" w:cs="Calibri"/>
        </w:rPr>
        <w:t xml:space="preserve">de la Unión </w:t>
      </w:r>
      <w:r w:rsidR="00700427">
        <w:rPr>
          <w:rFonts w:eastAsia="Calibri" w:cs="Calibri"/>
        </w:rPr>
        <w:t xml:space="preserve">en el ámbito de la protección de la infancia en línea </w:t>
      </w:r>
      <w:r w:rsidR="00F46E11" w:rsidRPr="003D090E">
        <w:rPr>
          <w:rFonts w:eastAsia="Calibri" w:cs="Calibri"/>
        </w:rPr>
        <w:t>que han contribuido y participado activamente en los trabajos del GTC-</w:t>
      </w:r>
      <w:proofErr w:type="spellStart"/>
      <w:r w:rsidR="00F46E11" w:rsidRPr="003D090E">
        <w:rPr>
          <w:rFonts w:eastAsia="Calibri" w:cs="Calibri"/>
        </w:rPr>
        <w:t>PIeL</w:t>
      </w:r>
      <w:proofErr w:type="spellEnd"/>
      <w:r w:rsidR="00F46E11" w:rsidRPr="003D090E">
        <w:rPr>
          <w:rFonts w:eastAsia="Calibri" w:cs="Calibri"/>
        </w:rPr>
        <w:t xml:space="preserve">, a los </w:t>
      </w:r>
      <w:proofErr w:type="gramStart"/>
      <w:r w:rsidR="00F46E11" w:rsidRPr="003D090E">
        <w:rPr>
          <w:rFonts w:eastAsia="Calibri" w:cs="Calibri"/>
        </w:rPr>
        <w:t>Vicepresidentes</w:t>
      </w:r>
      <w:proofErr w:type="gramEnd"/>
      <w:r w:rsidR="00F46E11" w:rsidRPr="003D090E">
        <w:rPr>
          <w:rFonts w:eastAsia="Calibri" w:cs="Calibri"/>
        </w:rPr>
        <w:t>, a los funcionarios de elección de la UIT y a la Secretaría su eficien</w:t>
      </w:r>
      <w:r w:rsidR="00700427">
        <w:rPr>
          <w:rFonts w:eastAsia="Calibri" w:cs="Calibri"/>
        </w:rPr>
        <w:t>te ayuda durante las reuniones.</w:t>
      </w:r>
    </w:p>
    <w:p w14:paraId="02885444" w14:textId="77777777" w:rsidR="00901790" w:rsidRDefault="00901790" w:rsidP="00411C49">
      <w:pPr>
        <w:pStyle w:val="Reasons"/>
      </w:pPr>
    </w:p>
    <w:p w14:paraId="4315567F" w14:textId="77777777" w:rsidR="00901790" w:rsidRDefault="00901790">
      <w:pPr>
        <w:jc w:val="center"/>
      </w:pPr>
      <w:r>
        <w:t>______________</w:t>
      </w:r>
    </w:p>
    <w:sectPr w:rsidR="00901790" w:rsidSect="006710F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398F" w14:textId="77777777" w:rsidR="00023461" w:rsidRDefault="00023461">
      <w:r>
        <w:separator/>
      </w:r>
    </w:p>
  </w:endnote>
  <w:endnote w:type="continuationSeparator" w:id="0">
    <w:p w14:paraId="32871F61" w14:textId="77777777" w:rsidR="00023461" w:rsidRDefault="000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6F1" w14:textId="77777777" w:rsidR="00C77F9A" w:rsidRDefault="00C77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7639" w14:textId="3820157E" w:rsidR="00760F1C" w:rsidRPr="00901790" w:rsidRDefault="00D50A36">
    <w:pPr>
      <w:pStyle w:val="Footer"/>
      <w:rPr>
        <w:lang w:val="fr-FR"/>
      </w:rPr>
    </w:pPr>
    <w:r w:rsidRPr="00C77F9A">
      <w:rPr>
        <w:color w:val="F2F2F2" w:themeColor="background1" w:themeShade="F2"/>
      </w:rPr>
      <w:fldChar w:fldCharType="begin"/>
    </w:r>
    <w:r w:rsidRPr="00C77F9A">
      <w:rPr>
        <w:color w:val="F2F2F2" w:themeColor="background1" w:themeShade="F2"/>
        <w:lang w:val="fr-FR"/>
      </w:rPr>
      <w:instrText xml:space="preserve"> FILENAME \p \* MERGEFORMAT </w:instrText>
    </w:r>
    <w:r w:rsidRPr="00C77F9A">
      <w:rPr>
        <w:color w:val="F2F2F2" w:themeColor="background1" w:themeShade="F2"/>
      </w:rPr>
      <w:fldChar w:fldCharType="separate"/>
    </w:r>
    <w:r w:rsidR="00901790" w:rsidRPr="00C77F9A">
      <w:rPr>
        <w:color w:val="F2F2F2" w:themeColor="background1" w:themeShade="F2"/>
        <w:lang w:val="fr-FR"/>
      </w:rPr>
      <w:t>P:\ESP\SG\CONSEIL\C22\000\064S.docx</w:t>
    </w:r>
    <w:r w:rsidRPr="00C77F9A">
      <w:rPr>
        <w:color w:val="F2F2F2" w:themeColor="background1" w:themeShade="F2"/>
        <w:lang w:val="en-US"/>
      </w:rPr>
      <w:fldChar w:fldCharType="end"/>
    </w:r>
    <w:r w:rsidR="004C0724" w:rsidRPr="00C77F9A">
      <w:rPr>
        <w:color w:val="F2F2F2" w:themeColor="background1" w:themeShade="F2"/>
        <w:lang w:val="fr-FR"/>
      </w:rPr>
      <w:t xml:space="preserve"> (501663)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03A2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36D5" w14:textId="77777777" w:rsidR="00023461" w:rsidRDefault="00023461">
      <w:r>
        <w:t>____________________</w:t>
      </w:r>
    </w:p>
  </w:footnote>
  <w:footnote w:type="continuationSeparator" w:id="0">
    <w:p w14:paraId="6C80A438" w14:textId="77777777" w:rsidR="00023461" w:rsidRDefault="0002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257D" w14:textId="77777777" w:rsidR="00C77F9A" w:rsidRDefault="00C77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5F25" w14:textId="639D42A5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814363">
      <w:rPr>
        <w:noProof/>
      </w:rPr>
      <w:t>5</w:t>
    </w:r>
    <w:r>
      <w:rPr>
        <w:noProof/>
      </w:rPr>
      <w:fldChar w:fldCharType="end"/>
    </w:r>
  </w:p>
  <w:p w14:paraId="7DC5B7CC" w14:textId="67806C76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F27A22">
      <w:t>64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265B" w14:textId="77777777" w:rsidR="00C77F9A" w:rsidRDefault="00C77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5671"/>
    <w:multiLevelType w:val="hybridMultilevel"/>
    <w:tmpl w:val="CBFE5E8C"/>
    <w:lvl w:ilvl="0" w:tplc="48FA0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6A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4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1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EC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82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44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6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A9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84852"/>
    <w:multiLevelType w:val="hybridMultilevel"/>
    <w:tmpl w:val="C3E84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77B82"/>
    <w:multiLevelType w:val="multilevel"/>
    <w:tmpl w:val="6360C106"/>
    <w:lvl w:ilvl="0">
      <w:start w:val="1"/>
      <w:numFmt w:val="upperRoman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61"/>
    <w:rsid w:val="000007D1"/>
    <w:rsid w:val="00004BFF"/>
    <w:rsid w:val="00023461"/>
    <w:rsid w:val="00030818"/>
    <w:rsid w:val="00064F8F"/>
    <w:rsid w:val="00093EEB"/>
    <w:rsid w:val="000B0D00"/>
    <w:rsid w:val="000B7C15"/>
    <w:rsid w:val="000D1D0F"/>
    <w:rsid w:val="000F5290"/>
    <w:rsid w:val="0010165C"/>
    <w:rsid w:val="00121A0F"/>
    <w:rsid w:val="00146BFB"/>
    <w:rsid w:val="00150208"/>
    <w:rsid w:val="00150360"/>
    <w:rsid w:val="00172184"/>
    <w:rsid w:val="00176769"/>
    <w:rsid w:val="001A6EE2"/>
    <w:rsid w:val="001D6683"/>
    <w:rsid w:val="001F14A2"/>
    <w:rsid w:val="00277C3C"/>
    <w:rsid w:val="002801AA"/>
    <w:rsid w:val="00292056"/>
    <w:rsid w:val="002C4676"/>
    <w:rsid w:val="002C70B0"/>
    <w:rsid w:val="002F27C5"/>
    <w:rsid w:val="002F3CC4"/>
    <w:rsid w:val="00302B7B"/>
    <w:rsid w:val="003340DD"/>
    <w:rsid w:val="003D090E"/>
    <w:rsid w:val="00414C0B"/>
    <w:rsid w:val="00443E55"/>
    <w:rsid w:val="004A35FF"/>
    <w:rsid w:val="004C0724"/>
    <w:rsid w:val="004C0E9B"/>
    <w:rsid w:val="00513630"/>
    <w:rsid w:val="00543298"/>
    <w:rsid w:val="00551021"/>
    <w:rsid w:val="00560125"/>
    <w:rsid w:val="00580ED2"/>
    <w:rsid w:val="00585553"/>
    <w:rsid w:val="005A767D"/>
    <w:rsid w:val="005B34D9"/>
    <w:rsid w:val="005B46FF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00427"/>
    <w:rsid w:val="00700831"/>
    <w:rsid w:val="00715845"/>
    <w:rsid w:val="00726872"/>
    <w:rsid w:val="00760F1C"/>
    <w:rsid w:val="007657F0"/>
    <w:rsid w:val="0077252D"/>
    <w:rsid w:val="007955DA"/>
    <w:rsid w:val="007A7DDB"/>
    <w:rsid w:val="007E3BB7"/>
    <w:rsid w:val="007E5DD3"/>
    <w:rsid w:val="007E6F03"/>
    <w:rsid w:val="007F350B"/>
    <w:rsid w:val="00814363"/>
    <w:rsid w:val="00820BE4"/>
    <w:rsid w:val="008451E8"/>
    <w:rsid w:val="008E60C5"/>
    <w:rsid w:val="00901790"/>
    <w:rsid w:val="00904CD2"/>
    <w:rsid w:val="00913B9C"/>
    <w:rsid w:val="00956E77"/>
    <w:rsid w:val="009D3054"/>
    <w:rsid w:val="009D7118"/>
    <w:rsid w:val="009F4811"/>
    <w:rsid w:val="00A56501"/>
    <w:rsid w:val="00AA390C"/>
    <w:rsid w:val="00AA3D29"/>
    <w:rsid w:val="00AD19C9"/>
    <w:rsid w:val="00AD20ED"/>
    <w:rsid w:val="00AE67B9"/>
    <w:rsid w:val="00B0200A"/>
    <w:rsid w:val="00B574DB"/>
    <w:rsid w:val="00B826C2"/>
    <w:rsid w:val="00B8298E"/>
    <w:rsid w:val="00B94D2C"/>
    <w:rsid w:val="00BD0723"/>
    <w:rsid w:val="00BD1F4A"/>
    <w:rsid w:val="00BD2518"/>
    <w:rsid w:val="00BF1D1C"/>
    <w:rsid w:val="00C20C59"/>
    <w:rsid w:val="00C2727F"/>
    <w:rsid w:val="00C55B1F"/>
    <w:rsid w:val="00C61FEB"/>
    <w:rsid w:val="00C773B8"/>
    <w:rsid w:val="00C77F9A"/>
    <w:rsid w:val="00CA7056"/>
    <w:rsid w:val="00CD6A9B"/>
    <w:rsid w:val="00CF1A67"/>
    <w:rsid w:val="00D24DD9"/>
    <w:rsid w:val="00D2750E"/>
    <w:rsid w:val="00D366D0"/>
    <w:rsid w:val="00D50A36"/>
    <w:rsid w:val="00D62446"/>
    <w:rsid w:val="00D87E0D"/>
    <w:rsid w:val="00DA4EA2"/>
    <w:rsid w:val="00DB604B"/>
    <w:rsid w:val="00DC3D3E"/>
    <w:rsid w:val="00DE2C90"/>
    <w:rsid w:val="00DE3B24"/>
    <w:rsid w:val="00E06947"/>
    <w:rsid w:val="00E3592D"/>
    <w:rsid w:val="00E92DE8"/>
    <w:rsid w:val="00EB1212"/>
    <w:rsid w:val="00ED65AB"/>
    <w:rsid w:val="00F101C8"/>
    <w:rsid w:val="00F12850"/>
    <w:rsid w:val="00F255DB"/>
    <w:rsid w:val="00F27A22"/>
    <w:rsid w:val="00F33BF4"/>
    <w:rsid w:val="00F46E11"/>
    <w:rsid w:val="00F7105E"/>
    <w:rsid w:val="00F75F57"/>
    <w:rsid w:val="00F82FEE"/>
    <w:rsid w:val="00FA5396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4D292AA"/>
  <w15:docId w15:val="{544A6350-3BDB-474A-B748-C5BAB7F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F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67B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F46E11"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cop/Documents/Council-R-1306%20(3).pdf" TargetMode="External"/><Relationship Id="rId13" Type="http://schemas.openxmlformats.org/officeDocument/2006/relationships/hyperlink" Target="https://www.itu.int/md/meetingdoc.asp?lang=es&amp;parent=S22-CLCWGCOP18-C&amp;source=Chair,%20CO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meetingdoc.asp?lang=es&amp;parent=S21-CLCWGCOP17-C&amp;source=Chair,%20CWG-COP" TargetMode="External"/><Relationship Id="rId17" Type="http://schemas.openxmlformats.org/officeDocument/2006/relationships/hyperlink" Target="https://www.itu.int/md/meetingdoc.asp?lang=es&amp;parent=S22-CLCWGCOP18-C&amp;source=Chair,%20CO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s&amp;parent=S21-CLCWGCOP17-C&amp;source=Chair,%20CWG-CO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s&amp;parent=S20-CLCWGCOP16-C&amp;source=Chai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s&amp;parent=S20-CLCWGCOP16-C&amp;source=Chai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19-CLCWGCOP15-C-0003/e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79-S.pdf" TargetMode="External"/><Relationship Id="rId14" Type="http://schemas.openxmlformats.org/officeDocument/2006/relationships/hyperlink" Target="https://www.itu.int/md/S19-CLCWGCOP15-C-0003/es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l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3</Pages>
  <Words>1209</Words>
  <Characters>7368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8560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cuadrienal del Grupo de Trabajo del Consejo sobre la Protección de la Infancia en Línea</dc:title>
  <dc:subject>Consejo 2022</dc:subject>
  <dc:creator>Quilez Romano, Eva</dc:creator>
  <cp:keywords>C2022, C22, Council-22</cp:keywords>
  <dc:description/>
  <cp:lastModifiedBy>Xue, Kun</cp:lastModifiedBy>
  <cp:revision>2</cp:revision>
  <cp:lastPrinted>2022-03-01T15:20:00Z</cp:lastPrinted>
  <dcterms:created xsi:type="dcterms:W3CDTF">2022-03-03T08:49:00Z</dcterms:created>
  <dcterms:modified xsi:type="dcterms:W3CDTF">2022-03-03T08:49:00Z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