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48555F6C" w14:textId="77777777" w:rsidTr="00464B6C">
        <w:trPr>
          <w:cantSplit/>
        </w:trPr>
        <w:tc>
          <w:tcPr>
            <w:tcW w:w="6911" w:type="dxa"/>
          </w:tcPr>
          <w:p w14:paraId="17DEFEF8" w14:textId="67574F26" w:rsidR="002A2188" w:rsidRPr="00813E5E" w:rsidRDefault="002A2188" w:rsidP="00B84B9D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Start w:id="1" w:name="_Hlk66378539"/>
            <w:bookmarkEnd w:id="0"/>
            <w:r w:rsidRPr="00B84B9D">
              <w:rPr>
                <w:b/>
                <w:bCs/>
                <w:position w:val="6"/>
                <w:sz w:val="30"/>
                <w:szCs w:val="30"/>
              </w:rPr>
              <w:t>Council 20</w:t>
            </w:r>
            <w:r w:rsidR="004A1B8B" w:rsidRPr="00B84B9D">
              <w:rPr>
                <w:b/>
                <w:bCs/>
                <w:position w:val="6"/>
                <w:sz w:val="30"/>
                <w:szCs w:val="30"/>
              </w:rPr>
              <w:t>2</w:t>
            </w:r>
            <w:r w:rsidR="0014634F">
              <w:rPr>
                <w:b/>
                <w:bCs/>
                <w:position w:val="6"/>
                <w:sz w:val="30"/>
                <w:szCs w:val="30"/>
              </w:rPr>
              <w:t>2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bookmarkEnd w:id="1"/>
            <w:r w:rsidR="0014634F" w:rsidRPr="0014634F">
              <w:rPr>
                <w:b/>
                <w:bCs/>
                <w:position w:val="6"/>
                <w:sz w:val="26"/>
                <w:szCs w:val="26"/>
                <w:lang w:val="en-US"/>
              </w:rPr>
              <w:t>Geneva, 21-31 March 2022</w:t>
            </w:r>
          </w:p>
        </w:tc>
        <w:tc>
          <w:tcPr>
            <w:tcW w:w="3120" w:type="dxa"/>
          </w:tcPr>
          <w:p w14:paraId="60E83C12" w14:textId="77777777" w:rsidR="002A2188" w:rsidRPr="00813E5E" w:rsidRDefault="004A1B8B" w:rsidP="004A1B8B">
            <w:pPr>
              <w:spacing w:before="0" w:line="240" w:lineRule="atLeast"/>
            </w:pPr>
            <w:bookmarkStart w:id="2" w:name="ditulogo"/>
            <w:bookmarkEnd w:id="2"/>
            <w:r>
              <w:rPr>
                <w:noProof/>
                <w:lang w:val="en-US"/>
              </w:rPr>
              <w:drawing>
                <wp:inline distT="0" distB="0" distL="0" distR="0" wp14:anchorId="429711E0" wp14:editId="38958B5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6DC308F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E3A86C2" w14:textId="77777777" w:rsidR="002A2188" w:rsidRPr="00813E5E" w:rsidRDefault="002A2188" w:rsidP="0014634F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6506FC1" w14:textId="77777777" w:rsidR="002A2188" w:rsidRPr="00813E5E" w:rsidRDefault="002A2188" w:rsidP="0014634F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5887DC04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83F91B9" w14:textId="77777777" w:rsidR="002A2188" w:rsidRPr="00813E5E" w:rsidRDefault="002A2188" w:rsidP="0014634F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9C653C0" w14:textId="77777777" w:rsidR="002A2188" w:rsidRPr="00813E5E" w:rsidRDefault="002A2188" w:rsidP="0014634F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5B0AE9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6F107B8A" w14:textId="20787FA6" w:rsidR="002A2188" w:rsidRPr="00E85629" w:rsidRDefault="0014634F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3" w:name="dmeeting" w:colFirst="0" w:colLast="0"/>
            <w:bookmarkStart w:id="4" w:name="dnum" w:colFirst="1" w:colLast="1"/>
            <w:r>
              <w:rPr>
                <w:b/>
              </w:rPr>
              <w:t>Agenda item:</w:t>
            </w:r>
            <w:r w:rsidR="00596A03">
              <w:rPr>
                <w:b/>
              </w:rPr>
              <w:t xml:space="preserve"> </w:t>
            </w:r>
            <w:r w:rsidR="00D91489">
              <w:rPr>
                <w:b/>
              </w:rPr>
              <w:t xml:space="preserve">PL </w:t>
            </w:r>
            <w:r w:rsidR="00BE59DF">
              <w:rPr>
                <w:b/>
              </w:rPr>
              <w:t>1.5</w:t>
            </w:r>
          </w:p>
        </w:tc>
        <w:tc>
          <w:tcPr>
            <w:tcW w:w="3120" w:type="dxa"/>
          </w:tcPr>
          <w:p w14:paraId="66604129" w14:textId="12208052" w:rsidR="002A2188" w:rsidRPr="00E85629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</w:t>
            </w:r>
            <w:r w:rsidR="004A1B8B">
              <w:rPr>
                <w:b/>
              </w:rPr>
              <w:t>2</w:t>
            </w:r>
            <w:r w:rsidR="0014634F">
              <w:rPr>
                <w:b/>
              </w:rPr>
              <w:t>2</w:t>
            </w:r>
            <w:r>
              <w:rPr>
                <w:b/>
              </w:rPr>
              <w:t>/</w:t>
            </w:r>
            <w:r w:rsidR="00655A5D">
              <w:rPr>
                <w:b/>
              </w:rPr>
              <w:t>64</w:t>
            </w:r>
            <w:r>
              <w:rPr>
                <w:b/>
              </w:rPr>
              <w:t>-E</w:t>
            </w:r>
          </w:p>
        </w:tc>
      </w:tr>
      <w:tr w:rsidR="002A2188" w:rsidRPr="00813E5E" w14:paraId="275E195F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3627AC61" w14:textId="77777777" w:rsidR="002A2188" w:rsidRPr="00813E5E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14:paraId="2B0CDBEF" w14:textId="2C4302F9" w:rsidR="002A2188" w:rsidRPr="00E85629" w:rsidRDefault="00655A5D" w:rsidP="0014634F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1</w:t>
            </w:r>
            <w:r w:rsidR="000C259E">
              <w:rPr>
                <w:b/>
              </w:rPr>
              <w:t>8</w:t>
            </w:r>
            <w:r w:rsidR="002A2188">
              <w:rPr>
                <w:b/>
              </w:rPr>
              <w:t xml:space="preserve"> </w:t>
            </w:r>
            <w:r w:rsidR="00596A03">
              <w:rPr>
                <w:b/>
              </w:rPr>
              <w:t>February</w:t>
            </w:r>
            <w:r w:rsidR="002A2188">
              <w:rPr>
                <w:b/>
              </w:rPr>
              <w:t xml:space="preserve"> 20</w:t>
            </w:r>
            <w:r w:rsidR="004A1B8B">
              <w:rPr>
                <w:b/>
              </w:rPr>
              <w:t>2</w:t>
            </w:r>
            <w:r w:rsidR="00E3513C">
              <w:rPr>
                <w:b/>
              </w:rPr>
              <w:t>2</w:t>
            </w:r>
          </w:p>
        </w:tc>
      </w:tr>
      <w:tr w:rsidR="002A2188" w:rsidRPr="00813E5E" w14:paraId="29B42488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6000182B" w14:textId="77777777" w:rsidR="002A2188" w:rsidRPr="00813E5E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14:paraId="7EAC0E79" w14:textId="77777777" w:rsidR="002A2188" w:rsidRPr="00E85629" w:rsidRDefault="002A2188" w:rsidP="0014634F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2A2188" w:rsidRPr="00813E5E" w14:paraId="79546A94" w14:textId="77777777" w:rsidTr="00464B6C">
        <w:trPr>
          <w:cantSplit/>
        </w:trPr>
        <w:tc>
          <w:tcPr>
            <w:tcW w:w="10031" w:type="dxa"/>
            <w:gridSpan w:val="2"/>
          </w:tcPr>
          <w:p w14:paraId="7EEA3085" w14:textId="4ADE85D2" w:rsidR="002A2188" w:rsidRPr="00813E5E" w:rsidRDefault="0014634F" w:rsidP="00464B6C">
            <w:pPr>
              <w:pStyle w:val="Source"/>
            </w:pPr>
            <w:bookmarkStart w:id="7" w:name="dsource" w:colFirst="0" w:colLast="0"/>
            <w:bookmarkEnd w:id="6"/>
            <w:r w:rsidRPr="0014634F">
              <w:t xml:space="preserve">Report by the </w:t>
            </w:r>
            <w:r w:rsidR="00596A03">
              <w:t>Chairman of the Council Working Group on</w:t>
            </w:r>
            <w:r w:rsidR="001513A0" w:rsidRPr="008571D7">
              <w:t xml:space="preserve"> Child Online Protection</w:t>
            </w:r>
          </w:p>
        </w:tc>
      </w:tr>
      <w:tr w:rsidR="002A2188" w:rsidRPr="00813E5E" w14:paraId="5B5E8CC5" w14:textId="77777777" w:rsidTr="00464B6C">
        <w:trPr>
          <w:cantSplit/>
        </w:trPr>
        <w:tc>
          <w:tcPr>
            <w:tcW w:w="10031" w:type="dxa"/>
            <w:gridSpan w:val="2"/>
          </w:tcPr>
          <w:p w14:paraId="3689B12B" w14:textId="43785D81" w:rsidR="002A2188" w:rsidRPr="00813E5E" w:rsidRDefault="00596A03" w:rsidP="00464B6C">
            <w:pPr>
              <w:pStyle w:val="Title1"/>
            </w:pPr>
            <w:bookmarkStart w:id="8" w:name="dtitle1" w:colFirst="0" w:colLast="0"/>
            <w:bookmarkEnd w:id="7"/>
            <w:r>
              <w:t xml:space="preserve">four-year </w:t>
            </w:r>
            <w:r w:rsidRPr="008571D7">
              <w:t xml:space="preserve">Report </w:t>
            </w:r>
            <w:r>
              <w:t xml:space="preserve">of </w:t>
            </w:r>
            <w:r w:rsidRPr="008571D7">
              <w:t xml:space="preserve">the Council Working Group </w:t>
            </w:r>
            <w:r w:rsidRPr="008571D7">
              <w:br/>
              <w:t>on</w:t>
            </w:r>
            <w:r>
              <w:t xml:space="preserve"> </w:t>
            </w:r>
            <w:r w:rsidR="005B4F01" w:rsidRPr="005B4F01">
              <w:t>Child Online Protection</w:t>
            </w:r>
          </w:p>
        </w:tc>
      </w:tr>
      <w:bookmarkEnd w:id="8"/>
    </w:tbl>
    <w:p w14:paraId="554B4CB6" w14:textId="77777777" w:rsidR="002A2188" w:rsidRPr="00813E5E" w:rsidRDefault="002A2188" w:rsidP="002A2188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813E5E" w14:paraId="1DF07826" w14:textId="77777777" w:rsidTr="00464B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AD894" w14:textId="77777777" w:rsidR="002A2188" w:rsidRPr="00813E5E" w:rsidRDefault="002A2188" w:rsidP="00454972">
            <w:pPr>
              <w:pStyle w:val="Headingb"/>
              <w:spacing w:before="120" w:after="120"/>
              <w:jc w:val="both"/>
            </w:pPr>
            <w:r w:rsidRPr="00813E5E">
              <w:t>Summary</w:t>
            </w:r>
          </w:p>
          <w:p w14:paraId="774CE9D1" w14:textId="3173608A" w:rsidR="005B4F01" w:rsidRPr="00F23EAE" w:rsidRDefault="005B4F01" w:rsidP="0045497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  <w:lang w:val="en-US" w:eastAsia="fr-CH"/>
              </w:rPr>
            </w:pPr>
            <w:r w:rsidRPr="53C832F4">
              <w:rPr>
                <w:rFonts w:cs="Calibri"/>
                <w:color w:val="000000" w:themeColor="text1"/>
                <w:szCs w:val="24"/>
                <w:lang w:val="en-US" w:eastAsia="fr-CH"/>
              </w:rPr>
              <w:t>This Report summarizes the activities and achievements undertaken by the Council Working Group on Child Online Protection</w:t>
            </w:r>
            <w:r w:rsidR="002B456B">
              <w:rPr>
                <w:rFonts w:cs="Calibri"/>
                <w:color w:val="000000" w:themeColor="text1"/>
                <w:szCs w:val="24"/>
                <w:lang w:val="en-US" w:eastAsia="fr-CH"/>
              </w:rPr>
              <w:t xml:space="preserve"> since PP-18</w:t>
            </w:r>
            <w:r w:rsidRPr="53C832F4">
              <w:rPr>
                <w:rFonts w:cs="Calibri"/>
                <w:color w:val="000000" w:themeColor="text1"/>
                <w:szCs w:val="24"/>
                <w:lang w:val="en-US" w:eastAsia="fr-CH"/>
              </w:rPr>
              <w:t xml:space="preserve">, in accordance </w:t>
            </w:r>
            <w:r w:rsidRPr="00454972">
              <w:rPr>
                <w:rFonts w:cs="Calibri"/>
                <w:color w:val="000000" w:themeColor="text1"/>
                <w:spacing w:val="6"/>
                <w:szCs w:val="24"/>
                <w:lang w:val="en-US" w:eastAsia="fr-CH"/>
              </w:rPr>
              <w:t>with ITU Council Resolution 1306 and ITU Plenipotentiary Resolution 179</w:t>
            </w:r>
            <w:r w:rsidRPr="53C832F4">
              <w:rPr>
                <w:rFonts w:cs="Calibri"/>
                <w:color w:val="000000" w:themeColor="text1"/>
                <w:szCs w:val="24"/>
                <w:lang w:val="en-US" w:eastAsia="fr-CH"/>
              </w:rPr>
              <w:t xml:space="preserve"> (</w:t>
            </w:r>
            <w:r w:rsidR="00454972">
              <w:rPr>
                <w:rFonts w:cs="Calibri"/>
                <w:color w:val="000000" w:themeColor="text1"/>
                <w:szCs w:val="24"/>
                <w:lang w:val="en-US" w:eastAsia="fr-CH"/>
              </w:rPr>
              <w:t>Rev. Dubai, 2018</w:t>
            </w:r>
            <w:r w:rsidRPr="53C832F4">
              <w:rPr>
                <w:rFonts w:cs="Calibri"/>
                <w:color w:val="000000" w:themeColor="text1"/>
                <w:szCs w:val="24"/>
                <w:lang w:val="en-US" w:eastAsia="fr-CH"/>
              </w:rPr>
              <w:t>).</w:t>
            </w:r>
          </w:p>
          <w:p w14:paraId="17A30379" w14:textId="77777777" w:rsidR="002A2188" w:rsidRPr="00813E5E" w:rsidRDefault="002A2188" w:rsidP="00454972">
            <w:pPr>
              <w:pStyle w:val="Headingb"/>
              <w:spacing w:before="120" w:after="120"/>
              <w:jc w:val="both"/>
            </w:pPr>
            <w:r w:rsidRPr="00813E5E">
              <w:t>Action required</w:t>
            </w:r>
          </w:p>
          <w:p w14:paraId="63C8FCD7" w14:textId="03E78583" w:rsidR="002A2188" w:rsidRPr="00813E5E" w:rsidRDefault="00D91489" w:rsidP="00454972">
            <w:pPr>
              <w:spacing w:after="120"/>
              <w:jc w:val="both"/>
            </w:pPr>
            <w:r w:rsidRPr="00D91489">
              <w:t>The Council is</w:t>
            </w:r>
            <w:r w:rsidR="002B456B">
              <w:t xml:space="preserve"> </w:t>
            </w:r>
            <w:r w:rsidRPr="00D91489">
              <w:t xml:space="preserve">invited </w:t>
            </w:r>
            <w:r w:rsidRPr="00D91489">
              <w:rPr>
                <w:b/>
                <w:bCs/>
              </w:rPr>
              <w:t xml:space="preserve">to </w:t>
            </w:r>
            <w:r w:rsidR="00E02273">
              <w:rPr>
                <w:b/>
                <w:bCs/>
              </w:rPr>
              <w:t xml:space="preserve">consider </w:t>
            </w:r>
            <w:r w:rsidR="00E02273" w:rsidRPr="00E02273">
              <w:t>this report and</w:t>
            </w:r>
            <w:r w:rsidR="00E02273">
              <w:rPr>
                <w:b/>
                <w:bCs/>
              </w:rPr>
              <w:t xml:space="preserve"> to </w:t>
            </w:r>
            <w:r w:rsidRPr="00D91489">
              <w:rPr>
                <w:b/>
                <w:bCs/>
              </w:rPr>
              <w:t>submit</w:t>
            </w:r>
            <w:r w:rsidRPr="00D91489">
              <w:t xml:space="preserve"> </w:t>
            </w:r>
            <w:r w:rsidR="00E02273">
              <w:t xml:space="preserve">its recommendations to the </w:t>
            </w:r>
            <w:r w:rsidRPr="00D91489">
              <w:t>Plenipotentiary Conference as appropriate.</w:t>
            </w:r>
          </w:p>
          <w:p w14:paraId="3098B3AD" w14:textId="77777777" w:rsidR="002A2188" w:rsidRPr="00813E5E" w:rsidRDefault="002A2188" w:rsidP="00454972">
            <w:pPr>
              <w:pStyle w:val="Table"/>
              <w:keepNext w:val="0"/>
              <w:spacing w:before="120"/>
              <w:jc w:val="both"/>
              <w:rPr>
                <w:rFonts w:ascii="Calibri" w:hAnsi="Calibri"/>
                <w:caps w:val="0"/>
                <w:sz w:val="22"/>
              </w:rPr>
            </w:pPr>
            <w:r w:rsidRPr="00813E5E">
              <w:rPr>
                <w:rFonts w:ascii="Calibri" w:hAnsi="Calibri"/>
                <w:caps w:val="0"/>
                <w:sz w:val="22"/>
              </w:rPr>
              <w:t>____________</w:t>
            </w:r>
          </w:p>
          <w:p w14:paraId="6D31B914" w14:textId="77777777" w:rsidR="002A2188" w:rsidRPr="00813E5E" w:rsidRDefault="002A2188" w:rsidP="00454972">
            <w:pPr>
              <w:pStyle w:val="Headingb"/>
              <w:spacing w:before="120" w:after="120"/>
              <w:jc w:val="both"/>
            </w:pPr>
            <w:r w:rsidRPr="00813E5E">
              <w:t>References</w:t>
            </w:r>
          </w:p>
          <w:p w14:paraId="47763C34" w14:textId="706BE01A" w:rsidR="002A2188" w:rsidRPr="00813E5E" w:rsidRDefault="000C259E" w:rsidP="00454972">
            <w:pPr>
              <w:spacing w:after="120"/>
              <w:jc w:val="both"/>
              <w:rPr>
                <w:i/>
                <w:iCs/>
              </w:rPr>
            </w:pPr>
            <w:hyperlink r:id="rId12" w:history="1">
              <w:r w:rsidR="00596A03" w:rsidRPr="00954032">
                <w:rPr>
                  <w:rStyle w:val="Hyperlink"/>
                  <w:i/>
                  <w:iCs/>
                </w:rPr>
                <w:t>Plenipotentiary Conference Decision 11 (Rev. Dubai, 2018)</w:t>
              </w:r>
            </w:hyperlink>
            <w:r w:rsidR="00596A03">
              <w:rPr>
                <w:i/>
                <w:iCs/>
              </w:rPr>
              <w:br/>
            </w:r>
            <w:hyperlink r:id="rId13" w:history="1">
              <w:r w:rsidR="00596A03" w:rsidRPr="00655A5D">
                <w:rPr>
                  <w:rStyle w:val="Hyperlink"/>
                  <w:i/>
                  <w:iCs/>
                </w:rPr>
                <w:t>CWG-</w:t>
              </w:r>
              <w:r w:rsidR="005B4F01" w:rsidRPr="00655A5D">
                <w:rPr>
                  <w:rStyle w:val="Hyperlink"/>
                  <w:i/>
                  <w:iCs/>
                </w:rPr>
                <w:t>COP</w:t>
              </w:r>
              <w:r w:rsidR="00596A03" w:rsidRPr="00655A5D">
                <w:rPr>
                  <w:rStyle w:val="Hyperlink"/>
                  <w:i/>
                  <w:iCs/>
                </w:rPr>
                <w:t xml:space="preserve"> website</w:t>
              </w:r>
            </w:hyperlink>
            <w:r w:rsidR="00655A5D">
              <w:rPr>
                <w:i/>
                <w:iCs/>
              </w:rPr>
              <w:t xml:space="preserve"> ; </w:t>
            </w:r>
            <w:hyperlink r:id="rId14" w:history="1">
              <w:r w:rsidR="00655A5D" w:rsidRPr="00454972">
                <w:rPr>
                  <w:rStyle w:val="Hyperlink"/>
                  <w:i/>
                  <w:iCs/>
                </w:rPr>
                <w:t>Council R1306</w:t>
              </w:r>
            </w:hyperlink>
            <w:r w:rsidR="00655A5D">
              <w:rPr>
                <w:i/>
                <w:iCs/>
              </w:rPr>
              <w:t xml:space="preserve">, </w:t>
            </w:r>
            <w:hyperlink r:id="rId15" w:history="1">
              <w:r w:rsidR="00655A5D" w:rsidRPr="00454972">
                <w:rPr>
                  <w:rStyle w:val="Hyperlink"/>
                  <w:i/>
                  <w:iCs/>
                </w:rPr>
                <w:t>PP Resolution 179 (</w:t>
              </w:r>
              <w:r w:rsidR="00454972" w:rsidRPr="00454972">
                <w:rPr>
                  <w:rStyle w:val="Hyperlink"/>
                  <w:i/>
                  <w:iCs/>
                </w:rPr>
                <w:t>Rev. Dubai, 2018</w:t>
              </w:r>
              <w:r w:rsidR="00655A5D" w:rsidRPr="00454972">
                <w:rPr>
                  <w:rStyle w:val="Hyperlink"/>
                  <w:i/>
                  <w:iCs/>
                </w:rPr>
                <w:t>)</w:t>
              </w:r>
            </w:hyperlink>
          </w:p>
        </w:tc>
      </w:tr>
    </w:tbl>
    <w:p w14:paraId="0F8EBB32" w14:textId="5D7B34BF" w:rsidR="00D91489" w:rsidRDefault="00D91489" w:rsidP="00CE7F65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480" w:after="120"/>
        <w:ind w:left="0"/>
        <w:contextualSpacing w:val="0"/>
        <w:rPr>
          <w:b/>
          <w:bCs/>
          <w:lang w:val="en-US"/>
        </w:rPr>
      </w:pPr>
      <w:bookmarkStart w:id="9" w:name="dstart"/>
      <w:bookmarkStart w:id="10" w:name="dbreak"/>
      <w:bookmarkEnd w:id="9"/>
      <w:bookmarkEnd w:id="10"/>
      <w:r w:rsidRPr="00E02273">
        <w:rPr>
          <w:b/>
          <w:bCs/>
          <w:lang w:val="en-US"/>
        </w:rPr>
        <w:t>Introduction</w:t>
      </w:r>
    </w:p>
    <w:p w14:paraId="0A1F86DC" w14:textId="3404C49E" w:rsidR="005B4F01" w:rsidRDefault="005B4F01" w:rsidP="00AF1CB4">
      <w:pPr>
        <w:pStyle w:val="ListParagraph"/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ind w:left="0" w:firstLine="0"/>
        <w:contextualSpacing w:val="0"/>
        <w:jc w:val="both"/>
        <w:rPr>
          <w:lang w:val="en-US"/>
        </w:rPr>
      </w:pPr>
      <w:r w:rsidRPr="005B4F01">
        <w:rPr>
          <w:lang w:val="en-US"/>
        </w:rPr>
        <w:t xml:space="preserve">As per </w:t>
      </w:r>
      <w:r w:rsidR="00FA449E">
        <w:rPr>
          <w:lang w:val="en-US"/>
        </w:rPr>
        <w:t xml:space="preserve">Council </w:t>
      </w:r>
      <w:r w:rsidRPr="005B4F01">
        <w:rPr>
          <w:lang w:val="en-US"/>
        </w:rPr>
        <w:t>Resolution 1306, the Working Group on Child Online Protection (CWG-COP) is requested to prepare a draft final report for consideration by Council 202</w:t>
      </w:r>
      <w:r>
        <w:rPr>
          <w:lang w:val="en-US"/>
        </w:rPr>
        <w:t>2</w:t>
      </w:r>
      <w:r w:rsidRPr="005B4F01">
        <w:rPr>
          <w:lang w:val="en-US"/>
        </w:rPr>
        <w:t xml:space="preserve"> to be submitted to the 202</w:t>
      </w:r>
      <w:r>
        <w:rPr>
          <w:lang w:val="en-US"/>
        </w:rPr>
        <w:t>2</w:t>
      </w:r>
      <w:r w:rsidRPr="005B4F01">
        <w:rPr>
          <w:lang w:val="en-US"/>
        </w:rPr>
        <w:t xml:space="preserve"> Plenipotentiary Conference </w:t>
      </w:r>
      <w:r w:rsidR="00CE7F65">
        <w:rPr>
          <w:lang w:val="en-US"/>
        </w:rPr>
        <w:t xml:space="preserve">(PP-22) </w:t>
      </w:r>
      <w:r w:rsidRPr="005B4F01">
        <w:rPr>
          <w:lang w:val="en-US"/>
        </w:rPr>
        <w:t>on the activities undertaken and achievement on these subjects, including proposals for further consideration as appropriate.</w:t>
      </w:r>
    </w:p>
    <w:p w14:paraId="52E4E5B1" w14:textId="0FBB615C" w:rsidR="002B456B" w:rsidRPr="00FA449E" w:rsidRDefault="00FA449E" w:rsidP="00AF1C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lang w:val="en-US"/>
        </w:rPr>
      </w:pPr>
      <w:r w:rsidRPr="00FA449E">
        <w:rPr>
          <w:lang w:val="en-US"/>
        </w:rPr>
        <w:t>In addition</w:t>
      </w:r>
      <w:r w:rsidR="00CE7F65">
        <w:rPr>
          <w:lang w:val="en-US"/>
        </w:rPr>
        <w:t>,</w:t>
      </w:r>
      <w:r w:rsidRPr="00FA449E">
        <w:rPr>
          <w:lang w:val="en-US"/>
        </w:rPr>
        <w:t xml:space="preserve"> as per PP Decision 11</w:t>
      </w:r>
      <w:r w:rsidR="00CE7F65">
        <w:rPr>
          <w:lang w:val="en-US"/>
        </w:rPr>
        <w:t xml:space="preserve"> (Rev. Dubai, 2018),</w:t>
      </w:r>
      <w:r w:rsidRPr="00FA449E">
        <w:rPr>
          <w:lang w:val="en-US"/>
        </w:rPr>
        <w:t xml:space="preserve"> the Council at its ordinary session before the Plenipotentiary Conference shall consider the four-year reports of C</w:t>
      </w:r>
      <w:r w:rsidR="00CE7F65">
        <w:rPr>
          <w:lang w:val="en-US"/>
        </w:rPr>
        <w:t>ouncil Working Group</w:t>
      </w:r>
      <w:r w:rsidRPr="00FA449E">
        <w:rPr>
          <w:lang w:val="en-US"/>
        </w:rPr>
        <w:t>s</w:t>
      </w:r>
      <w:r w:rsidR="00CE7F65">
        <w:rPr>
          <w:lang w:val="en-US"/>
        </w:rPr>
        <w:t xml:space="preserve"> (CWGs)</w:t>
      </w:r>
      <w:r w:rsidRPr="00FA449E">
        <w:rPr>
          <w:lang w:val="en-US"/>
        </w:rPr>
        <w:t xml:space="preserve"> and submit recommendations to the plenipotentiary conference on the need to maintain, modify, </w:t>
      </w:r>
      <w:proofErr w:type="gramStart"/>
      <w:r w:rsidRPr="00FA449E">
        <w:rPr>
          <w:lang w:val="en-US"/>
        </w:rPr>
        <w:t>terminate</w:t>
      </w:r>
      <w:proofErr w:type="gramEnd"/>
      <w:r w:rsidRPr="00FA449E">
        <w:rPr>
          <w:lang w:val="en-US"/>
        </w:rPr>
        <w:t xml:space="preserve"> or establish CWGs for the next period.</w:t>
      </w:r>
    </w:p>
    <w:p w14:paraId="28646EF2" w14:textId="6BAD3E33" w:rsidR="005B4F01" w:rsidRPr="00590B92" w:rsidRDefault="005B4F01" w:rsidP="00AF1CB4">
      <w:pPr>
        <w:pStyle w:val="ListParagraph"/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ind w:left="0" w:firstLine="0"/>
        <w:contextualSpacing w:val="0"/>
        <w:jc w:val="both"/>
        <w:rPr>
          <w:lang w:val="en-US"/>
        </w:rPr>
      </w:pPr>
      <w:bookmarkStart w:id="11" w:name="_Hlk95493316"/>
      <w:r w:rsidRPr="001428A4">
        <w:rPr>
          <w:lang w:val="en-US"/>
        </w:rPr>
        <w:t xml:space="preserve">This document, therefore, </w:t>
      </w:r>
      <w:r w:rsidR="007019C5" w:rsidRPr="001428A4">
        <w:rPr>
          <w:lang w:val="en-US"/>
        </w:rPr>
        <w:t>summarizes</w:t>
      </w:r>
      <w:r w:rsidRPr="001428A4">
        <w:rPr>
          <w:lang w:val="en-US"/>
        </w:rPr>
        <w:t xml:space="preserve"> the </w:t>
      </w:r>
      <w:r w:rsidR="00FA449E" w:rsidRPr="001428A4">
        <w:rPr>
          <w:lang w:val="en-US"/>
        </w:rPr>
        <w:t xml:space="preserve">outcomes of the </w:t>
      </w:r>
      <w:r w:rsidR="00CA58CD" w:rsidRPr="001428A4">
        <w:rPr>
          <w:lang w:val="en-US"/>
        </w:rPr>
        <w:t>four</w:t>
      </w:r>
      <w:r w:rsidR="00982509" w:rsidRPr="001428A4">
        <w:rPr>
          <w:lang w:val="en-US"/>
        </w:rPr>
        <w:t xml:space="preserve"> </w:t>
      </w:r>
      <w:r w:rsidRPr="001428A4">
        <w:rPr>
          <w:lang w:val="en-US"/>
        </w:rPr>
        <w:t>CWG COP Meetings</w:t>
      </w:r>
      <w:r w:rsidRPr="00590B92">
        <w:rPr>
          <w:lang w:val="en-US"/>
        </w:rPr>
        <w:t xml:space="preserve"> </w:t>
      </w:r>
      <w:r w:rsidR="008F3FB2" w:rsidRPr="00590B92">
        <w:rPr>
          <w:rFonts w:cs="Calibri"/>
          <w:szCs w:val="24"/>
          <w:lang w:val="en-US" w:eastAsia="fr-CH"/>
        </w:rPr>
        <w:t>(</w:t>
      </w:r>
      <w:hyperlink r:id="rId16">
        <w:r w:rsidR="008F3FB2" w:rsidRPr="00590B92">
          <w:rPr>
            <w:rStyle w:val="Hyperlink"/>
            <w:rFonts w:cs="Calibri"/>
            <w:szCs w:val="24"/>
            <w:lang w:val="en-US" w:eastAsia="fr-CH"/>
          </w:rPr>
          <w:t>C</w:t>
        </w:r>
        <w:r w:rsidR="008768BF" w:rsidRPr="00590B92">
          <w:rPr>
            <w:rStyle w:val="Hyperlink"/>
            <w:rFonts w:cs="Calibri"/>
            <w:szCs w:val="24"/>
            <w:lang w:val="en-US" w:eastAsia="fr-CH"/>
          </w:rPr>
          <w:t>WG Report</w:t>
        </w:r>
        <w:r w:rsidR="008F3FB2" w:rsidRPr="00590B92">
          <w:rPr>
            <w:rStyle w:val="Hyperlink"/>
            <w:rFonts w:cs="Calibri"/>
            <w:szCs w:val="24"/>
            <w:lang w:val="en-US" w:eastAsia="fr-CH"/>
          </w:rPr>
          <w:t>-19</w:t>
        </w:r>
      </w:hyperlink>
      <w:r w:rsidR="008F3FB2" w:rsidRPr="00590B92">
        <w:rPr>
          <w:rFonts w:cs="Calibri"/>
          <w:szCs w:val="24"/>
          <w:lang w:val="en-US" w:eastAsia="fr-CH"/>
        </w:rPr>
        <w:t xml:space="preserve"> – Council 15; </w:t>
      </w:r>
      <w:hyperlink r:id="rId17">
        <w:r w:rsidR="008F3FB2" w:rsidRPr="00590B92">
          <w:rPr>
            <w:rStyle w:val="Hyperlink"/>
            <w:rFonts w:cs="Calibri"/>
            <w:szCs w:val="24"/>
            <w:lang w:val="en-US" w:eastAsia="fr-CH"/>
          </w:rPr>
          <w:t>C</w:t>
        </w:r>
        <w:r w:rsidR="008768BF" w:rsidRPr="00590B92">
          <w:rPr>
            <w:rStyle w:val="Hyperlink"/>
            <w:rFonts w:cs="Calibri"/>
            <w:szCs w:val="24"/>
            <w:lang w:val="en-US" w:eastAsia="fr-CH"/>
          </w:rPr>
          <w:t>WG Report</w:t>
        </w:r>
        <w:r w:rsidR="008F3FB2" w:rsidRPr="00590B92">
          <w:rPr>
            <w:rStyle w:val="Hyperlink"/>
            <w:rFonts w:cs="Calibri"/>
            <w:szCs w:val="24"/>
            <w:lang w:val="en-US" w:eastAsia="fr-CH"/>
          </w:rPr>
          <w:t>-20</w:t>
        </w:r>
      </w:hyperlink>
      <w:r w:rsidR="008F3FB2" w:rsidRPr="00590B92">
        <w:rPr>
          <w:rFonts w:cs="Calibri"/>
          <w:szCs w:val="24"/>
          <w:lang w:val="en-US" w:eastAsia="fr-CH"/>
        </w:rPr>
        <w:t xml:space="preserve"> – Council 16; </w:t>
      </w:r>
      <w:hyperlink r:id="rId18">
        <w:r w:rsidR="008F3FB2" w:rsidRPr="00590B92">
          <w:rPr>
            <w:rStyle w:val="Hyperlink"/>
            <w:rFonts w:cs="Calibri"/>
            <w:szCs w:val="24"/>
            <w:lang w:val="en-US" w:eastAsia="fr-CH"/>
          </w:rPr>
          <w:t>C</w:t>
        </w:r>
        <w:r w:rsidR="008768BF" w:rsidRPr="00590B92">
          <w:rPr>
            <w:rStyle w:val="Hyperlink"/>
            <w:rFonts w:cs="Calibri"/>
            <w:szCs w:val="24"/>
            <w:lang w:val="en-US" w:eastAsia="fr-CH"/>
          </w:rPr>
          <w:t>WG Report</w:t>
        </w:r>
        <w:r w:rsidR="008F3FB2" w:rsidRPr="00590B92">
          <w:rPr>
            <w:rStyle w:val="Hyperlink"/>
            <w:rFonts w:cs="Calibri"/>
            <w:szCs w:val="24"/>
            <w:lang w:val="en-US" w:eastAsia="fr-CH"/>
          </w:rPr>
          <w:t>-21</w:t>
        </w:r>
      </w:hyperlink>
      <w:r w:rsidR="008F3FB2" w:rsidRPr="00590B92">
        <w:rPr>
          <w:rFonts w:cs="Calibri"/>
          <w:szCs w:val="24"/>
          <w:lang w:val="en-US" w:eastAsia="fr-CH"/>
        </w:rPr>
        <w:t xml:space="preserve"> - Council 17, </w:t>
      </w:r>
      <w:hyperlink r:id="rId19">
        <w:r w:rsidR="008F3FB2" w:rsidRPr="00590B92">
          <w:rPr>
            <w:rStyle w:val="Hyperlink"/>
            <w:rFonts w:cs="Calibri"/>
            <w:szCs w:val="24"/>
            <w:lang w:val="en-US" w:eastAsia="fr-CH"/>
          </w:rPr>
          <w:t>C</w:t>
        </w:r>
        <w:r w:rsidR="008768BF" w:rsidRPr="00590B92">
          <w:rPr>
            <w:rStyle w:val="Hyperlink"/>
            <w:rFonts w:cs="Calibri"/>
            <w:szCs w:val="24"/>
            <w:lang w:val="en-US" w:eastAsia="fr-CH"/>
          </w:rPr>
          <w:t>WG Report</w:t>
        </w:r>
        <w:r w:rsidR="008F3FB2" w:rsidRPr="00590B92">
          <w:rPr>
            <w:rStyle w:val="Hyperlink"/>
            <w:rFonts w:cs="Calibri"/>
            <w:szCs w:val="24"/>
            <w:lang w:val="en-US" w:eastAsia="fr-CH"/>
          </w:rPr>
          <w:t>-22</w:t>
        </w:r>
      </w:hyperlink>
      <w:r w:rsidR="008F3FB2" w:rsidRPr="00590B92">
        <w:rPr>
          <w:rFonts w:cs="Calibri"/>
          <w:szCs w:val="24"/>
          <w:lang w:val="en-US" w:eastAsia="fr-CH"/>
        </w:rPr>
        <w:t xml:space="preserve"> - Council 18)</w:t>
      </w:r>
      <w:r w:rsidRPr="00590B92">
        <w:rPr>
          <w:lang w:val="en-US"/>
        </w:rPr>
        <w:t xml:space="preserve">, which were held </w:t>
      </w:r>
      <w:r w:rsidR="008768BF" w:rsidRPr="00590B92">
        <w:rPr>
          <w:lang w:val="en-US"/>
        </w:rPr>
        <w:t>since</w:t>
      </w:r>
      <w:r w:rsidRPr="00590B92">
        <w:rPr>
          <w:lang w:val="en-US"/>
        </w:rPr>
        <w:t xml:space="preserve"> ITU Plenipotentiary Conference 201</w:t>
      </w:r>
      <w:r w:rsidR="008F3FB2" w:rsidRPr="00590B92">
        <w:rPr>
          <w:lang w:val="en-US"/>
        </w:rPr>
        <w:t>8</w:t>
      </w:r>
      <w:r w:rsidRPr="00590B92">
        <w:rPr>
          <w:lang w:val="en-US"/>
        </w:rPr>
        <w:t>.</w:t>
      </w:r>
    </w:p>
    <w:bookmarkEnd w:id="11"/>
    <w:p w14:paraId="201EE9D2" w14:textId="04017E0B" w:rsidR="00D91489" w:rsidRPr="00590B92" w:rsidRDefault="00362C90" w:rsidP="00AF1CB4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ind w:left="0"/>
        <w:contextualSpacing w:val="0"/>
        <w:jc w:val="both"/>
        <w:rPr>
          <w:b/>
          <w:bCs/>
          <w:lang w:val="en-US"/>
        </w:rPr>
      </w:pPr>
      <w:r w:rsidRPr="00590B92">
        <w:rPr>
          <w:b/>
          <w:bCs/>
          <w:lang w:val="en-US"/>
        </w:rPr>
        <w:lastRenderedPageBreak/>
        <w:t>CWG-</w:t>
      </w:r>
      <w:r w:rsidR="00330B4B" w:rsidRPr="00590B92">
        <w:rPr>
          <w:b/>
          <w:bCs/>
          <w:lang w:val="en-US"/>
        </w:rPr>
        <w:t>COP</w:t>
      </w:r>
      <w:r w:rsidRPr="00590B92">
        <w:rPr>
          <w:b/>
          <w:bCs/>
          <w:lang w:val="en-US"/>
        </w:rPr>
        <w:t xml:space="preserve"> activities</w:t>
      </w:r>
    </w:p>
    <w:p w14:paraId="727A42D9" w14:textId="1AA4F87F" w:rsidR="008F3FB2" w:rsidRDefault="008F3FB2" w:rsidP="00AF1C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rFonts w:eastAsia="Calibri" w:cs="Calibri"/>
          <w:szCs w:val="24"/>
          <w:lang w:val="en-US"/>
        </w:rPr>
      </w:pPr>
      <w:r w:rsidRPr="53C832F4">
        <w:rPr>
          <w:rFonts w:eastAsia="Calibri" w:cs="Calibri"/>
          <w:szCs w:val="24"/>
          <w:lang w:val="en-US"/>
        </w:rPr>
        <w:t>2.1</w:t>
      </w:r>
      <w:r w:rsidR="00CE7F65">
        <w:rPr>
          <w:rFonts w:eastAsia="Calibri" w:cs="Calibri"/>
          <w:szCs w:val="24"/>
          <w:lang w:val="en-US"/>
        </w:rPr>
        <w:tab/>
      </w:r>
      <w:r w:rsidRPr="53C832F4">
        <w:rPr>
          <w:rFonts w:eastAsia="Calibri" w:cs="Calibri"/>
          <w:szCs w:val="24"/>
          <w:lang w:val="en-US"/>
        </w:rPr>
        <w:t xml:space="preserve">The main results of the </w:t>
      </w:r>
      <w:hyperlink r:id="rId20" w:history="1">
        <w:r w:rsidRPr="00E1338A">
          <w:rPr>
            <w:rStyle w:val="Hyperlink"/>
            <w:rFonts w:eastAsia="Calibri" w:cs="Calibri"/>
            <w:szCs w:val="24"/>
            <w:lang w:val="en-US"/>
          </w:rPr>
          <w:t>fifteenth meeting</w:t>
        </w:r>
      </w:hyperlink>
      <w:r w:rsidRPr="53C832F4">
        <w:rPr>
          <w:rFonts w:eastAsia="Calibri" w:cs="Calibri"/>
          <w:szCs w:val="24"/>
          <w:lang w:val="en-US"/>
        </w:rPr>
        <w:t xml:space="preserve"> of the Council Working Group on Child Online Protection </w:t>
      </w:r>
      <w:r w:rsidRPr="53C832F4">
        <w:rPr>
          <w:rFonts w:eastAsia="Calibri" w:cs="Calibri"/>
          <w:color w:val="000000" w:themeColor="text1"/>
          <w:szCs w:val="24"/>
          <w:lang w:val="en-US"/>
        </w:rPr>
        <w:t>(CWG-COP)</w:t>
      </w:r>
      <w:r w:rsidRPr="53C832F4">
        <w:rPr>
          <w:rFonts w:eastAsia="Calibri" w:cs="Calibri"/>
          <w:szCs w:val="24"/>
          <w:lang w:val="en-US"/>
        </w:rPr>
        <w:t>, held on 26 September 2019</w:t>
      </w:r>
      <w:r w:rsidR="00CE7F65">
        <w:rPr>
          <w:rFonts w:eastAsia="Calibri" w:cs="Calibri"/>
          <w:szCs w:val="24"/>
          <w:lang w:val="en-US"/>
        </w:rPr>
        <w:t>,</w:t>
      </w:r>
      <w:r w:rsidRPr="53C832F4">
        <w:rPr>
          <w:rFonts w:eastAsia="Calibri" w:cs="Calibri"/>
          <w:szCs w:val="24"/>
          <w:lang w:val="en-US"/>
        </w:rPr>
        <w:t xml:space="preserve"> were:</w:t>
      </w:r>
    </w:p>
    <w:p w14:paraId="5763700C" w14:textId="77777777" w:rsidR="008F3FB2" w:rsidRDefault="008F3FB2" w:rsidP="00AF1CB4">
      <w:pPr>
        <w:pStyle w:val="ListParagraph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eastAsiaTheme="minorEastAsia"/>
          <w:color w:val="000000" w:themeColor="text1"/>
          <w:szCs w:val="24"/>
        </w:rPr>
      </w:pPr>
      <w:r w:rsidRPr="53C832F4">
        <w:rPr>
          <w:rFonts w:eastAsia="Calibri" w:cs="Calibri"/>
          <w:color w:val="000000" w:themeColor="text1"/>
          <w:szCs w:val="24"/>
          <w:lang w:val="en-US"/>
        </w:rPr>
        <w:t xml:space="preserve">The Chair encouraged providing guidance and ideas on how to improve the number of responses from young people. </w:t>
      </w:r>
    </w:p>
    <w:p w14:paraId="1CCE67E2" w14:textId="77777777" w:rsidR="008F3FB2" w:rsidRDefault="008F3FB2" w:rsidP="00AF1CB4">
      <w:pPr>
        <w:pStyle w:val="ListParagraph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eastAsiaTheme="minorEastAsia"/>
          <w:color w:val="000000" w:themeColor="text1"/>
          <w:szCs w:val="24"/>
        </w:rPr>
      </w:pPr>
      <w:r w:rsidRPr="53C832F4">
        <w:rPr>
          <w:rFonts w:eastAsia="Calibri" w:cs="Calibri"/>
          <w:color w:val="000000" w:themeColor="text1"/>
          <w:szCs w:val="24"/>
          <w:lang w:val="en-US"/>
        </w:rPr>
        <w:t xml:space="preserve">The Chair recommended more involvement and participation of the stakeholders at the meetings as this is a unique platform for information sharing and lessons learned. </w:t>
      </w:r>
    </w:p>
    <w:p w14:paraId="357415AE" w14:textId="03715A91" w:rsidR="008F3FB2" w:rsidRPr="003B5480" w:rsidRDefault="008F3FB2" w:rsidP="00AF1CB4">
      <w:pPr>
        <w:pStyle w:val="ListParagraph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color w:val="000000" w:themeColor="text1"/>
          <w:szCs w:val="24"/>
        </w:rPr>
      </w:pPr>
      <w:r w:rsidRPr="53C832F4">
        <w:rPr>
          <w:rFonts w:eastAsia="Calibri" w:cs="Calibri"/>
          <w:color w:val="000000" w:themeColor="text1"/>
          <w:szCs w:val="24"/>
          <w:lang w:val="en-US"/>
        </w:rPr>
        <w:t>The CWG invite</w:t>
      </w:r>
      <w:r w:rsidR="00982509">
        <w:rPr>
          <w:rFonts w:eastAsia="Calibri" w:cs="Calibri"/>
          <w:color w:val="000000" w:themeColor="text1"/>
          <w:szCs w:val="24"/>
          <w:lang w:val="en-US"/>
        </w:rPr>
        <w:t>d</w:t>
      </w:r>
      <w:r w:rsidRPr="53C832F4">
        <w:rPr>
          <w:rFonts w:eastAsia="Calibri" w:cs="Calibri"/>
          <w:color w:val="000000" w:themeColor="text1"/>
          <w:szCs w:val="24"/>
          <w:lang w:val="en-US"/>
        </w:rPr>
        <w:t xml:space="preserve"> the membership to </w:t>
      </w:r>
      <w:r w:rsidR="007019C5" w:rsidRPr="53C832F4">
        <w:rPr>
          <w:rFonts w:eastAsia="Calibri" w:cs="Calibri"/>
          <w:color w:val="000000" w:themeColor="text1"/>
          <w:szCs w:val="24"/>
          <w:lang w:val="en-US"/>
        </w:rPr>
        <w:t>realize</w:t>
      </w:r>
      <w:r w:rsidRPr="53C832F4">
        <w:rPr>
          <w:rFonts w:eastAsia="Calibri" w:cs="Calibri"/>
          <w:color w:val="000000" w:themeColor="text1"/>
          <w:szCs w:val="24"/>
          <w:lang w:val="en-US"/>
        </w:rPr>
        <w:t xml:space="preserve"> and be aware of the importance of evaluating the effectiveness of a given </w:t>
      </w:r>
      <w:proofErr w:type="spellStart"/>
      <w:r w:rsidRPr="003B5480">
        <w:rPr>
          <w:rFonts w:eastAsia="Calibri" w:cs="Calibri"/>
          <w:color w:val="000000" w:themeColor="text1"/>
          <w:szCs w:val="24"/>
          <w:lang w:val="en-US"/>
        </w:rPr>
        <w:t>programme</w:t>
      </w:r>
      <w:proofErr w:type="spellEnd"/>
      <w:r w:rsidRPr="003B5480">
        <w:rPr>
          <w:rFonts w:eastAsia="Calibri" w:cs="Calibri"/>
          <w:color w:val="000000" w:themeColor="text1"/>
          <w:szCs w:val="24"/>
          <w:lang w:val="en-US"/>
        </w:rPr>
        <w:t>.</w:t>
      </w:r>
    </w:p>
    <w:p w14:paraId="4170801D" w14:textId="6397851B" w:rsidR="008F3FB2" w:rsidRDefault="008F3FB2" w:rsidP="00AF1CB4">
      <w:pPr>
        <w:pStyle w:val="ListParagraph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color w:val="000000" w:themeColor="text1"/>
          <w:szCs w:val="24"/>
        </w:rPr>
      </w:pPr>
      <w:r w:rsidRPr="003B5480">
        <w:rPr>
          <w:rFonts w:eastAsia="Calibri" w:cs="Calibri"/>
          <w:color w:val="000000" w:themeColor="text1"/>
          <w:szCs w:val="24"/>
          <w:lang w:val="en-US"/>
        </w:rPr>
        <w:t xml:space="preserve">A first liaison statement </w:t>
      </w:r>
      <w:r w:rsidR="008768BF" w:rsidRPr="003B5480">
        <w:rPr>
          <w:rFonts w:eastAsia="Calibri" w:cs="Calibri"/>
          <w:color w:val="000000" w:themeColor="text1"/>
          <w:szCs w:val="24"/>
          <w:lang w:val="en-US"/>
        </w:rPr>
        <w:t xml:space="preserve">was </w:t>
      </w:r>
      <w:r w:rsidRPr="003B5480">
        <w:rPr>
          <w:rFonts w:eastAsia="Calibri" w:cs="Calibri"/>
          <w:color w:val="000000" w:themeColor="text1"/>
          <w:szCs w:val="24"/>
          <w:lang w:val="en-US"/>
        </w:rPr>
        <w:t>sent to ITU</w:t>
      </w:r>
      <w:r w:rsidR="003B5480" w:rsidRPr="003B5480">
        <w:rPr>
          <w:rFonts w:eastAsia="Calibri" w:cs="Calibri"/>
          <w:color w:val="000000" w:themeColor="text1"/>
          <w:szCs w:val="24"/>
          <w:lang w:val="en-US"/>
        </w:rPr>
        <w:t>-D</w:t>
      </w:r>
      <w:r w:rsidRPr="003B5480">
        <w:rPr>
          <w:rFonts w:eastAsia="Calibri" w:cs="Calibri"/>
          <w:color w:val="000000" w:themeColor="text1"/>
          <w:szCs w:val="24"/>
          <w:lang w:val="en-US"/>
        </w:rPr>
        <w:t xml:space="preserve"> Study Group 2 to</w:t>
      </w:r>
      <w:r w:rsidRPr="53C832F4">
        <w:rPr>
          <w:rFonts w:eastAsia="Calibri" w:cs="Calibri"/>
          <w:color w:val="000000" w:themeColor="text1"/>
          <w:szCs w:val="24"/>
          <w:lang w:val="en-US"/>
        </w:rPr>
        <w:t xml:space="preserve"> inform delegations on the work of the Guidelines and ensure a more participatory process. </w:t>
      </w:r>
    </w:p>
    <w:p w14:paraId="13EFB274" w14:textId="1B717451" w:rsidR="008F3FB2" w:rsidRPr="008F3FB2" w:rsidRDefault="008F3FB2" w:rsidP="00AF1CB4">
      <w:pPr>
        <w:pStyle w:val="ListParagraph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eastAsiaTheme="minorEastAsia"/>
          <w:color w:val="000000" w:themeColor="text1"/>
          <w:szCs w:val="24"/>
        </w:rPr>
      </w:pPr>
      <w:r w:rsidRPr="00000879">
        <w:rPr>
          <w:rFonts w:eastAsia="Calibri" w:cs="Calibri"/>
          <w:color w:val="000000" w:themeColor="text1"/>
          <w:spacing w:val="-2"/>
          <w:szCs w:val="24"/>
          <w:lang w:val="en-US"/>
        </w:rPr>
        <w:t xml:space="preserve">A second liaison statement </w:t>
      </w:r>
      <w:r w:rsidR="00982509" w:rsidRPr="00000879">
        <w:rPr>
          <w:rFonts w:eastAsia="Calibri" w:cs="Calibri"/>
          <w:color w:val="000000" w:themeColor="text1"/>
          <w:spacing w:val="-2"/>
          <w:szCs w:val="24"/>
          <w:lang w:val="en-US"/>
        </w:rPr>
        <w:t>was</w:t>
      </w:r>
      <w:r w:rsidRPr="00000879">
        <w:rPr>
          <w:rFonts w:eastAsia="Calibri" w:cs="Calibri"/>
          <w:color w:val="000000" w:themeColor="text1"/>
          <w:spacing w:val="-2"/>
          <w:szCs w:val="24"/>
          <w:lang w:val="en-US"/>
        </w:rPr>
        <w:t xml:space="preserve"> sent to ITU-D to request further information on</w:t>
      </w:r>
      <w:r w:rsidRPr="53C832F4">
        <w:rPr>
          <w:rFonts w:eastAsia="Calibri" w:cs="Calibri"/>
          <w:color w:val="000000" w:themeColor="text1"/>
          <w:szCs w:val="24"/>
          <w:lang w:val="en-US"/>
        </w:rPr>
        <w:t xml:space="preserve"> EG-household Indicators and the related discussion on COP indicators.</w:t>
      </w:r>
    </w:p>
    <w:p w14:paraId="6C356B86" w14:textId="7EF0720F" w:rsidR="008F3FB2" w:rsidRDefault="008F3FB2" w:rsidP="00AF1C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rFonts w:eastAsia="Calibri" w:cs="Calibri"/>
          <w:color w:val="000000" w:themeColor="text1"/>
          <w:szCs w:val="24"/>
          <w:lang w:val="en-US"/>
        </w:rPr>
      </w:pPr>
      <w:r w:rsidRPr="53C832F4">
        <w:rPr>
          <w:rFonts w:cs="Calibri"/>
          <w:szCs w:val="24"/>
          <w:lang w:val="en-US" w:eastAsia="fr-CH"/>
        </w:rPr>
        <w:t>2.2</w:t>
      </w:r>
      <w:r w:rsidR="00000879">
        <w:rPr>
          <w:rFonts w:cs="Calibri"/>
          <w:szCs w:val="24"/>
          <w:lang w:val="en-US" w:eastAsia="fr-CH"/>
        </w:rPr>
        <w:tab/>
      </w:r>
      <w:r w:rsidRPr="53C832F4">
        <w:rPr>
          <w:rFonts w:eastAsia="Calibri" w:cs="Calibri"/>
          <w:szCs w:val="24"/>
          <w:lang w:val="en-US"/>
        </w:rPr>
        <w:t xml:space="preserve">The main results </w:t>
      </w:r>
      <w:r w:rsidRPr="53C832F4">
        <w:rPr>
          <w:rFonts w:eastAsia="Calibri" w:cs="Calibri"/>
          <w:color w:val="000000" w:themeColor="text1"/>
          <w:szCs w:val="24"/>
          <w:lang w:val="en-US"/>
        </w:rPr>
        <w:t xml:space="preserve">of the </w:t>
      </w:r>
      <w:hyperlink r:id="rId21" w:history="1">
        <w:r w:rsidRPr="00E1338A">
          <w:rPr>
            <w:rStyle w:val="Hyperlink"/>
            <w:rFonts w:eastAsia="Calibri" w:cs="Calibri"/>
            <w:szCs w:val="24"/>
            <w:lang w:val="en-US"/>
          </w:rPr>
          <w:t>sixteenth meeting</w:t>
        </w:r>
      </w:hyperlink>
      <w:r w:rsidRPr="53C832F4">
        <w:rPr>
          <w:rFonts w:eastAsia="Calibri" w:cs="Calibri"/>
          <w:color w:val="000000" w:themeColor="text1"/>
          <w:szCs w:val="24"/>
          <w:lang w:val="en-US"/>
        </w:rPr>
        <w:t xml:space="preserve"> of the Council Working Group on Child Online Protection, held on 4 February 2020</w:t>
      </w:r>
      <w:r w:rsidR="00000879">
        <w:rPr>
          <w:rFonts w:eastAsia="Calibri" w:cs="Calibri"/>
          <w:color w:val="000000" w:themeColor="text1"/>
          <w:szCs w:val="24"/>
          <w:lang w:val="en-US"/>
        </w:rPr>
        <w:t>, were</w:t>
      </w:r>
      <w:r w:rsidRPr="53C832F4">
        <w:rPr>
          <w:rFonts w:eastAsia="Calibri" w:cs="Calibri"/>
          <w:color w:val="000000" w:themeColor="text1"/>
          <w:szCs w:val="24"/>
          <w:lang w:val="en-US"/>
        </w:rPr>
        <w:t xml:space="preserve">: </w:t>
      </w:r>
    </w:p>
    <w:p w14:paraId="586AF0E2" w14:textId="03EABD0D" w:rsidR="008F3FB2" w:rsidRDefault="008F3FB2" w:rsidP="00AF1CB4">
      <w:pPr>
        <w:pStyle w:val="ListParagraph"/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eastAsiaTheme="minorEastAsia"/>
          <w:szCs w:val="24"/>
          <w:lang w:eastAsia="fr-CH"/>
        </w:rPr>
      </w:pPr>
      <w:r w:rsidRPr="53C832F4">
        <w:rPr>
          <w:rFonts w:cs="Calibri"/>
          <w:szCs w:val="24"/>
          <w:lang w:val="en-US" w:eastAsia="fr-CH"/>
        </w:rPr>
        <w:t xml:space="preserve">The Chair stated that a report </w:t>
      </w:r>
      <w:r w:rsidR="00000879">
        <w:rPr>
          <w:rFonts w:cs="Calibri"/>
          <w:szCs w:val="24"/>
          <w:lang w:val="en-US" w:eastAsia="fr-CH"/>
        </w:rPr>
        <w:t>would</w:t>
      </w:r>
      <w:r w:rsidRPr="53C832F4">
        <w:rPr>
          <w:rFonts w:cs="Calibri"/>
          <w:szCs w:val="24"/>
          <w:lang w:val="en-US" w:eastAsia="fr-CH"/>
        </w:rPr>
        <w:t xml:space="preserve"> be prepared, which </w:t>
      </w:r>
      <w:r w:rsidR="00000879">
        <w:rPr>
          <w:rFonts w:cs="Calibri"/>
          <w:szCs w:val="24"/>
          <w:lang w:val="en-US" w:eastAsia="fr-CH"/>
        </w:rPr>
        <w:t>would</w:t>
      </w:r>
      <w:r w:rsidRPr="53C832F4">
        <w:rPr>
          <w:rFonts w:cs="Calibri"/>
          <w:szCs w:val="24"/>
          <w:lang w:val="en-US" w:eastAsia="fr-CH"/>
        </w:rPr>
        <w:t xml:space="preserve"> include both the fifteenth and the sixteenth meetings of the CWG-COP. </w:t>
      </w:r>
    </w:p>
    <w:p w14:paraId="19A7FC06" w14:textId="3BF53700" w:rsidR="008F3FB2" w:rsidRDefault="008F3FB2" w:rsidP="00AF1CB4">
      <w:pPr>
        <w:pStyle w:val="ListParagraph"/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eastAsiaTheme="minorEastAsia"/>
          <w:szCs w:val="24"/>
          <w:lang w:eastAsia="fr-CH"/>
        </w:rPr>
      </w:pPr>
      <w:r w:rsidRPr="53C832F4">
        <w:rPr>
          <w:rFonts w:cs="Calibri"/>
          <w:szCs w:val="24"/>
          <w:lang w:val="en-US" w:eastAsia="fr-CH"/>
        </w:rPr>
        <w:t xml:space="preserve">The COP Mascot </w:t>
      </w:r>
      <w:r w:rsidR="00982509">
        <w:rPr>
          <w:rFonts w:cs="Calibri"/>
          <w:szCs w:val="24"/>
          <w:lang w:val="en-US" w:eastAsia="fr-CH"/>
        </w:rPr>
        <w:t>was</w:t>
      </w:r>
      <w:r w:rsidR="008768BF">
        <w:rPr>
          <w:rFonts w:cs="Calibri"/>
          <w:szCs w:val="24"/>
          <w:lang w:val="en-US" w:eastAsia="fr-CH"/>
        </w:rPr>
        <w:t xml:space="preserve"> </w:t>
      </w:r>
      <w:r w:rsidRPr="53C832F4">
        <w:rPr>
          <w:rFonts w:cs="Calibri"/>
          <w:szCs w:val="24"/>
          <w:lang w:val="en-US" w:eastAsia="fr-CH"/>
        </w:rPr>
        <w:t xml:space="preserve">posted online. </w:t>
      </w:r>
    </w:p>
    <w:p w14:paraId="5C7C3790" w14:textId="494BC122" w:rsidR="008F3FB2" w:rsidRDefault="008F3FB2" w:rsidP="00AF1CB4">
      <w:pPr>
        <w:pStyle w:val="ListParagraph"/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eastAsiaTheme="minorEastAsia"/>
          <w:szCs w:val="24"/>
          <w:lang w:eastAsia="fr-CH"/>
        </w:rPr>
      </w:pPr>
      <w:r w:rsidRPr="53C832F4">
        <w:rPr>
          <w:rFonts w:cs="Calibri"/>
          <w:szCs w:val="24"/>
          <w:lang w:val="en-US" w:eastAsia="fr-CH"/>
        </w:rPr>
        <w:t xml:space="preserve">The Chair recommended more proactive involvement and participation of </w:t>
      </w:r>
      <w:r w:rsidR="00D46747">
        <w:rPr>
          <w:rFonts w:cs="Calibri"/>
          <w:szCs w:val="24"/>
          <w:lang w:val="en-US" w:eastAsia="fr-CH"/>
        </w:rPr>
        <w:t xml:space="preserve">all relevant </w:t>
      </w:r>
      <w:r w:rsidRPr="53C832F4">
        <w:rPr>
          <w:rFonts w:cs="Calibri"/>
          <w:szCs w:val="24"/>
          <w:lang w:val="en-US" w:eastAsia="fr-CH"/>
        </w:rPr>
        <w:t>stakeholders at the meetings</w:t>
      </w:r>
      <w:r w:rsidR="00D46747">
        <w:rPr>
          <w:rFonts w:cs="Calibri"/>
          <w:szCs w:val="24"/>
          <w:lang w:val="en-US" w:eastAsia="fr-CH"/>
        </w:rPr>
        <w:t xml:space="preserve">, including experts and ITU COP partners, emphasizing that this </w:t>
      </w:r>
      <w:r w:rsidR="008768BF">
        <w:rPr>
          <w:rFonts w:cs="Calibri"/>
          <w:szCs w:val="24"/>
          <w:lang w:val="en-US" w:eastAsia="fr-CH"/>
        </w:rPr>
        <w:t>was</w:t>
      </w:r>
      <w:r w:rsidR="00D46747">
        <w:rPr>
          <w:rFonts w:cs="Calibri"/>
          <w:szCs w:val="24"/>
          <w:lang w:val="en-US" w:eastAsia="fr-CH"/>
        </w:rPr>
        <w:t xml:space="preserve"> a</w:t>
      </w:r>
      <w:r w:rsidRPr="53C832F4">
        <w:rPr>
          <w:rFonts w:cs="Calibri"/>
          <w:szCs w:val="24"/>
          <w:lang w:val="en-US" w:eastAsia="fr-CH"/>
        </w:rPr>
        <w:t xml:space="preserve"> unique platform for</w:t>
      </w:r>
      <w:r w:rsidR="00D46747">
        <w:rPr>
          <w:rFonts w:cs="Calibri"/>
          <w:szCs w:val="24"/>
          <w:lang w:val="en-US" w:eastAsia="fr-CH"/>
        </w:rPr>
        <w:t xml:space="preserve"> </w:t>
      </w:r>
      <w:r w:rsidRPr="53C832F4">
        <w:rPr>
          <w:rFonts w:cs="Calibri"/>
          <w:szCs w:val="24"/>
          <w:lang w:val="en-US" w:eastAsia="fr-CH"/>
        </w:rPr>
        <w:t>information sharing and lessons learned.</w:t>
      </w:r>
    </w:p>
    <w:p w14:paraId="4DCF5359" w14:textId="5F63574A" w:rsidR="008F3FB2" w:rsidRPr="008F3FB2" w:rsidRDefault="008F3FB2" w:rsidP="00AF1C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rFonts w:eastAsia="Calibri" w:cs="Calibri"/>
          <w:szCs w:val="24"/>
          <w:lang w:val="en-US"/>
        </w:rPr>
      </w:pPr>
      <w:r w:rsidRPr="53C832F4">
        <w:rPr>
          <w:rFonts w:cs="Calibri"/>
          <w:szCs w:val="24"/>
          <w:lang w:val="en-US" w:eastAsia="fr-CH"/>
        </w:rPr>
        <w:t>2.3</w:t>
      </w:r>
      <w:r w:rsidR="00000879">
        <w:rPr>
          <w:rFonts w:cs="Calibri"/>
          <w:szCs w:val="24"/>
          <w:lang w:val="en-US" w:eastAsia="fr-CH"/>
        </w:rPr>
        <w:tab/>
      </w:r>
      <w:r w:rsidRPr="53C832F4">
        <w:rPr>
          <w:rFonts w:cs="Calibri"/>
          <w:szCs w:val="24"/>
          <w:lang w:val="en-US" w:eastAsia="fr-CH"/>
        </w:rPr>
        <w:t>T</w:t>
      </w:r>
      <w:r w:rsidRPr="53C832F4">
        <w:rPr>
          <w:rFonts w:eastAsia="Calibri" w:cs="Calibri"/>
          <w:szCs w:val="24"/>
          <w:lang w:val="en-US"/>
        </w:rPr>
        <w:t xml:space="preserve">he main outcomes of the </w:t>
      </w:r>
      <w:hyperlink r:id="rId22" w:history="1">
        <w:r w:rsidRPr="00E1338A">
          <w:rPr>
            <w:rStyle w:val="Hyperlink"/>
            <w:rFonts w:eastAsia="Calibri" w:cs="Calibri"/>
            <w:szCs w:val="24"/>
            <w:lang w:val="en-US"/>
          </w:rPr>
          <w:t>seventeenth meeting</w:t>
        </w:r>
      </w:hyperlink>
      <w:r w:rsidRPr="53C832F4">
        <w:rPr>
          <w:rFonts w:eastAsia="Calibri" w:cs="Calibri"/>
          <w:szCs w:val="24"/>
          <w:lang w:val="en-US"/>
        </w:rPr>
        <w:t xml:space="preserve"> of the Council Working Group on Child Online Protection, held on 26 January 2021</w:t>
      </w:r>
      <w:r w:rsidR="00000879">
        <w:rPr>
          <w:rFonts w:eastAsia="Calibri" w:cs="Calibri"/>
          <w:szCs w:val="24"/>
          <w:lang w:val="en-US"/>
        </w:rPr>
        <w:t>,</w:t>
      </w:r>
      <w:r w:rsidRPr="53C832F4">
        <w:rPr>
          <w:rFonts w:eastAsia="Calibri" w:cs="Calibri"/>
          <w:szCs w:val="24"/>
          <w:lang w:val="en-US"/>
        </w:rPr>
        <w:t xml:space="preserve"> were:</w:t>
      </w:r>
    </w:p>
    <w:p w14:paraId="25BD615D" w14:textId="77777777" w:rsidR="008F3FB2" w:rsidRDefault="008F3FB2" w:rsidP="00AF1CB4">
      <w:pPr>
        <w:pStyle w:val="ListParagraph"/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eastAsiaTheme="minorEastAsia"/>
          <w:szCs w:val="24"/>
          <w:lang w:val="en-US" w:eastAsia="fr-CH"/>
        </w:rPr>
      </w:pPr>
      <w:r w:rsidRPr="53C832F4">
        <w:rPr>
          <w:rFonts w:cs="Calibri"/>
          <w:szCs w:val="24"/>
          <w:lang w:val="en-US" w:eastAsia="fr-CH"/>
        </w:rPr>
        <w:t xml:space="preserve">The Chair stated that the meeting was very well attended and that participation in the discussion both orally and in the chat, was high, lively, and engaging. </w:t>
      </w:r>
    </w:p>
    <w:p w14:paraId="6D4CF311" w14:textId="1C763226" w:rsidR="008F3FB2" w:rsidRDefault="008F3FB2" w:rsidP="00AF1CB4">
      <w:pPr>
        <w:pStyle w:val="ListParagraph"/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eastAsiaTheme="minorEastAsia"/>
          <w:lang w:eastAsia="fr-CH"/>
        </w:rPr>
      </w:pPr>
      <w:r w:rsidRPr="53C832F4">
        <w:rPr>
          <w:rFonts w:cs="Calibri"/>
          <w:szCs w:val="24"/>
          <w:lang w:val="en-US" w:eastAsia="fr-CH"/>
        </w:rPr>
        <w:t>The Chair further encouraged ITU COP partners to participate again at the meetings of the CWG</w:t>
      </w:r>
      <w:r w:rsidR="00000879">
        <w:rPr>
          <w:rFonts w:cs="Calibri"/>
          <w:szCs w:val="24"/>
          <w:lang w:val="en-US" w:eastAsia="fr-CH"/>
        </w:rPr>
        <w:t>-</w:t>
      </w:r>
      <w:r w:rsidRPr="53C832F4">
        <w:rPr>
          <w:rFonts w:cs="Calibri"/>
          <w:szCs w:val="24"/>
          <w:lang w:val="en-US" w:eastAsia="fr-CH"/>
        </w:rPr>
        <w:t xml:space="preserve">COP as this is a unique platform </w:t>
      </w:r>
      <w:r w:rsidR="00D46747">
        <w:rPr>
          <w:rFonts w:cs="Calibri"/>
          <w:szCs w:val="24"/>
          <w:lang w:val="en-US" w:eastAsia="fr-CH"/>
        </w:rPr>
        <w:t>for establishing collaborative approaches towards C</w:t>
      </w:r>
      <w:r w:rsidR="00000879">
        <w:rPr>
          <w:rFonts w:cs="Calibri"/>
          <w:szCs w:val="24"/>
          <w:lang w:val="en-US" w:eastAsia="fr-CH"/>
        </w:rPr>
        <w:t>hild Online Protection</w:t>
      </w:r>
      <w:r w:rsidRPr="53C832F4">
        <w:rPr>
          <w:rFonts w:cs="Calibri"/>
          <w:szCs w:val="24"/>
          <w:lang w:val="en-US" w:eastAsia="fr-CH"/>
        </w:rPr>
        <w:t xml:space="preserve">. </w:t>
      </w:r>
    </w:p>
    <w:p w14:paraId="3C15BB8D" w14:textId="1780F78D" w:rsidR="008F3FB2" w:rsidRDefault="008F3FB2" w:rsidP="00AF1CB4">
      <w:pPr>
        <w:pStyle w:val="ListParagraph"/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szCs w:val="24"/>
        </w:rPr>
      </w:pPr>
      <w:r w:rsidRPr="53C832F4">
        <w:rPr>
          <w:szCs w:val="24"/>
          <w:lang w:val="en-US"/>
        </w:rPr>
        <w:t>The Chair recommended engaging ITU Regional Offices in the CWG</w:t>
      </w:r>
      <w:r w:rsidR="00000879">
        <w:rPr>
          <w:szCs w:val="24"/>
          <w:lang w:val="en-US"/>
        </w:rPr>
        <w:t>-</w:t>
      </w:r>
      <w:r w:rsidRPr="53C832F4">
        <w:rPr>
          <w:szCs w:val="24"/>
          <w:lang w:val="en-US"/>
        </w:rPr>
        <w:t xml:space="preserve">COP and related meetings. </w:t>
      </w:r>
    </w:p>
    <w:p w14:paraId="28C8EB1D" w14:textId="734C6C3E" w:rsidR="008F3FB2" w:rsidRDefault="008F3FB2" w:rsidP="00AF1CB4">
      <w:pPr>
        <w:pStyle w:val="ListParagraph"/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eastAsiaTheme="minorEastAsia"/>
          <w:szCs w:val="24"/>
        </w:rPr>
      </w:pPr>
      <w:r w:rsidRPr="53C832F4">
        <w:rPr>
          <w:szCs w:val="24"/>
          <w:lang w:val="en-US"/>
        </w:rPr>
        <w:t xml:space="preserve">The Kingdom of Saudi Arabia proposed to </w:t>
      </w:r>
      <w:r w:rsidR="007019C5" w:rsidRPr="53C832F4">
        <w:rPr>
          <w:szCs w:val="24"/>
          <w:lang w:val="en-US"/>
        </w:rPr>
        <w:t>organize</w:t>
      </w:r>
      <w:r w:rsidRPr="53C832F4">
        <w:rPr>
          <w:szCs w:val="24"/>
          <w:lang w:val="en-US"/>
        </w:rPr>
        <w:t xml:space="preserve"> information sessions on COP related matters with ITU and partners.</w:t>
      </w:r>
    </w:p>
    <w:p w14:paraId="3EF077AD" w14:textId="475F264D" w:rsidR="008F3FB2" w:rsidRPr="00D46747" w:rsidRDefault="008F3FB2" w:rsidP="00AF1CB4">
      <w:pPr>
        <w:pStyle w:val="ListParagraph"/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eastAsiaTheme="minorEastAsia"/>
          <w:szCs w:val="24"/>
        </w:rPr>
      </w:pPr>
      <w:r w:rsidRPr="53C832F4">
        <w:rPr>
          <w:szCs w:val="24"/>
          <w:lang w:val="en-US"/>
        </w:rPr>
        <w:t>The Chair finally invited the CWG</w:t>
      </w:r>
      <w:r w:rsidR="00000879">
        <w:rPr>
          <w:szCs w:val="24"/>
          <w:lang w:val="en-US"/>
        </w:rPr>
        <w:t>-</w:t>
      </w:r>
      <w:r w:rsidRPr="53C832F4">
        <w:rPr>
          <w:szCs w:val="24"/>
          <w:lang w:val="en-US"/>
        </w:rPr>
        <w:t>COP membership to contribute to the work of the ITU-D SG2 related to COP.</w:t>
      </w:r>
    </w:p>
    <w:p w14:paraId="3293AB20" w14:textId="0342431B" w:rsidR="008F3FB2" w:rsidRPr="008F3FB2" w:rsidRDefault="008F3FB2" w:rsidP="00AF1C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rFonts w:eastAsiaTheme="minorEastAsia"/>
          <w:color w:val="000000" w:themeColor="text1"/>
          <w:szCs w:val="24"/>
        </w:rPr>
      </w:pPr>
      <w:r w:rsidRPr="008F3FB2">
        <w:rPr>
          <w:rFonts w:eastAsiaTheme="minorEastAsia"/>
          <w:color w:val="000000" w:themeColor="text1"/>
          <w:szCs w:val="24"/>
        </w:rPr>
        <w:t>2.4</w:t>
      </w:r>
      <w:r w:rsidR="00000879">
        <w:rPr>
          <w:rFonts w:eastAsiaTheme="minorEastAsia"/>
          <w:color w:val="000000" w:themeColor="text1"/>
          <w:szCs w:val="24"/>
        </w:rPr>
        <w:tab/>
      </w:r>
      <w:r w:rsidR="008F73D6" w:rsidRPr="53C832F4">
        <w:rPr>
          <w:rFonts w:cs="Calibri"/>
          <w:szCs w:val="24"/>
          <w:lang w:val="en-US" w:eastAsia="fr-CH"/>
        </w:rPr>
        <w:t>T</w:t>
      </w:r>
      <w:r w:rsidR="008F73D6" w:rsidRPr="53C832F4">
        <w:rPr>
          <w:rFonts w:eastAsia="Calibri" w:cs="Calibri"/>
          <w:szCs w:val="24"/>
          <w:lang w:val="en-US"/>
        </w:rPr>
        <w:t xml:space="preserve">he main outcomes of the </w:t>
      </w:r>
      <w:hyperlink r:id="rId23" w:history="1">
        <w:r w:rsidR="00F9416D" w:rsidRPr="00E1338A">
          <w:rPr>
            <w:rStyle w:val="Hyperlink"/>
            <w:rFonts w:eastAsia="Calibri" w:cs="Calibri"/>
            <w:szCs w:val="24"/>
            <w:lang w:val="en-US"/>
          </w:rPr>
          <w:t>eighteenth</w:t>
        </w:r>
        <w:r w:rsidR="008F73D6" w:rsidRPr="00E1338A">
          <w:rPr>
            <w:rStyle w:val="Hyperlink"/>
            <w:rFonts w:eastAsia="Calibri" w:cs="Calibri"/>
            <w:szCs w:val="24"/>
            <w:lang w:val="en-US"/>
          </w:rPr>
          <w:t xml:space="preserve"> meeting</w:t>
        </w:r>
      </w:hyperlink>
      <w:r w:rsidR="008F73D6" w:rsidRPr="53C832F4">
        <w:rPr>
          <w:rFonts w:eastAsia="Calibri" w:cs="Calibri"/>
          <w:szCs w:val="24"/>
          <w:lang w:val="en-US"/>
        </w:rPr>
        <w:t xml:space="preserve"> of the Council Working Group on Child Online Protection, held on </w:t>
      </w:r>
      <w:r w:rsidR="00F9416D">
        <w:rPr>
          <w:rFonts w:eastAsia="Calibri" w:cs="Calibri"/>
          <w:szCs w:val="24"/>
          <w:lang w:val="en-US"/>
        </w:rPr>
        <w:t>12</w:t>
      </w:r>
      <w:r w:rsidR="008F73D6" w:rsidRPr="53C832F4">
        <w:rPr>
          <w:rFonts w:eastAsia="Calibri" w:cs="Calibri"/>
          <w:szCs w:val="24"/>
          <w:lang w:val="en-US"/>
        </w:rPr>
        <w:t xml:space="preserve"> January 202</w:t>
      </w:r>
      <w:r w:rsidR="00F9416D">
        <w:rPr>
          <w:rFonts w:eastAsia="Calibri" w:cs="Calibri"/>
          <w:szCs w:val="24"/>
          <w:lang w:val="en-US"/>
        </w:rPr>
        <w:t>2</w:t>
      </w:r>
      <w:r w:rsidR="003B5480">
        <w:rPr>
          <w:rFonts w:eastAsia="Calibri" w:cs="Calibri"/>
          <w:szCs w:val="24"/>
          <w:lang w:val="en-US"/>
        </w:rPr>
        <w:t>,</w:t>
      </w:r>
      <w:r w:rsidR="008F73D6" w:rsidRPr="53C832F4">
        <w:rPr>
          <w:rFonts w:eastAsia="Calibri" w:cs="Calibri"/>
          <w:szCs w:val="24"/>
          <w:lang w:val="en-US"/>
        </w:rPr>
        <w:t xml:space="preserve"> were:</w:t>
      </w:r>
    </w:p>
    <w:p w14:paraId="470D391F" w14:textId="3BF0AAF6" w:rsidR="008F73D6" w:rsidRPr="003B5480" w:rsidRDefault="008F73D6" w:rsidP="00AF1CB4">
      <w:pPr>
        <w:pStyle w:val="ListParagraph"/>
        <w:numPr>
          <w:ilvl w:val="0"/>
          <w:numId w:val="6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asciiTheme="minorHAnsi" w:eastAsiaTheme="minorEastAsia" w:hAnsiTheme="minorHAnsi" w:cstheme="minorHAnsi"/>
          <w:color w:val="000000" w:themeColor="text1"/>
          <w:szCs w:val="24"/>
        </w:rPr>
      </w:pPr>
      <w:r w:rsidRPr="003B5480">
        <w:rPr>
          <w:rFonts w:asciiTheme="minorHAnsi" w:eastAsiaTheme="minorEastAsia" w:hAnsiTheme="minorHAnsi" w:cstheme="minorHAnsi"/>
          <w:color w:val="000000" w:themeColor="text1"/>
          <w:szCs w:val="24"/>
        </w:rPr>
        <w:t xml:space="preserve">The Chair noted the growth of the </w:t>
      </w:r>
      <w:r w:rsidR="003B5480">
        <w:rPr>
          <w:rFonts w:asciiTheme="minorHAnsi" w:eastAsiaTheme="minorEastAsia" w:hAnsiTheme="minorHAnsi" w:cstheme="minorHAnsi"/>
          <w:color w:val="000000" w:themeColor="text1"/>
          <w:szCs w:val="24"/>
        </w:rPr>
        <w:t>CWG-COP</w:t>
      </w:r>
      <w:r w:rsidRPr="003B5480">
        <w:rPr>
          <w:rFonts w:asciiTheme="minorHAnsi" w:eastAsiaTheme="minorEastAsia" w:hAnsiTheme="minorHAnsi" w:cstheme="minorHAnsi"/>
          <w:color w:val="000000" w:themeColor="text1"/>
          <w:szCs w:val="24"/>
        </w:rPr>
        <w:t xml:space="preserve">, with this meeting having the </w:t>
      </w:r>
      <w:r w:rsidR="004E7AD0" w:rsidRPr="003B5480">
        <w:rPr>
          <w:rFonts w:asciiTheme="minorHAnsi" w:eastAsiaTheme="minorEastAsia" w:hAnsiTheme="minorHAnsi" w:cstheme="minorHAnsi"/>
          <w:color w:val="000000" w:themeColor="text1"/>
          <w:szCs w:val="24"/>
        </w:rPr>
        <w:t xml:space="preserve">largest number of </w:t>
      </w:r>
      <w:r w:rsidRPr="003B5480">
        <w:rPr>
          <w:rFonts w:asciiTheme="minorHAnsi" w:eastAsiaTheme="minorEastAsia" w:hAnsiTheme="minorHAnsi" w:cstheme="minorHAnsi"/>
          <w:color w:val="000000" w:themeColor="text1"/>
          <w:szCs w:val="24"/>
        </w:rPr>
        <w:t xml:space="preserve">contributions </w:t>
      </w:r>
      <w:r w:rsidR="004525C2" w:rsidRPr="003B5480">
        <w:rPr>
          <w:rFonts w:asciiTheme="minorHAnsi" w:eastAsiaTheme="minorEastAsia" w:hAnsiTheme="minorHAnsi" w:cstheme="minorHAnsi"/>
          <w:color w:val="000000" w:themeColor="text1"/>
          <w:szCs w:val="24"/>
        </w:rPr>
        <w:t>(</w:t>
      </w:r>
      <w:r w:rsidR="004525C2" w:rsidRPr="003B5480">
        <w:rPr>
          <w:rFonts w:asciiTheme="minorHAnsi" w:hAnsiTheme="minorHAnsi" w:cstheme="minorHAnsi"/>
          <w:color w:val="242424"/>
          <w:szCs w:val="24"/>
          <w:shd w:val="clear" w:color="auto" w:fill="FFFFFF"/>
        </w:rPr>
        <w:t xml:space="preserve">18 in total) </w:t>
      </w:r>
      <w:r w:rsidRPr="003B5480">
        <w:rPr>
          <w:rFonts w:asciiTheme="minorHAnsi" w:eastAsiaTheme="minorEastAsia" w:hAnsiTheme="minorHAnsi" w:cstheme="minorHAnsi"/>
          <w:color w:val="000000" w:themeColor="text1"/>
          <w:szCs w:val="24"/>
        </w:rPr>
        <w:t xml:space="preserve">and </w:t>
      </w:r>
      <w:r w:rsidR="003B5480">
        <w:rPr>
          <w:rFonts w:asciiTheme="minorHAnsi" w:eastAsiaTheme="minorEastAsia" w:hAnsiTheme="minorHAnsi" w:cstheme="minorHAnsi"/>
          <w:color w:val="000000" w:themeColor="text1"/>
          <w:szCs w:val="24"/>
        </w:rPr>
        <w:t xml:space="preserve">number of </w:t>
      </w:r>
      <w:r w:rsidRPr="003B5480">
        <w:rPr>
          <w:rFonts w:asciiTheme="minorHAnsi" w:eastAsiaTheme="minorEastAsia" w:hAnsiTheme="minorHAnsi" w:cstheme="minorHAnsi"/>
          <w:color w:val="000000" w:themeColor="text1"/>
          <w:szCs w:val="24"/>
        </w:rPr>
        <w:t>participants</w:t>
      </w:r>
      <w:r w:rsidR="004E7AD0" w:rsidRPr="003B5480">
        <w:rPr>
          <w:rFonts w:asciiTheme="minorHAnsi" w:eastAsiaTheme="minorEastAsia" w:hAnsiTheme="minorHAnsi" w:cstheme="minorHAnsi"/>
          <w:color w:val="000000" w:themeColor="text1"/>
          <w:szCs w:val="24"/>
        </w:rPr>
        <w:t xml:space="preserve"> </w:t>
      </w:r>
      <w:r w:rsidR="003B5480">
        <w:rPr>
          <w:rFonts w:asciiTheme="minorHAnsi" w:eastAsiaTheme="minorEastAsia" w:hAnsiTheme="minorHAnsi" w:cstheme="minorHAnsi"/>
          <w:color w:val="000000" w:themeColor="text1"/>
          <w:szCs w:val="24"/>
        </w:rPr>
        <w:t xml:space="preserve">(more than 150) </w:t>
      </w:r>
      <w:r w:rsidR="004E7AD0" w:rsidRPr="003B5480">
        <w:rPr>
          <w:rFonts w:asciiTheme="minorHAnsi" w:eastAsiaTheme="minorEastAsia" w:hAnsiTheme="minorHAnsi" w:cstheme="minorHAnsi"/>
          <w:color w:val="000000" w:themeColor="text1"/>
          <w:szCs w:val="24"/>
        </w:rPr>
        <w:t>[since formation of the CWG]</w:t>
      </w:r>
      <w:r w:rsidRPr="003B5480">
        <w:rPr>
          <w:rFonts w:asciiTheme="minorHAnsi" w:eastAsiaTheme="minorEastAsia" w:hAnsiTheme="minorHAnsi" w:cstheme="minorHAnsi"/>
          <w:color w:val="000000" w:themeColor="text1"/>
          <w:szCs w:val="24"/>
        </w:rPr>
        <w:t>.</w:t>
      </w:r>
    </w:p>
    <w:p w14:paraId="682FEDD0" w14:textId="0D7BF5D9" w:rsidR="008F73D6" w:rsidRPr="008F73D6" w:rsidRDefault="008F73D6" w:rsidP="00AF1CB4">
      <w:pPr>
        <w:pStyle w:val="ListParagraph"/>
        <w:numPr>
          <w:ilvl w:val="0"/>
          <w:numId w:val="6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eastAsiaTheme="minorEastAsia"/>
          <w:color w:val="000000" w:themeColor="text1"/>
          <w:szCs w:val="24"/>
        </w:rPr>
      </w:pPr>
      <w:r w:rsidRPr="008F73D6">
        <w:rPr>
          <w:rFonts w:eastAsiaTheme="minorEastAsia"/>
          <w:color w:val="000000" w:themeColor="text1"/>
          <w:szCs w:val="24"/>
        </w:rPr>
        <w:lastRenderedPageBreak/>
        <w:t xml:space="preserve">The Chair </w:t>
      </w:r>
      <w:r w:rsidR="004E7AD0">
        <w:rPr>
          <w:rFonts w:eastAsiaTheme="minorEastAsia"/>
          <w:color w:val="000000" w:themeColor="text1"/>
          <w:szCs w:val="24"/>
        </w:rPr>
        <w:t>noted that</w:t>
      </w:r>
      <w:r w:rsidRPr="008F73D6">
        <w:rPr>
          <w:rFonts w:eastAsiaTheme="minorEastAsia"/>
          <w:color w:val="000000" w:themeColor="text1"/>
          <w:szCs w:val="24"/>
        </w:rPr>
        <w:t xml:space="preserve"> the participation in the discussion both orally and in the chat, was high, lively, and engaging</w:t>
      </w:r>
      <w:r>
        <w:rPr>
          <w:rFonts w:eastAsiaTheme="minorEastAsia"/>
          <w:color w:val="000000" w:themeColor="text1"/>
          <w:szCs w:val="24"/>
        </w:rPr>
        <w:t xml:space="preserve">, which </w:t>
      </w:r>
      <w:r w:rsidRPr="008F73D6">
        <w:rPr>
          <w:rFonts w:eastAsiaTheme="minorEastAsia"/>
          <w:color w:val="000000" w:themeColor="text1"/>
          <w:szCs w:val="24"/>
        </w:rPr>
        <w:t>showed how important this CWG has become to membership to share their experiences in relation to child online protection.</w:t>
      </w:r>
    </w:p>
    <w:p w14:paraId="46B9A735" w14:textId="089403E5" w:rsidR="008F73D6" w:rsidRPr="008F73D6" w:rsidRDefault="008F73D6" w:rsidP="00AF1CB4">
      <w:pPr>
        <w:pStyle w:val="ListParagraph"/>
        <w:numPr>
          <w:ilvl w:val="0"/>
          <w:numId w:val="6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eastAsiaTheme="minorEastAsia"/>
          <w:color w:val="000000" w:themeColor="text1"/>
          <w:szCs w:val="24"/>
        </w:rPr>
      </w:pPr>
      <w:r w:rsidRPr="008F73D6">
        <w:rPr>
          <w:rFonts w:eastAsiaTheme="minorEastAsia"/>
          <w:color w:val="000000" w:themeColor="text1"/>
          <w:szCs w:val="24"/>
        </w:rPr>
        <w:t xml:space="preserve">The Chair added that each contribution added a unique perspective on the </w:t>
      </w:r>
      <w:r w:rsidR="00F9416D">
        <w:rPr>
          <w:rFonts w:eastAsiaTheme="minorEastAsia"/>
          <w:color w:val="000000" w:themeColor="text1"/>
          <w:szCs w:val="24"/>
        </w:rPr>
        <w:t xml:space="preserve">holistic </w:t>
      </w:r>
      <w:r w:rsidRPr="008F73D6">
        <w:rPr>
          <w:rFonts w:eastAsiaTheme="minorEastAsia"/>
          <w:color w:val="000000" w:themeColor="text1"/>
          <w:szCs w:val="24"/>
        </w:rPr>
        <w:t>approach of the COP initiative.</w:t>
      </w:r>
    </w:p>
    <w:p w14:paraId="5F277BD9" w14:textId="4D4E6EBE" w:rsidR="008F73D6" w:rsidRPr="00D46747" w:rsidRDefault="008F73D6" w:rsidP="00AF1CB4">
      <w:pPr>
        <w:pStyle w:val="ListParagraph"/>
        <w:numPr>
          <w:ilvl w:val="0"/>
          <w:numId w:val="6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eastAsiaTheme="minorEastAsia"/>
          <w:color w:val="000000" w:themeColor="text1"/>
          <w:szCs w:val="24"/>
        </w:rPr>
      </w:pPr>
      <w:r w:rsidRPr="008F73D6">
        <w:rPr>
          <w:rFonts w:eastAsiaTheme="minorEastAsia"/>
          <w:color w:val="000000" w:themeColor="text1"/>
          <w:szCs w:val="24"/>
        </w:rPr>
        <w:t>The Chair reminded all participants that this year was unique with three main ITU conferences providing a great opportunity to look back at a fruitful period since the last Plenipotentiary Conference allowing member states to emphasise important aspects of the relevant resolutions.</w:t>
      </w:r>
    </w:p>
    <w:p w14:paraId="27B334CE" w14:textId="77777777" w:rsidR="00000879" w:rsidRPr="00000879" w:rsidRDefault="00362C90" w:rsidP="00AF1CB4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ind w:left="0"/>
        <w:contextualSpacing w:val="0"/>
        <w:jc w:val="both"/>
        <w:rPr>
          <w:lang w:val="en-US"/>
        </w:rPr>
      </w:pPr>
      <w:r w:rsidRPr="00982509">
        <w:rPr>
          <w:b/>
          <w:bCs/>
          <w:lang w:val="en-US"/>
        </w:rPr>
        <w:t>Recommendations</w:t>
      </w:r>
    </w:p>
    <w:p w14:paraId="2A06F5C1" w14:textId="7B9F2AE7" w:rsidR="001513A0" w:rsidRPr="00982509" w:rsidRDefault="00330B4B" w:rsidP="00AF1CB4">
      <w:pPr>
        <w:pStyle w:val="ListParagraph"/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ind w:left="0" w:firstLine="0"/>
        <w:contextualSpacing w:val="0"/>
        <w:jc w:val="both"/>
        <w:rPr>
          <w:lang w:val="en-US"/>
        </w:rPr>
      </w:pPr>
      <w:r w:rsidRPr="00982509">
        <w:rPr>
          <w:lang w:val="en-US"/>
        </w:rPr>
        <w:t>The group recommend</w:t>
      </w:r>
      <w:r w:rsidR="008768BF">
        <w:rPr>
          <w:lang w:val="en-US"/>
        </w:rPr>
        <w:t>ed</w:t>
      </w:r>
      <w:r w:rsidRPr="00982509">
        <w:rPr>
          <w:lang w:val="en-US"/>
        </w:rPr>
        <w:t xml:space="preserve"> </w:t>
      </w:r>
      <w:r w:rsidR="00982509">
        <w:rPr>
          <w:lang w:val="en-US"/>
        </w:rPr>
        <w:t>to Council t</w:t>
      </w:r>
      <w:r w:rsidR="009C155F">
        <w:rPr>
          <w:lang w:val="en-US"/>
        </w:rPr>
        <w:t xml:space="preserve">hat </w:t>
      </w:r>
      <w:r w:rsidRPr="00982509">
        <w:rPr>
          <w:lang w:val="en-US"/>
        </w:rPr>
        <w:t>the CWG</w:t>
      </w:r>
      <w:r w:rsidR="003B5480">
        <w:rPr>
          <w:lang w:val="en-US"/>
        </w:rPr>
        <w:t>-</w:t>
      </w:r>
      <w:r w:rsidRPr="00982509">
        <w:rPr>
          <w:lang w:val="en-US"/>
        </w:rPr>
        <w:t>COP continue its work as a unique platform for information sharing, discussion</w:t>
      </w:r>
      <w:r w:rsidR="00AF1CB4">
        <w:rPr>
          <w:lang w:val="en-US"/>
        </w:rPr>
        <w:t>,</w:t>
      </w:r>
      <w:r w:rsidRPr="00982509">
        <w:rPr>
          <w:lang w:val="en-US"/>
        </w:rPr>
        <w:t xml:space="preserve"> and collaboration</w:t>
      </w:r>
      <w:r w:rsidR="004525C2">
        <w:rPr>
          <w:lang w:val="en-US"/>
        </w:rPr>
        <w:t xml:space="preserve"> as well as its key role in advising ITU on its work on Child Online Protection</w:t>
      </w:r>
      <w:r w:rsidRPr="00982509">
        <w:rPr>
          <w:lang w:val="en-US"/>
        </w:rPr>
        <w:t>. The group value</w:t>
      </w:r>
      <w:r w:rsidR="008768BF">
        <w:rPr>
          <w:lang w:val="en-US"/>
        </w:rPr>
        <w:t>d</w:t>
      </w:r>
      <w:r w:rsidRPr="00982509">
        <w:rPr>
          <w:lang w:val="en-US"/>
        </w:rPr>
        <w:t xml:space="preserve"> the quality of the meetings which help</w:t>
      </w:r>
      <w:r w:rsidR="008768BF">
        <w:rPr>
          <w:lang w:val="en-US"/>
        </w:rPr>
        <w:t>ed</w:t>
      </w:r>
      <w:r w:rsidRPr="00982509">
        <w:rPr>
          <w:lang w:val="en-US"/>
        </w:rPr>
        <w:t xml:space="preserve"> to identify and collect best practices and lessons learned, </w:t>
      </w:r>
      <w:r w:rsidR="007019C5" w:rsidRPr="00982509">
        <w:rPr>
          <w:lang w:val="en-US"/>
        </w:rPr>
        <w:t>engage,</w:t>
      </w:r>
      <w:r w:rsidRPr="00982509">
        <w:rPr>
          <w:lang w:val="en-US"/>
        </w:rPr>
        <w:t xml:space="preserve"> and cooperate with all relevant stakeholders in the field. </w:t>
      </w:r>
      <w:r w:rsidR="001513A0" w:rsidRPr="00982509">
        <w:rPr>
          <w:lang w:val="en-US"/>
        </w:rPr>
        <w:t xml:space="preserve">The increasingly active participation </w:t>
      </w:r>
      <w:r w:rsidR="009504B6" w:rsidRPr="00982509">
        <w:rPr>
          <w:lang w:val="en-US"/>
        </w:rPr>
        <w:t>in</w:t>
      </w:r>
      <w:r w:rsidR="001513A0" w:rsidRPr="00982509">
        <w:rPr>
          <w:lang w:val="en-US"/>
        </w:rPr>
        <w:t xml:space="preserve"> the meetings underline</w:t>
      </w:r>
      <w:r w:rsidR="008768BF">
        <w:rPr>
          <w:lang w:val="en-US"/>
        </w:rPr>
        <w:t>d</w:t>
      </w:r>
      <w:r w:rsidR="001513A0" w:rsidRPr="00982509">
        <w:rPr>
          <w:lang w:val="en-US"/>
        </w:rPr>
        <w:t xml:space="preserve"> the recommendation of the group for the CWG</w:t>
      </w:r>
      <w:r w:rsidR="003B5480">
        <w:rPr>
          <w:lang w:val="en-US"/>
        </w:rPr>
        <w:t>-</w:t>
      </w:r>
      <w:r w:rsidR="001513A0" w:rsidRPr="00982509">
        <w:rPr>
          <w:lang w:val="en-US"/>
        </w:rPr>
        <w:t xml:space="preserve">COP to persist. </w:t>
      </w:r>
    </w:p>
    <w:p w14:paraId="31378AEC" w14:textId="5EA7A220" w:rsidR="001513A0" w:rsidRDefault="00000879" w:rsidP="00AF1C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lang w:val="en-US"/>
        </w:rPr>
      </w:pPr>
      <w:r>
        <w:rPr>
          <w:lang w:val="en-US"/>
        </w:rPr>
        <w:t>3.2</w:t>
      </w:r>
      <w:r>
        <w:rPr>
          <w:lang w:val="en-US"/>
        </w:rPr>
        <w:tab/>
      </w:r>
      <w:r w:rsidR="008768BF">
        <w:rPr>
          <w:lang w:val="en-US"/>
        </w:rPr>
        <w:t>It was suggested that t</w:t>
      </w:r>
      <w:r w:rsidR="001513A0">
        <w:rPr>
          <w:lang w:val="en-US"/>
        </w:rPr>
        <w:t>he terms of reference of the CWG</w:t>
      </w:r>
      <w:r w:rsidR="003B5480">
        <w:rPr>
          <w:lang w:val="en-US"/>
        </w:rPr>
        <w:t>-</w:t>
      </w:r>
      <w:r w:rsidR="001513A0">
        <w:rPr>
          <w:lang w:val="en-US"/>
        </w:rPr>
        <w:t xml:space="preserve">COP </w:t>
      </w:r>
      <w:r w:rsidR="009C155F">
        <w:rPr>
          <w:lang w:val="en-US"/>
        </w:rPr>
        <w:t xml:space="preserve">could be amended </w:t>
      </w:r>
      <w:r w:rsidR="001513A0">
        <w:rPr>
          <w:lang w:val="en-US"/>
        </w:rPr>
        <w:t>to better reflect its nature, functionality</w:t>
      </w:r>
      <w:r w:rsidR="00AF1CB4">
        <w:rPr>
          <w:lang w:val="en-US"/>
        </w:rPr>
        <w:t>,</w:t>
      </w:r>
      <w:r w:rsidR="001513A0">
        <w:rPr>
          <w:lang w:val="en-US"/>
        </w:rPr>
        <w:t xml:space="preserve"> and goals</w:t>
      </w:r>
      <w:r w:rsidR="007019C5">
        <w:rPr>
          <w:lang w:val="en-US"/>
        </w:rPr>
        <w:t xml:space="preserve"> </w:t>
      </w:r>
      <w:r w:rsidR="008768BF">
        <w:rPr>
          <w:lang w:val="en-US"/>
        </w:rPr>
        <w:t>as a platform for information exchange, collection of best practices, coordination of efforts</w:t>
      </w:r>
      <w:r w:rsidR="00AF1CB4">
        <w:rPr>
          <w:lang w:val="en-US"/>
        </w:rPr>
        <w:t>,</w:t>
      </w:r>
      <w:r w:rsidR="008768BF">
        <w:rPr>
          <w:lang w:val="en-US"/>
        </w:rPr>
        <w:t xml:space="preserve"> and cooperation between stakeholders working on</w:t>
      </w:r>
      <w:r w:rsidR="007019C5">
        <w:rPr>
          <w:lang w:val="en-US"/>
        </w:rPr>
        <w:t xml:space="preserve"> child online protection</w:t>
      </w:r>
      <w:r w:rsidR="001513A0">
        <w:rPr>
          <w:lang w:val="en-US"/>
        </w:rPr>
        <w:t xml:space="preserve">. </w:t>
      </w:r>
    </w:p>
    <w:p w14:paraId="449B3158" w14:textId="635689F1" w:rsidR="006D7457" w:rsidRPr="001513A0" w:rsidRDefault="006D7457" w:rsidP="00AF1CB4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ind w:left="0"/>
        <w:contextualSpacing w:val="0"/>
        <w:jc w:val="both"/>
        <w:rPr>
          <w:b/>
          <w:bCs/>
          <w:lang w:val="en-US"/>
        </w:rPr>
      </w:pPr>
      <w:r w:rsidRPr="001513A0">
        <w:rPr>
          <w:b/>
          <w:bCs/>
        </w:rPr>
        <w:t>Acknowledgement</w:t>
      </w:r>
    </w:p>
    <w:p w14:paraId="7DA23629" w14:textId="7530728E" w:rsidR="006D7457" w:rsidRPr="006D7457" w:rsidRDefault="006D7457" w:rsidP="00AF1C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</w:pPr>
      <w:r>
        <w:t>I thank the ITU membership and all ITU COP partners who actively contributed to and participated in the work of CWG-COP, the Vice-Chairs, the ITU Elected Officials</w:t>
      </w:r>
      <w:r w:rsidR="00AF1CB4">
        <w:t>,</w:t>
      </w:r>
      <w:r>
        <w:t xml:space="preserve"> and the secretariat for their efficient assistance during the meetings. </w:t>
      </w:r>
    </w:p>
    <w:p w14:paraId="7809A502" w14:textId="36883438" w:rsidR="004A1B8B" w:rsidRDefault="00454972" w:rsidP="0045497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720"/>
        <w:jc w:val="center"/>
        <w:rPr>
          <w:lang w:val="en-US"/>
        </w:rPr>
      </w:pPr>
      <w:r>
        <w:rPr>
          <w:lang w:val="en-US"/>
        </w:rPr>
        <w:t>_______________</w:t>
      </w:r>
    </w:p>
    <w:sectPr w:rsidR="004A1B8B" w:rsidSect="004D1851">
      <w:headerReference w:type="default" r:id="rId24"/>
      <w:footerReference w:type="first" r:id="rId2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7CA33" w14:textId="77777777" w:rsidR="009B51B8" w:rsidRDefault="009B51B8">
      <w:r>
        <w:separator/>
      </w:r>
    </w:p>
  </w:endnote>
  <w:endnote w:type="continuationSeparator" w:id="0">
    <w:p w14:paraId="3E4EB37A" w14:textId="77777777" w:rsidR="009B51B8" w:rsidRDefault="009B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D4DA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8C12" w14:textId="77777777" w:rsidR="009B51B8" w:rsidRDefault="009B51B8">
      <w:r>
        <w:t>____________________</w:t>
      </w:r>
    </w:p>
  </w:footnote>
  <w:footnote w:type="continuationSeparator" w:id="0">
    <w:p w14:paraId="7556E3A0" w14:textId="77777777" w:rsidR="009B51B8" w:rsidRDefault="009B5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217C" w14:textId="527156AD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1D5C73">
      <w:rPr>
        <w:noProof/>
      </w:rPr>
      <w:t>3</w:t>
    </w:r>
    <w:r>
      <w:rPr>
        <w:noProof/>
      </w:rPr>
      <w:fldChar w:fldCharType="end"/>
    </w:r>
  </w:p>
  <w:p w14:paraId="4948958C" w14:textId="54B150BE" w:rsidR="00322D0D" w:rsidRPr="00623AE3" w:rsidRDefault="00623AE3" w:rsidP="00FB1279">
    <w:pPr>
      <w:pStyle w:val="Header"/>
      <w:rPr>
        <w:bCs/>
      </w:rPr>
    </w:pPr>
    <w:r w:rsidRPr="00623AE3">
      <w:rPr>
        <w:bCs/>
      </w:rPr>
      <w:t>C</w:t>
    </w:r>
    <w:r w:rsidR="004A1B8B">
      <w:rPr>
        <w:bCs/>
      </w:rPr>
      <w:t>2</w:t>
    </w:r>
    <w:r w:rsidR="0014634F">
      <w:rPr>
        <w:bCs/>
      </w:rPr>
      <w:t>2</w:t>
    </w:r>
    <w:r w:rsidRPr="00623AE3">
      <w:rPr>
        <w:bCs/>
      </w:rPr>
      <w:t>/</w:t>
    </w:r>
    <w:r w:rsidR="00985C95">
      <w:rPr>
        <w:bCs/>
      </w:rPr>
      <w:t>64</w:t>
    </w:r>
    <w:r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EE28A7"/>
    <w:multiLevelType w:val="hybridMultilevel"/>
    <w:tmpl w:val="02F850A8"/>
    <w:lvl w:ilvl="0" w:tplc="0EC87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D0997"/>
    <w:multiLevelType w:val="hybridMultilevel"/>
    <w:tmpl w:val="FFFFFFFF"/>
    <w:lvl w:ilvl="0" w:tplc="37E6B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16B6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F85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0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E8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CC5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09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61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B460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7025D"/>
    <w:multiLevelType w:val="hybridMultilevel"/>
    <w:tmpl w:val="FFFFFFFF"/>
    <w:lvl w:ilvl="0" w:tplc="B96E5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224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2EC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24B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E6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B03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EB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4B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92A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C5671"/>
    <w:multiLevelType w:val="hybridMultilevel"/>
    <w:tmpl w:val="CBFE5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77B82"/>
    <w:multiLevelType w:val="multilevel"/>
    <w:tmpl w:val="6360C106"/>
    <w:lvl w:ilvl="0">
      <w:start w:val="1"/>
      <w:numFmt w:val="upperRoman"/>
      <w:lvlText w:val="%1."/>
      <w:lvlJc w:val="left"/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7ABD7B2F"/>
    <w:multiLevelType w:val="hybridMultilevel"/>
    <w:tmpl w:val="D27C88EE"/>
    <w:lvl w:ilvl="0" w:tplc="970C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34F"/>
    <w:rsid w:val="00000879"/>
    <w:rsid w:val="000210D4"/>
    <w:rsid w:val="00063016"/>
    <w:rsid w:val="00066795"/>
    <w:rsid w:val="00076AF6"/>
    <w:rsid w:val="00085CF2"/>
    <w:rsid w:val="000B1705"/>
    <w:rsid w:val="000C259E"/>
    <w:rsid w:val="000D75B2"/>
    <w:rsid w:val="001121F5"/>
    <w:rsid w:val="001400DC"/>
    <w:rsid w:val="00140CE1"/>
    <w:rsid w:val="001428A4"/>
    <w:rsid w:val="0014634F"/>
    <w:rsid w:val="001513A0"/>
    <w:rsid w:val="0017539C"/>
    <w:rsid w:val="00175AC2"/>
    <w:rsid w:val="0017609F"/>
    <w:rsid w:val="001C628E"/>
    <w:rsid w:val="001D5C73"/>
    <w:rsid w:val="001E0F7B"/>
    <w:rsid w:val="002119FD"/>
    <w:rsid w:val="002130E0"/>
    <w:rsid w:val="00264425"/>
    <w:rsid w:val="00265875"/>
    <w:rsid w:val="0027303B"/>
    <w:rsid w:val="00280A99"/>
    <w:rsid w:val="0028109B"/>
    <w:rsid w:val="002A2188"/>
    <w:rsid w:val="002B1F58"/>
    <w:rsid w:val="002B456B"/>
    <w:rsid w:val="002C1C7A"/>
    <w:rsid w:val="0030160F"/>
    <w:rsid w:val="00303E07"/>
    <w:rsid w:val="00320223"/>
    <w:rsid w:val="00322D0D"/>
    <w:rsid w:val="00330B4B"/>
    <w:rsid w:val="00362C90"/>
    <w:rsid w:val="003942D4"/>
    <w:rsid w:val="003958A8"/>
    <w:rsid w:val="003A0074"/>
    <w:rsid w:val="003B10A4"/>
    <w:rsid w:val="003B5480"/>
    <w:rsid w:val="003C2533"/>
    <w:rsid w:val="0040435A"/>
    <w:rsid w:val="00414B67"/>
    <w:rsid w:val="00416A24"/>
    <w:rsid w:val="00431D9E"/>
    <w:rsid w:val="00433CE8"/>
    <w:rsid w:val="00434A5C"/>
    <w:rsid w:val="00444106"/>
    <w:rsid w:val="004525C2"/>
    <w:rsid w:val="004544D9"/>
    <w:rsid w:val="00454972"/>
    <w:rsid w:val="00490E72"/>
    <w:rsid w:val="00491157"/>
    <w:rsid w:val="004921C8"/>
    <w:rsid w:val="004A1B8B"/>
    <w:rsid w:val="004D1851"/>
    <w:rsid w:val="004D599D"/>
    <w:rsid w:val="004E2EA5"/>
    <w:rsid w:val="004E3AEB"/>
    <w:rsid w:val="004E7AD0"/>
    <w:rsid w:val="0050223C"/>
    <w:rsid w:val="00502C0B"/>
    <w:rsid w:val="005243FF"/>
    <w:rsid w:val="00564FBC"/>
    <w:rsid w:val="00582442"/>
    <w:rsid w:val="00590B92"/>
    <w:rsid w:val="00596A03"/>
    <w:rsid w:val="005B4F01"/>
    <w:rsid w:val="005F3269"/>
    <w:rsid w:val="00623AE3"/>
    <w:rsid w:val="0064737F"/>
    <w:rsid w:val="006535F1"/>
    <w:rsid w:val="0065557D"/>
    <w:rsid w:val="00655A5D"/>
    <w:rsid w:val="00662984"/>
    <w:rsid w:val="006716BB"/>
    <w:rsid w:val="006B6680"/>
    <w:rsid w:val="006B6DCC"/>
    <w:rsid w:val="006D7457"/>
    <w:rsid w:val="007019C5"/>
    <w:rsid w:val="00702DEF"/>
    <w:rsid w:val="007056A7"/>
    <w:rsid w:val="00706861"/>
    <w:rsid w:val="0075051B"/>
    <w:rsid w:val="00793188"/>
    <w:rsid w:val="00794D34"/>
    <w:rsid w:val="00813E5E"/>
    <w:rsid w:val="0083581B"/>
    <w:rsid w:val="008532FE"/>
    <w:rsid w:val="00864AFF"/>
    <w:rsid w:val="0086731D"/>
    <w:rsid w:val="008768BF"/>
    <w:rsid w:val="008B4A6A"/>
    <w:rsid w:val="008C7E27"/>
    <w:rsid w:val="008F3FB2"/>
    <w:rsid w:val="008F73D6"/>
    <w:rsid w:val="009173EF"/>
    <w:rsid w:val="00932906"/>
    <w:rsid w:val="009504B6"/>
    <w:rsid w:val="00954032"/>
    <w:rsid w:val="00961B0B"/>
    <w:rsid w:val="00982509"/>
    <w:rsid w:val="00985C95"/>
    <w:rsid w:val="009B38C3"/>
    <w:rsid w:val="009B51B8"/>
    <w:rsid w:val="009C155F"/>
    <w:rsid w:val="009E17BD"/>
    <w:rsid w:val="009E485A"/>
    <w:rsid w:val="00A04CEC"/>
    <w:rsid w:val="00A27F92"/>
    <w:rsid w:val="00A32257"/>
    <w:rsid w:val="00A36D20"/>
    <w:rsid w:val="00A55622"/>
    <w:rsid w:val="00A83502"/>
    <w:rsid w:val="00AB25C8"/>
    <w:rsid w:val="00AD15B3"/>
    <w:rsid w:val="00AF1CB4"/>
    <w:rsid w:val="00AF6E49"/>
    <w:rsid w:val="00B04A67"/>
    <w:rsid w:val="00B0583C"/>
    <w:rsid w:val="00B1153D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BE31C0"/>
    <w:rsid w:val="00BE59DF"/>
    <w:rsid w:val="00C01189"/>
    <w:rsid w:val="00C374DE"/>
    <w:rsid w:val="00C47AD4"/>
    <w:rsid w:val="00C52D81"/>
    <w:rsid w:val="00C55198"/>
    <w:rsid w:val="00CA58CD"/>
    <w:rsid w:val="00CA6393"/>
    <w:rsid w:val="00CB18FF"/>
    <w:rsid w:val="00CD0C08"/>
    <w:rsid w:val="00CE03FB"/>
    <w:rsid w:val="00CE433C"/>
    <w:rsid w:val="00CE7F65"/>
    <w:rsid w:val="00CF33F3"/>
    <w:rsid w:val="00D06183"/>
    <w:rsid w:val="00D20284"/>
    <w:rsid w:val="00D22C42"/>
    <w:rsid w:val="00D24014"/>
    <w:rsid w:val="00D46747"/>
    <w:rsid w:val="00D65041"/>
    <w:rsid w:val="00D91489"/>
    <w:rsid w:val="00DB384B"/>
    <w:rsid w:val="00E02273"/>
    <w:rsid w:val="00E10E80"/>
    <w:rsid w:val="00E124F0"/>
    <w:rsid w:val="00E1338A"/>
    <w:rsid w:val="00E3513C"/>
    <w:rsid w:val="00E60F04"/>
    <w:rsid w:val="00E854E4"/>
    <w:rsid w:val="00E940DC"/>
    <w:rsid w:val="00EB0D6F"/>
    <w:rsid w:val="00EB2232"/>
    <w:rsid w:val="00EC5337"/>
    <w:rsid w:val="00F10E42"/>
    <w:rsid w:val="00F2150A"/>
    <w:rsid w:val="00F231D8"/>
    <w:rsid w:val="00F31F1A"/>
    <w:rsid w:val="00F46C5F"/>
    <w:rsid w:val="00F9416D"/>
    <w:rsid w:val="00F94A63"/>
    <w:rsid w:val="00FA1C28"/>
    <w:rsid w:val="00FA449E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91EB6E"/>
  <w15:docId w15:val="{2D7282C5-D362-4336-BB5E-B699225B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D9148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403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D74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D745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D7457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D7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D7457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2B456B"/>
    <w:rPr>
      <w:rFonts w:ascii="Calibri" w:hAnsi="Calibr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1D5C7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D5C73"/>
    <w:rPr>
      <w:rFonts w:ascii="Segoe UI" w:hAnsi="Segoe UI" w:cs="Segoe UI"/>
      <w:sz w:val="18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55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council/cwg-cop/Pages/default.aspx" TargetMode="External"/><Relationship Id="rId18" Type="http://schemas.openxmlformats.org/officeDocument/2006/relationships/hyperlink" Target="https://www.itu.int/md/meetingdoc.asp?lang=en&amp;parent=S21-CLCWGCOP17-C&amp;source=Chair%2C%20CWG-COP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meetingdoc.asp?lang=en&amp;parent=S20-CLCWGCOP16-C&amp;source=Chair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Documents/basic-texts/DEC-011-E.pdf" TargetMode="External"/><Relationship Id="rId17" Type="http://schemas.openxmlformats.org/officeDocument/2006/relationships/hyperlink" Target="https://www.itu.int/md/meetingdoc.asp?lang=en&amp;parent=S20-CLCWGCOP16-C&amp;source=Chair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9-CLCWGCOP15-C-0003/en" TargetMode="External"/><Relationship Id="rId20" Type="http://schemas.openxmlformats.org/officeDocument/2006/relationships/hyperlink" Target="https://www.itu.int/md/S19-CLCWGCOP15-C-0003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council/Documents/basic-texts/RES-179-E.pdf" TargetMode="External"/><Relationship Id="rId23" Type="http://schemas.openxmlformats.org/officeDocument/2006/relationships/hyperlink" Target="https://www.itu.int/md/meetingdoc.asp?lang=en&amp;parent=S22-CLCWGCOP18-C&amp;source=Chair%2C%20CO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meetingdoc.asp?lang=en&amp;parent=S22-CLCWGCOP18-C&amp;source=Chair%2C%20CO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council/cwg-cop/Documents/Council-R-1306%20(3).pdf" TargetMode="External"/><Relationship Id="rId22" Type="http://schemas.openxmlformats.org/officeDocument/2006/relationships/hyperlink" Target="https://www.itu.int/md/meetingdoc.asp?lang=en&amp;parent=S21-CLCWGCOP17-C&amp;source=Chair%2C%20CWG-COP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af11f5-2ba6-4db2-9f85-fe00cbec1a23">
      <UserInfo>
        <DisplayName>Licciardello, Carla</DisplayName>
        <AccountId>13</AccountId>
        <AccountType/>
      </UserInfo>
      <UserInfo>
        <DisplayName>Rotino, Fanny</DisplayName>
        <AccountId>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0BCD90392CE4983D33C8AE8606CB9" ma:contentTypeVersion="11" ma:contentTypeDescription="Create a new document." ma:contentTypeScope="" ma:versionID="86d18aa95e2766c395ecad2e2ca90e28">
  <xsd:schema xmlns:xsd="http://www.w3.org/2001/XMLSchema" xmlns:xs="http://www.w3.org/2001/XMLSchema" xmlns:p="http://schemas.microsoft.com/office/2006/metadata/properties" xmlns:ns2="4c272582-4164-40b3-8c4b-3c1a04c8dc1b" xmlns:ns3="d5af11f5-2ba6-4db2-9f85-fe00cbec1a23" targetNamespace="http://schemas.microsoft.com/office/2006/metadata/properties" ma:root="true" ma:fieldsID="a3a231a69ea5aea90d2a3ce4f76a1bf3" ns2:_="" ns3:_="">
    <xsd:import namespace="4c272582-4164-40b3-8c4b-3c1a04c8dc1b"/>
    <xsd:import namespace="d5af11f5-2ba6-4db2-9f85-fe00cbec1a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2582-4164-40b3-8c4b-3c1a04c8d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f11f5-2ba6-4db2-9f85-fe00cbec1a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5425DA-5820-467B-9E42-5213A50425CF}">
  <ds:schemaRefs>
    <ds:schemaRef ds:uri="http://schemas.microsoft.com/office/2006/metadata/properties"/>
    <ds:schemaRef ds:uri="http://schemas.microsoft.com/office/infopath/2007/PartnerControls"/>
    <ds:schemaRef ds:uri="d5af11f5-2ba6-4db2-9f85-fe00cbec1a23"/>
  </ds:schemaRefs>
</ds:datastoreItem>
</file>

<file path=customXml/itemProps2.xml><?xml version="1.0" encoding="utf-8"?>
<ds:datastoreItem xmlns:ds="http://schemas.openxmlformats.org/officeDocument/2006/customXml" ds:itemID="{9056A8BC-9025-423F-B8D0-CDA1E0BE3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2582-4164-40b3-8c4b-3c1a04c8dc1b"/>
    <ds:schemaRef ds:uri="d5af11f5-2ba6-4db2-9f85-fe00cbec1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EE14BC-7BCE-4ED3-80FE-EDE33DD58A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5CC7FD-7F90-42F8-AC15-6A9F8DE8C9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2022</vt:lpstr>
    </vt:vector>
  </TitlesOfParts>
  <Manager>General Secretariat - Pool</Manager>
  <Company>International Telecommunication Union (ITU)</Company>
  <LinksUpToDate>false</LinksUpToDate>
  <CharactersWithSpaces>7214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2022</dc:title>
  <dc:subject>Council 2022</dc:subject>
  <dc:creator>Brouard, Ricarda</dc:creator>
  <cp:keywords>C2022, C22, Council-22</cp:keywords>
  <dc:description/>
  <cp:lastModifiedBy>Xue, Kun</cp:lastModifiedBy>
  <cp:revision>5</cp:revision>
  <cp:lastPrinted>2000-07-18T13:30:00Z</cp:lastPrinted>
  <dcterms:created xsi:type="dcterms:W3CDTF">2022-02-14T09:50:00Z</dcterms:created>
  <dcterms:modified xsi:type="dcterms:W3CDTF">2022-02-18T16:14:00Z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0x0101003A20BCD90392CE4983D33C8AE8606CB9</vt:lpwstr>
  </property>
</Properties>
</file>