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7300A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C7300A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7300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7300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C7300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C7300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C7300A">
              <w:rPr>
                <w:b/>
                <w:bCs/>
                <w:szCs w:val="22"/>
                <w:lang w:val="ru-RU"/>
              </w:rPr>
              <w:t>Женева</w:t>
            </w:r>
            <w:r w:rsidR="00225368" w:rsidRPr="00C7300A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C7300A">
              <w:rPr>
                <w:b/>
                <w:bCs/>
                <w:szCs w:val="22"/>
                <w:lang w:val="ru-RU"/>
              </w:rPr>
              <w:t>21</w:t>
            </w:r>
            <w:r w:rsidR="005B3DEC" w:rsidRPr="00C7300A">
              <w:rPr>
                <w:b/>
                <w:bCs/>
                <w:szCs w:val="22"/>
                <w:lang w:val="ru-RU"/>
              </w:rPr>
              <w:t>–</w:t>
            </w:r>
            <w:r w:rsidR="00005BE0" w:rsidRPr="00C7300A">
              <w:rPr>
                <w:b/>
                <w:bCs/>
                <w:szCs w:val="22"/>
                <w:lang w:val="ru-RU"/>
              </w:rPr>
              <w:t>31</w:t>
            </w:r>
            <w:r w:rsidR="00005BE0" w:rsidRPr="00C7300A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C7300A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C7300A">
              <w:rPr>
                <w:b/>
                <w:bCs/>
                <w:szCs w:val="22"/>
                <w:lang w:val="ru-RU"/>
              </w:rPr>
              <w:t>20</w:t>
            </w:r>
            <w:r w:rsidR="00442515" w:rsidRPr="00C7300A">
              <w:rPr>
                <w:b/>
                <w:bCs/>
                <w:szCs w:val="22"/>
                <w:lang w:val="ru-RU"/>
              </w:rPr>
              <w:t>2</w:t>
            </w:r>
            <w:r w:rsidR="00005BE0" w:rsidRPr="00C7300A">
              <w:rPr>
                <w:b/>
                <w:bCs/>
                <w:szCs w:val="22"/>
                <w:lang w:val="ru-RU"/>
              </w:rPr>
              <w:t>2</w:t>
            </w:r>
            <w:r w:rsidR="00225368" w:rsidRPr="00C7300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C7300A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7300A">
              <w:rPr>
                <w:noProof/>
                <w:lang w:val="ru-RU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7300A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C7300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C7300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7300A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C7300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C7300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7300A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72CECCCA" w:rsidR="00BC7BC0" w:rsidRPr="00C7300A" w:rsidRDefault="00BC7BC0" w:rsidP="0023461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7300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7300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3461E" w:rsidRPr="00C7300A">
              <w:rPr>
                <w:b/>
                <w:bCs/>
                <w:caps/>
                <w:szCs w:val="22"/>
                <w:lang w:val="ru-RU"/>
              </w:rPr>
              <w:t>ADM 2</w:t>
            </w:r>
            <w:r w:rsidR="001B5132" w:rsidRPr="00C7300A">
              <w:rPr>
                <w:b/>
                <w:bCs/>
                <w:caps/>
                <w:szCs w:val="22"/>
                <w:lang w:val="ru-RU"/>
              </w:rPr>
              <w:t>8</w:t>
            </w:r>
          </w:p>
        </w:tc>
        <w:tc>
          <w:tcPr>
            <w:tcW w:w="3120" w:type="dxa"/>
          </w:tcPr>
          <w:p w14:paraId="088F64AC" w14:textId="67A00DE6" w:rsidR="00BC7BC0" w:rsidRPr="00C7300A" w:rsidRDefault="00BC7BC0" w:rsidP="0023461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7300A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7300A">
              <w:rPr>
                <w:b/>
                <w:bCs/>
                <w:szCs w:val="22"/>
                <w:lang w:val="ru-RU"/>
              </w:rPr>
              <w:t>2</w:t>
            </w:r>
            <w:r w:rsidR="00005BE0" w:rsidRPr="00C7300A">
              <w:rPr>
                <w:b/>
                <w:bCs/>
                <w:szCs w:val="22"/>
                <w:lang w:val="ru-RU"/>
              </w:rPr>
              <w:t>2</w:t>
            </w:r>
            <w:r w:rsidRPr="00C7300A">
              <w:rPr>
                <w:b/>
                <w:bCs/>
                <w:szCs w:val="22"/>
                <w:lang w:val="ru-RU"/>
              </w:rPr>
              <w:t>/</w:t>
            </w:r>
            <w:r w:rsidR="00FF178D" w:rsidRPr="00C7300A">
              <w:rPr>
                <w:b/>
                <w:bCs/>
                <w:szCs w:val="22"/>
                <w:lang w:val="ru-RU"/>
              </w:rPr>
              <w:t>63</w:t>
            </w:r>
            <w:r w:rsidRPr="00C7300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7300A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C7300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3BF000BE" w:rsidR="00BC7BC0" w:rsidRPr="00C7300A" w:rsidRDefault="00AB4855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7300A">
              <w:rPr>
                <w:b/>
                <w:bCs/>
                <w:szCs w:val="22"/>
                <w:lang w:val="ru-RU"/>
              </w:rPr>
              <w:t>18 февраля 2022 года</w:t>
            </w:r>
          </w:p>
        </w:tc>
      </w:tr>
      <w:tr w:rsidR="00BC7BC0" w:rsidRPr="00C7300A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C7300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C7300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7300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7300A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77777777" w:rsidR="00BC7BC0" w:rsidRPr="00C7300A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7300A">
              <w:rPr>
                <w:lang w:val="ru-RU"/>
              </w:rPr>
              <w:t>Отчет Генерального секретаря</w:t>
            </w:r>
          </w:p>
        </w:tc>
      </w:tr>
      <w:tr w:rsidR="00BC7BC0" w:rsidRPr="00C7300A" w14:paraId="15554A34" w14:textId="77777777">
        <w:trPr>
          <w:cantSplit/>
        </w:trPr>
        <w:tc>
          <w:tcPr>
            <w:tcW w:w="10031" w:type="dxa"/>
            <w:gridSpan w:val="2"/>
          </w:tcPr>
          <w:p w14:paraId="4545798F" w14:textId="0A15BB39" w:rsidR="00BC7BC0" w:rsidRPr="00C7300A" w:rsidRDefault="001B5132" w:rsidP="001B5132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7300A">
              <w:rPr>
                <w:lang w:val="ru-RU"/>
              </w:rPr>
              <w:t>Проект Финансового плана Союза на 2024−2027 годы</w:t>
            </w:r>
          </w:p>
        </w:tc>
      </w:tr>
      <w:bookmarkEnd w:id="2"/>
    </w:tbl>
    <w:p w14:paraId="040C6BE9" w14:textId="77777777" w:rsidR="002D2F57" w:rsidRPr="00C7300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138CC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C7300A" w:rsidRDefault="002D2F57">
            <w:pPr>
              <w:pStyle w:val="Headingb"/>
              <w:rPr>
                <w:szCs w:val="22"/>
                <w:lang w:val="ru-RU"/>
              </w:rPr>
            </w:pPr>
            <w:r w:rsidRPr="00C7300A">
              <w:rPr>
                <w:szCs w:val="22"/>
                <w:lang w:val="ru-RU"/>
              </w:rPr>
              <w:t>Резюме</w:t>
            </w:r>
          </w:p>
          <w:p w14:paraId="23B17FCC" w14:textId="525ECBA1" w:rsidR="00CE4F9F" w:rsidRPr="00C7300A" w:rsidRDefault="001E0BD0" w:rsidP="00CE4F9F">
            <w:pPr>
              <w:rPr>
                <w:szCs w:val="22"/>
                <w:lang w:val="ru-RU"/>
              </w:rPr>
            </w:pPr>
            <w:r w:rsidRPr="00C7300A">
              <w:rPr>
                <w:lang w:val="ru-RU"/>
              </w:rPr>
              <w:t>В настоящем документе представлен проект финансового плана Союза на </w:t>
            </w:r>
            <w:r w:rsidR="001B5132" w:rsidRPr="00C7300A">
              <w:rPr>
                <w:lang w:val="ru-RU"/>
              </w:rPr>
              <w:t>2024−2027</w:t>
            </w:r>
            <w:r w:rsidRPr="00C7300A">
              <w:rPr>
                <w:lang w:val="ru-RU"/>
              </w:rPr>
              <w:t> годы</w:t>
            </w:r>
            <w:r w:rsidR="001B5132" w:rsidRPr="00C7300A">
              <w:rPr>
                <w:lang w:val="ru-RU"/>
              </w:rPr>
              <w:t xml:space="preserve">. </w:t>
            </w:r>
            <w:r w:rsidRPr="00C7300A">
              <w:rPr>
                <w:lang w:val="ru-RU"/>
              </w:rPr>
              <w:t xml:space="preserve">В документе также проведен </w:t>
            </w:r>
            <w:r w:rsidR="00305D8B" w:rsidRPr="00C7300A">
              <w:rPr>
                <w:lang w:val="ru-RU"/>
              </w:rPr>
              <w:t xml:space="preserve">предварительный </w:t>
            </w:r>
            <w:r w:rsidRPr="00C7300A">
              <w:rPr>
                <w:lang w:val="ru-RU"/>
              </w:rPr>
              <w:t xml:space="preserve">анализ </w:t>
            </w:r>
            <w:r w:rsidR="00305D8B" w:rsidRPr="00C7300A">
              <w:rPr>
                <w:lang w:val="ru-RU"/>
              </w:rPr>
              <w:t>расхождений по сравнению</w:t>
            </w:r>
            <w:r w:rsidRPr="00C7300A">
              <w:rPr>
                <w:lang w:val="ru-RU"/>
              </w:rPr>
              <w:t xml:space="preserve"> с финансовым планом на</w:t>
            </w:r>
            <w:r w:rsidR="00305D8B" w:rsidRPr="00C7300A">
              <w:rPr>
                <w:lang w:val="ru-RU"/>
              </w:rPr>
              <w:t xml:space="preserve"> 2020–2023 годы</w:t>
            </w:r>
            <w:r w:rsidRPr="00C7300A">
              <w:rPr>
                <w:lang w:val="ru-RU"/>
              </w:rPr>
              <w:t xml:space="preserve"> </w:t>
            </w:r>
            <w:r w:rsidR="00305D8B" w:rsidRPr="00C7300A">
              <w:rPr>
                <w:lang w:val="ru-RU"/>
              </w:rPr>
              <w:t xml:space="preserve">и бюджетами на </w:t>
            </w:r>
            <w:r w:rsidR="001B5132" w:rsidRPr="00C7300A">
              <w:rPr>
                <w:lang w:val="ru-RU"/>
              </w:rPr>
              <w:t>2020−2021</w:t>
            </w:r>
            <w:r w:rsidRPr="00C7300A">
              <w:rPr>
                <w:lang w:val="ru-RU"/>
              </w:rPr>
              <w:t xml:space="preserve"> годы </w:t>
            </w:r>
            <w:r w:rsidR="001759FB" w:rsidRPr="00C7300A">
              <w:rPr>
                <w:lang w:val="ru-RU"/>
              </w:rPr>
              <w:t xml:space="preserve">и </w:t>
            </w:r>
            <w:r w:rsidR="001B5132" w:rsidRPr="00C7300A">
              <w:rPr>
                <w:lang w:val="ru-RU"/>
              </w:rPr>
              <w:t>2022−2023</w:t>
            </w:r>
            <w:r w:rsidRPr="00C7300A">
              <w:rPr>
                <w:lang w:val="ru-RU"/>
              </w:rPr>
              <w:t> годы</w:t>
            </w:r>
            <w:r w:rsidR="001B5132" w:rsidRPr="00C7300A">
              <w:rPr>
                <w:lang w:val="ru-RU"/>
              </w:rPr>
              <w:t xml:space="preserve">. </w:t>
            </w:r>
            <w:r w:rsidRPr="00C7300A">
              <w:rPr>
                <w:lang w:val="ru-RU"/>
              </w:rPr>
              <w:t xml:space="preserve">Настоящий проект финансового плана на </w:t>
            </w:r>
            <w:r w:rsidR="001B5132" w:rsidRPr="00C7300A">
              <w:rPr>
                <w:lang w:val="ru-RU"/>
              </w:rPr>
              <w:t>2024−2027</w:t>
            </w:r>
            <w:r w:rsidRPr="00C7300A">
              <w:rPr>
                <w:lang w:val="ru-RU"/>
              </w:rPr>
              <w:t> годы сбалансирован</w:t>
            </w:r>
            <w:r w:rsidR="001B5132" w:rsidRPr="00C7300A">
              <w:rPr>
                <w:lang w:val="ru-RU"/>
              </w:rPr>
              <w:t xml:space="preserve"> (</w:t>
            </w:r>
            <w:r w:rsidRPr="00C7300A">
              <w:rPr>
                <w:lang w:val="ru-RU"/>
              </w:rPr>
              <w:t>доходы</w:t>
            </w:r>
            <w:r w:rsidR="001B5132" w:rsidRPr="00C7300A">
              <w:rPr>
                <w:lang w:val="ru-RU"/>
              </w:rPr>
              <w:t xml:space="preserve"> </w:t>
            </w:r>
            <w:r w:rsidRPr="00C7300A">
              <w:rPr>
                <w:lang w:val="ru-RU"/>
              </w:rPr>
              <w:t>равны</w:t>
            </w:r>
            <w:r w:rsidR="001B5132" w:rsidRPr="00C7300A">
              <w:rPr>
                <w:lang w:val="ru-RU"/>
              </w:rPr>
              <w:t xml:space="preserve"> </w:t>
            </w:r>
            <w:r w:rsidRPr="00C7300A">
              <w:rPr>
                <w:lang w:val="ru-RU"/>
              </w:rPr>
              <w:t>расходам</w:t>
            </w:r>
            <w:r w:rsidR="001B5132" w:rsidRPr="00C7300A">
              <w:rPr>
                <w:lang w:val="ru-RU"/>
              </w:rPr>
              <w:t xml:space="preserve">) </w:t>
            </w:r>
            <w:r w:rsidRPr="00C7300A">
              <w:rPr>
                <w:lang w:val="ru-RU"/>
              </w:rPr>
              <w:t xml:space="preserve">и его объем составляет </w:t>
            </w:r>
            <w:r w:rsidR="001B5132" w:rsidRPr="00C7300A">
              <w:rPr>
                <w:lang w:val="ru-RU"/>
              </w:rPr>
              <w:t>639,85 млн. швейцарских франков.</w:t>
            </w:r>
          </w:p>
          <w:p w14:paraId="6716CCBC" w14:textId="77777777" w:rsidR="002D2F57" w:rsidRPr="00C7300A" w:rsidRDefault="002D2F57" w:rsidP="00E55121">
            <w:pPr>
              <w:pStyle w:val="Headingb"/>
              <w:rPr>
                <w:lang w:val="ru-RU"/>
              </w:rPr>
            </w:pPr>
            <w:r w:rsidRPr="00C7300A">
              <w:rPr>
                <w:lang w:val="ru-RU"/>
              </w:rPr>
              <w:t xml:space="preserve">Необходимые </w:t>
            </w:r>
            <w:r w:rsidR="00F5225B" w:rsidRPr="00C7300A">
              <w:rPr>
                <w:lang w:val="ru-RU"/>
              </w:rPr>
              <w:t>действия</w:t>
            </w:r>
          </w:p>
          <w:p w14:paraId="70B93C22" w14:textId="5963DA83" w:rsidR="002D2F57" w:rsidRPr="00C7300A" w:rsidRDefault="001759FB">
            <w:pPr>
              <w:rPr>
                <w:szCs w:val="22"/>
                <w:lang w:val="ru-RU"/>
              </w:rPr>
            </w:pPr>
            <w:r w:rsidRPr="00C7300A">
              <w:rPr>
                <w:szCs w:val="22"/>
                <w:lang w:val="ru-RU"/>
              </w:rPr>
              <w:t>Совету предлагается рассмотреть проект финансового плана</w:t>
            </w:r>
            <w:r w:rsidR="001B5132" w:rsidRPr="00C7300A">
              <w:rPr>
                <w:szCs w:val="22"/>
                <w:lang w:val="ru-RU"/>
              </w:rPr>
              <w:t xml:space="preserve"> на 2024−2027</w:t>
            </w:r>
            <w:r w:rsidRPr="00C7300A">
              <w:rPr>
                <w:szCs w:val="22"/>
                <w:lang w:val="ru-RU"/>
              </w:rPr>
              <w:t> </w:t>
            </w:r>
            <w:r w:rsidR="001B5132" w:rsidRPr="00C7300A">
              <w:rPr>
                <w:szCs w:val="22"/>
                <w:lang w:val="ru-RU"/>
              </w:rPr>
              <w:t xml:space="preserve">годы </w:t>
            </w:r>
            <w:r w:rsidRPr="00C7300A">
              <w:rPr>
                <w:szCs w:val="22"/>
                <w:lang w:val="ru-RU"/>
              </w:rPr>
              <w:t>и дать рекомендацию и указание для последующей передачи этого проекта Полномочной конференции</w:t>
            </w:r>
            <w:r w:rsidR="001B5132" w:rsidRPr="00C7300A">
              <w:rPr>
                <w:szCs w:val="22"/>
                <w:lang w:val="ru-RU"/>
              </w:rPr>
              <w:t xml:space="preserve"> 2022 </w:t>
            </w:r>
            <w:r w:rsidRPr="00C7300A">
              <w:rPr>
                <w:szCs w:val="22"/>
                <w:lang w:val="ru-RU"/>
              </w:rPr>
              <w:t>года</w:t>
            </w:r>
            <w:r w:rsidR="001B5132" w:rsidRPr="00C7300A">
              <w:rPr>
                <w:szCs w:val="22"/>
                <w:lang w:val="ru-RU"/>
              </w:rPr>
              <w:t>.</w:t>
            </w:r>
          </w:p>
          <w:p w14:paraId="25F2B97E" w14:textId="77777777" w:rsidR="002D2F57" w:rsidRPr="00C7300A" w:rsidRDefault="002D2F57">
            <w:pPr>
              <w:pStyle w:val="Headingb"/>
              <w:rPr>
                <w:szCs w:val="22"/>
                <w:lang w:val="ru-RU"/>
              </w:rPr>
            </w:pPr>
            <w:r w:rsidRPr="00C7300A">
              <w:rPr>
                <w:szCs w:val="22"/>
                <w:lang w:val="ru-RU"/>
              </w:rPr>
              <w:t>Справочные материалы</w:t>
            </w:r>
          </w:p>
          <w:p w14:paraId="6BC2D483" w14:textId="0C084820" w:rsidR="002D2F57" w:rsidRPr="00C7300A" w:rsidRDefault="003138CC" w:rsidP="007B0FC2">
            <w:pPr>
              <w:spacing w:after="60"/>
              <w:rPr>
                <w:lang w:val="ru-RU"/>
              </w:rPr>
            </w:pPr>
            <w:hyperlink r:id="rId8" w:history="1">
              <w:r w:rsidR="00064579" w:rsidRPr="00C7300A">
                <w:rPr>
                  <w:rStyle w:val="Hyperlink"/>
                  <w:i/>
                  <w:iCs/>
                  <w:lang w:val="ru-RU"/>
                </w:rPr>
                <w:t>Решение 5 (</w:t>
              </w:r>
              <w:proofErr w:type="spellStart"/>
              <w:r w:rsidR="00064579" w:rsidRPr="00C7300A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064579" w:rsidRPr="00C7300A">
                <w:rPr>
                  <w:rStyle w:val="Hyperlink"/>
                  <w:i/>
                  <w:iCs/>
                  <w:lang w:val="ru-RU"/>
                </w:rPr>
                <w:t>. Дубай, 2018 г.)</w:t>
              </w:r>
            </w:hyperlink>
            <w:r w:rsidR="006C6E8F" w:rsidRPr="003138CC">
              <w:rPr>
                <w:lang w:val="ru-RU"/>
              </w:rPr>
              <w:t xml:space="preserve">, </w:t>
            </w:r>
            <w:hyperlink r:id="rId9" w:history="1">
              <w:r w:rsidR="00000AF4" w:rsidRPr="007A646E">
                <w:rPr>
                  <w:rStyle w:val="Hyperlink"/>
                  <w:rFonts w:asciiTheme="minorHAnsi" w:hAnsiTheme="minorHAnsi" w:cstheme="minorHAnsi"/>
                  <w:i/>
                  <w:iCs/>
                  <w:szCs w:val="28"/>
                  <w:lang w:val="ru-RU"/>
                </w:rPr>
                <w:t>Положение 51 Статьи 8 Устава</w:t>
              </w:r>
            </w:hyperlink>
          </w:p>
        </w:tc>
      </w:tr>
    </w:tbl>
    <w:p w14:paraId="7BE7E012" w14:textId="77777777" w:rsidR="00CE4F9F" w:rsidRPr="00C7300A" w:rsidRDefault="00CE4F9F" w:rsidP="00CE4F9F">
      <w:pPr>
        <w:rPr>
          <w:sz w:val="26"/>
          <w:lang w:val="ru-RU"/>
        </w:rPr>
      </w:pPr>
      <w:bookmarkStart w:id="3" w:name="lt_pId007"/>
      <w:r w:rsidRPr="00C7300A">
        <w:rPr>
          <w:lang w:val="ru-RU"/>
        </w:rPr>
        <w:br w:type="page"/>
      </w:r>
    </w:p>
    <w:p w14:paraId="6BE677D2" w14:textId="77777777" w:rsidR="00B72D88" w:rsidRPr="00C7300A" w:rsidRDefault="00B72D88" w:rsidP="00B72D88">
      <w:pPr>
        <w:pStyle w:val="Heading1"/>
        <w:rPr>
          <w:lang w:val="ru-RU"/>
        </w:rPr>
      </w:pPr>
      <w:r w:rsidRPr="00C7300A">
        <w:rPr>
          <w:lang w:val="ru-RU"/>
        </w:rPr>
        <w:lastRenderedPageBreak/>
        <w:t>1</w:t>
      </w:r>
      <w:r w:rsidRPr="00C7300A">
        <w:rPr>
          <w:lang w:val="ru-RU"/>
        </w:rPr>
        <w:tab/>
        <w:t>Введение</w:t>
      </w:r>
    </w:p>
    <w:p w14:paraId="038FB2E5" w14:textId="7C059C8E" w:rsidR="00B72D88" w:rsidRPr="00C7300A" w:rsidRDefault="00B72D88" w:rsidP="00B72D88">
      <w:pPr>
        <w:rPr>
          <w:rFonts w:eastAsia="SimSun" w:cs="Calibri"/>
          <w:bCs/>
          <w:szCs w:val="24"/>
          <w:lang w:val="ru-RU" w:eastAsia="zh-CN"/>
        </w:rPr>
      </w:pPr>
      <w:r w:rsidRPr="00C7300A">
        <w:rPr>
          <w:rFonts w:eastAsia="SimSun" w:cs="Calibri"/>
          <w:szCs w:val="24"/>
          <w:lang w:val="ru-RU" w:eastAsia="zh-CN"/>
        </w:rPr>
        <w:t>1.1</w:t>
      </w:r>
      <w:r w:rsidRPr="00C7300A">
        <w:rPr>
          <w:rFonts w:eastAsia="SimSun" w:cs="Calibri"/>
          <w:szCs w:val="24"/>
          <w:lang w:val="ru-RU" w:eastAsia="zh-CN"/>
        </w:rPr>
        <w:tab/>
      </w:r>
      <w:r w:rsidRPr="00C7300A">
        <w:rPr>
          <w:lang w:val="ru-RU"/>
        </w:rPr>
        <w:t xml:space="preserve">Цель проекта </w:t>
      </w:r>
      <w:r w:rsidR="00E1739C" w:rsidRPr="00C7300A">
        <w:rPr>
          <w:lang w:val="ru-RU"/>
        </w:rPr>
        <w:t>ф</w:t>
      </w:r>
      <w:r w:rsidRPr="00C7300A">
        <w:rPr>
          <w:lang w:val="ru-RU"/>
        </w:rPr>
        <w:t>инансового плана на 2024−2027</w:t>
      </w:r>
      <w:r w:rsidR="001759FB" w:rsidRPr="00C7300A">
        <w:rPr>
          <w:lang w:val="ru-RU"/>
        </w:rPr>
        <w:t> </w:t>
      </w:r>
      <w:r w:rsidRPr="00C7300A">
        <w:rPr>
          <w:lang w:val="ru-RU"/>
        </w:rPr>
        <w:t>годы</w:t>
      </w:r>
      <w:r w:rsidR="00630309" w:rsidRPr="00C7300A">
        <w:rPr>
          <w:lang w:val="ru-RU"/>
        </w:rPr>
        <w:t> –</w:t>
      </w:r>
      <w:r w:rsidRPr="00C7300A">
        <w:rPr>
          <w:lang w:val="ru-RU"/>
        </w:rPr>
        <w:t xml:space="preserve"> представить Полномочной конференции 20</w:t>
      </w:r>
      <w:r w:rsidR="001759FB" w:rsidRPr="00C7300A">
        <w:rPr>
          <w:lang w:val="ru-RU"/>
        </w:rPr>
        <w:t>22 </w:t>
      </w:r>
      <w:r w:rsidRPr="00C7300A">
        <w:rPr>
          <w:lang w:val="ru-RU"/>
        </w:rPr>
        <w:t xml:space="preserve">года инструмент для создания основы бюджета Союза и установления соответствующих финансовых пределов на период до следующей Полномочной конференции после рассмотрения всех соответствующих аспектов работы Союза в течение этого периода (п. 51 Статьи 8 Устава). </w:t>
      </w:r>
    </w:p>
    <w:p w14:paraId="3ACEBB8E" w14:textId="07B7C0C0" w:rsidR="00B72D88" w:rsidRPr="00C7300A" w:rsidRDefault="00B72D88" w:rsidP="00B72D88">
      <w:pPr>
        <w:rPr>
          <w:rFonts w:eastAsia="SimSun" w:cs="Calibri"/>
          <w:bCs/>
          <w:szCs w:val="24"/>
          <w:lang w:val="ru-RU" w:eastAsia="zh-CN"/>
        </w:rPr>
      </w:pPr>
      <w:r w:rsidRPr="00C7300A">
        <w:rPr>
          <w:rFonts w:eastAsia="SimSun" w:cs="Calibri"/>
          <w:bCs/>
          <w:szCs w:val="24"/>
          <w:lang w:val="ru-RU" w:eastAsia="zh-CN"/>
        </w:rPr>
        <w:t>1.2</w:t>
      </w:r>
      <w:r w:rsidRPr="00C7300A">
        <w:rPr>
          <w:rFonts w:eastAsia="SimSun" w:cs="Calibri"/>
          <w:bCs/>
          <w:szCs w:val="24"/>
          <w:lang w:val="ru-RU" w:eastAsia="zh-CN"/>
        </w:rPr>
        <w:tab/>
      </w:r>
      <w:r w:rsidR="00E1739C" w:rsidRPr="00C7300A">
        <w:rPr>
          <w:lang w:val="ru-RU"/>
        </w:rPr>
        <w:t>Основная</w:t>
      </w:r>
      <w:r w:rsidRPr="00C7300A">
        <w:rPr>
          <w:lang w:val="ru-RU"/>
        </w:rPr>
        <w:t xml:space="preserve"> задача проекта </w:t>
      </w:r>
      <w:r w:rsidR="00E1739C" w:rsidRPr="00C7300A">
        <w:rPr>
          <w:lang w:val="ru-RU"/>
        </w:rPr>
        <w:t>ф</w:t>
      </w:r>
      <w:r w:rsidRPr="00C7300A">
        <w:rPr>
          <w:lang w:val="ru-RU"/>
        </w:rPr>
        <w:t xml:space="preserve">инансового плана состоит в том, чтобы </w:t>
      </w:r>
      <w:r w:rsidR="00210AEF" w:rsidRPr="00C7300A">
        <w:rPr>
          <w:lang w:val="ru-RU"/>
        </w:rPr>
        <w:t xml:space="preserve">по завершении Полномочной конференции </w:t>
      </w:r>
      <w:r w:rsidR="00E1739C" w:rsidRPr="00C7300A">
        <w:rPr>
          <w:lang w:val="ru-RU"/>
        </w:rPr>
        <w:t>Государств</w:t>
      </w:r>
      <w:r w:rsidR="00210AEF" w:rsidRPr="00C7300A">
        <w:rPr>
          <w:lang w:val="ru-RU"/>
        </w:rPr>
        <w:t>а</w:t>
      </w:r>
      <w:r w:rsidR="00E1739C" w:rsidRPr="00C7300A">
        <w:rPr>
          <w:lang w:val="ru-RU"/>
        </w:rPr>
        <w:t>-Член</w:t>
      </w:r>
      <w:r w:rsidR="00210AEF" w:rsidRPr="00C7300A">
        <w:rPr>
          <w:lang w:val="ru-RU"/>
        </w:rPr>
        <w:t>ы</w:t>
      </w:r>
      <w:r w:rsidR="00E1739C" w:rsidRPr="00C7300A">
        <w:rPr>
          <w:lang w:val="ru-RU"/>
        </w:rPr>
        <w:t xml:space="preserve"> </w:t>
      </w:r>
      <w:r w:rsidR="00210AEF" w:rsidRPr="00C7300A">
        <w:rPr>
          <w:lang w:val="ru-RU"/>
        </w:rPr>
        <w:t>знали</w:t>
      </w:r>
      <w:r w:rsidRPr="00C7300A">
        <w:rPr>
          <w:lang w:val="ru-RU"/>
        </w:rPr>
        <w:t xml:space="preserve"> рамки своих финансовых обязательств перед Союзом на период 2024−2027</w:t>
      </w:r>
      <w:r w:rsidR="00E1739C" w:rsidRPr="00C7300A">
        <w:rPr>
          <w:lang w:val="ru-RU"/>
        </w:rPr>
        <w:t> </w:t>
      </w:r>
      <w:r w:rsidRPr="00C7300A">
        <w:rPr>
          <w:lang w:val="ru-RU"/>
        </w:rPr>
        <w:t>годов</w:t>
      </w:r>
      <w:r w:rsidR="00210AEF" w:rsidRPr="00C7300A">
        <w:rPr>
          <w:lang w:val="ru-RU"/>
        </w:rPr>
        <w:t>, исходя из</w:t>
      </w:r>
      <w:r w:rsidRPr="00C7300A">
        <w:rPr>
          <w:lang w:val="ru-RU"/>
        </w:rPr>
        <w:t xml:space="preserve"> утвержденного размера единицы взносов. </w:t>
      </w:r>
    </w:p>
    <w:p w14:paraId="27FE118D" w14:textId="6BA65AC8" w:rsidR="00B72D88" w:rsidRPr="00C7300A" w:rsidRDefault="00B72D88" w:rsidP="00B72D88">
      <w:pPr>
        <w:rPr>
          <w:rFonts w:eastAsia="SimSun" w:cs="Calibri"/>
          <w:bCs/>
          <w:szCs w:val="24"/>
          <w:lang w:val="ru-RU" w:eastAsia="zh-CN"/>
        </w:rPr>
      </w:pPr>
      <w:r w:rsidRPr="00C7300A">
        <w:rPr>
          <w:rFonts w:eastAsia="SimSun" w:cs="Calibri"/>
          <w:bCs/>
          <w:szCs w:val="24"/>
          <w:lang w:val="ru-RU" w:eastAsia="zh-CN"/>
        </w:rPr>
        <w:t>1.3</w:t>
      </w:r>
      <w:r w:rsidRPr="00C7300A">
        <w:rPr>
          <w:rFonts w:eastAsia="SimSun" w:cs="Calibri"/>
          <w:bCs/>
          <w:szCs w:val="24"/>
          <w:lang w:val="ru-RU" w:eastAsia="zh-CN"/>
        </w:rPr>
        <w:tab/>
        <w:t>Согласно п.</w:t>
      </w:r>
      <w:r w:rsidR="00E1739C" w:rsidRPr="00C7300A">
        <w:rPr>
          <w:rFonts w:eastAsia="SimSun" w:cs="Calibri"/>
          <w:bCs/>
          <w:szCs w:val="24"/>
          <w:lang w:val="ru-RU" w:eastAsia="zh-CN"/>
        </w:rPr>
        <w:t> </w:t>
      </w:r>
      <w:r w:rsidRPr="00C7300A">
        <w:rPr>
          <w:rFonts w:eastAsia="SimSun" w:cs="Calibri"/>
          <w:bCs/>
          <w:szCs w:val="24"/>
          <w:lang w:val="ru-RU" w:eastAsia="zh-CN"/>
        </w:rPr>
        <w:t>161B Статьи</w:t>
      </w:r>
      <w:r w:rsidR="00E1739C" w:rsidRPr="00C7300A">
        <w:rPr>
          <w:rFonts w:eastAsia="SimSun" w:cs="Calibri"/>
          <w:bCs/>
          <w:szCs w:val="24"/>
          <w:lang w:val="ru-RU" w:eastAsia="zh-CN"/>
        </w:rPr>
        <w:t> </w:t>
      </w:r>
      <w:r w:rsidRPr="00C7300A">
        <w:rPr>
          <w:rFonts w:eastAsia="SimSun" w:cs="Calibri"/>
          <w:bCs/>
          <w:szCs w:val="24"/>
          <w:lang w:val="ru-RU" w:eastAsia="zh-CN"/>
        </w:rPr>
        <w:t xml:space="preserve">28 Устава и в соответствии с предложением Генерального секретаря </w:t>
      </w:r>
      <w:r w:rsidRPr="00C7300A">
        <w:rPr>
          <w:lang w:val="ru-RU"/>
        </w:rPr>
        <w:t>Совет установил предварительную величину единицы взнос</w:t>
      </w:r>
      <w:r w:rsidR="00210AEF" w:rsidRPr="00C7300A">
        <w:rPr>
          <w:lang w:val="ru-RU"/>
        </w:rPr>
        <w:t>а</w:t>
      </w:r>
      <w:r w:rsidRPr="00C7300A">
        <w:rPr>
          <w:lang w:val="ru-RU"/>
        </w:rPr>
        <w:t xml:space="preserve"> в размере 318</w:t>
      </w:r>
      <w:r w:rsidR="00E1739C" w:rsidRPr="00C7300A">
        <w:rPr>
          <w:lang w:val="ru-RU"/>
        </w:rPr>
        <w:t> </w:t>
      </w:r>
      <w:r w:rsidRPr="00C7300A">
        <w:rPr>
          <w:lang w:val="ru-RU"/>
        </w:rPr>
        <w:t xml:space="preserve">тыс. швейцарских франков на основе проекта </w:t>
      </w:r>
      <w:r w:rsidR="00321D51" w:rsidRPr="00C7300A">
        <w:rPr>
          <w:lang w:val="ru-RU"/>
        </w:rPr>
        <w:t>ф</w:t>
      </w:r>
      <w:r w:rsidRPr="00C7300A">
        <w:rPr>
          <w:lang w:val="ru-RU"/>
        </w:rPr>
        <w:t>инансового плана и обще</w:t>
      </w:r>
      <w:r w:rsidR="00E1739C" w:rsidRPr="00C7300A">
        <w:rPr>
          <w:lang w:val="ru-RU"/>
        </w:rPr>
        <w:t>го</w:t>
      </w:r>
      <w:r w:rsidRPr="00C7300A">
        <w:rPr>
          <w:lang w:val="ru-RU"/>
        </w:rPr>
        <w:t xml:space="preserve"> количеств</w:t>
      </w:r>
      <w:r w:rsidR="00E1739C" w:rsidRPr="00C7300A">
        <w:rPr>
          <w:lang w:val="ru-RU"/>
        </w:rPr>
        <w:t>а</w:t>
      </w:r>
      <w:r w:rsidRPr="00C7300A">
        <w:rPr>
          <w:lang w:val="ru-RU"/>
        </w:rPr>
        <w:t xml:space="preserve"> единиц взносов. </w:t>
      </w:r>
    </w:p>
    <w:p w14:paraId="58F41554" w14:textId="168411CD" w:rsidR="00B72D88" w:rsidRPr="00C7300A" w:rsidRDefault="00B72D88" w:rsidP="00B72D88">
      <w:pPr>
        <w:rPr>
          <w:lang w:val="ru-RU"/>
        </w:rPr>
      </w:pPr>
      <w:r w:rsidRPr="00C7300A">
        <w:rPr>
          <w:lang w:val="ru-RU"/>
        </w:rPr>
        <w:t>1.4</w:t>
      </w:r>
      <w:r w:rsidRPr="00C7300A">
        <w:rPr>
          <w:lang w:val="ru-RU"/>
        </w:rPr>
        <w:tab/>
        <w:t xml:space="preserve">Ожидается, что </w:t>
      </w:r>
      <w:r w:rsidR="00210AEF" w:rsidRPr="00C7300A">
        <w:rPr>
          <w:lang w:val="ru-RU"/>
        </w:rPr>
        <w:t>на основании</w:t>
      </w:r>
      <w:r w:rsidRPr="00C7300A">
        <w:rPr>
          <w:lang w:val="ru-RU"/>
        </w:rPr>
        <w:t xml:space="preserve"> пересмотренного Решения</w:t>
      </w:r>
      <w:r w:rsidR="00210AEF" w:rsidRPr="00C7300A">
        <w:rPr>
          <w:lang w:val="ru-RU"/>
        </w:rPr>
        <w:t> </w:t>
      </w:r>
      <w:r w:rsidRPr="00C7300A">
        <w:rPr>
          <w:lang w:val="ru-RU"/>
        </w:rPr>
        <w:t>5</w:t>
      </w:r>
      <w:r w:rsidR="00210AEF" w:rsidRPr="00C7300A">
        <w:rPr>
          <w:lang w:val="ru-RU"/>
        </w:rPr>
        <w:t xml:space="preserve"> о д</w:t>
      </w:r>
      <w:r w:rsidRPr="00C7300A">
        <w:rPr>
          <w:lang w:val="ru-RU"/>
        </w:rPr>
        <w:t>оход</w:t>
      </w:r>
      <w:r w:rsidR="00210AEF" w:rsidRPr="00C7300A">
        <w:rPr>
          <w:lang w:val="ru-RU"/>
        </w:rPr>
        <w:t>ах</w:t>
      </w:r>
      <w:r w:rsidRPr="00C7300A">
        <w:rPr>
          <w:lang w:val="ru-RU"/>
        </w:rPr>
        <w:t xml:space="preserve"> и расход</w:t>
      </w:r>
      <w:r w:rsidR="00210AEF" w:rsidRPr="00C7300A">
        <w:rPr>
          <w:lang w:val="ru-RU"/>
        </w:rPr>
        <w:t>ах</w:t>
      </w:r>
      <w:r w:rsidRPr="00C7300A">
        <w:rPr>
          <w:lang w:val="ru-RU"/>
        </w:rPr>
        <w:t xml:space="preserve"> Союза на период 2024−2027</w:t>
      </w:r>
      <w:r w:rsidR="00597DBA" w:rsidRPr="00C7300A">
        <w:rPr>
          <w:lang w:val="ru-RU"/>
        </w:rPr>
        <w:t> </w:t>
      </w:r>
      <w:r w:rsidRPr="00C7300A">
        <w:rPr>
          <w:lang w:val="ru-RU"/>
        </w:rPr>
        <w:t>годов Полномочная конференция 2022</w:t>
      </w:r>
      <w:r w:rsidR="00210AEF" w:rsidRPr="00C7300A">
        <w:rPr>
          <w:lang w:val="ru-RU"/>
        </w:rPr>
        <w:t> </w:t>
      </w:r>
      <w:r w:rsidRPr="00C7300A">
        <w:rPr>
          <w:lang w:val="ru-RU"/>
        </w:rPr>
        <w:t xml:space="preserve">года установит рамки и директивы, </w:t>
      </w:r>
      <w:r w:rsidR="00210AEF" w:rsidRPr="00C7300A">
        <w:rPr>
          <w:lang w:val="ru-RU"/>
        </w:rPr>
        <w:t>в соответствии с</w:t>
      </w:r>
      <w:r w:rsidRPr="00C7300A">
        <w:rPr>
          <w:lang w:val="ru-RU"/>
        </w:rPr>
        <w:t xml:space="preserve"> которы</w:t>
      </w:r>
      <w:r w:rsidR="00210AEF" w:rsidRPr="00C7300A">
        <w:rPr>
          <w:lang w:val="ru-RU"/>
        </w:rPr>
        <w:t>ми</w:t>
      </w:r>
      <w:r w:rsidRPr="00C7300A">
        <w:rPr>
          <w:lang w:val="ru-RU"/>
        </w:rPr>
        <w:t xml:space="preserve"> будут разраб</w:t>
      </w:r>
      <w:r w:rsidR="00210AEF" w:rsidRPr="00C7300A">
        <w:rPr>
          <w:lang w:val="ru-RU"/>
        </w:rPr>
        <w:t>атываться</w:t>
      </w:r>
      <w:r w:rsidRPr="00C7300A">
        <w:rPr>
          <w:lang w:val="ru-RU"/>
        </w:rPr>
        <w:t xml:space="preserve"> два двухгодичных бюджета</w:t>
      </w:r>
      <w:r w:rsidR="00210AEF" w:rsidRPr="00C7300A">
        <w:rPr>
          <w:lang w:val="ru-RU"/>
        </w:rPr>
        <w:t> –</w:t>
      </w:r>
      <w:r w:rsidRPr="00C7300A">
        <w:rPr>
          <w:lang w:val="ru-RU"/>
        </w:rPr>
        <w:t xml:space="preserve"> на 2024–2025 и 2026–2027</w:t>
      </w:r>
      <w:r w:rsidR="00210AEF" w:rsidRPr="00C7300A">
        <w:rPr>
          <w:lang w:val="ru-RU"/>
        </w:rPr>
        <w:t> </w:t>
      </w:r>
      <w:r w:rsidRPr="00C7300A">
        <w:rPr>
          <w:lang w:val="ru-RU"/>
        </w:rPr>
        <w:t>годы. В Приложении</w:t>
      </w:r>
      <w:r w:rsidR="00B23C8F" w:rsidRPr="00C7300A">
        <w:rPr>
          <w:lang w:val="ru-RU"/>
        </w:rPr>
        <w:t> </w:t>
      </w:r>
      <w:r w:rsidRPr="00C7300A">
        <w:rPr>
          <w:lang w:val="ru-RU"/>
        </w:rPr>
        <w:t>1 к Решению</w:t>
      </w:r>
      <w:r w:rsidR="00B23C8F" w:rsidRPr="00C7300A">
        <w:rPr>
          <w:lang w:val="ru-RU"/>
        </w:rPr>
        <w:t> </w:t>
      </w:r>
      <w:r w:rsidRPr="00C7300A">
        <w:rPr>
          <w:lang w:val="ru-RU"/>
        </w:rPr>
        <w:t>5, пересмотренному Полномочн</w:t>
      </w:r>
      <w:r w:rsidR="003E5D75" w:rsidRPr="00C7300A">
        <w:rPr>
          <w:lang w:val="ru-RU"/>
        </w:rPr>
        <w:t>ой</w:t>
      </w:r>
      <w:r w:rsidRPr="00C7300A">
        <w:rPr>
          <w:lang w:val="ru-RU"/>
        </w:rPr>
        <w:t xml:space="preserve"> конференци</w:t>
      </w:r>
      <w:r w:rsidR="003E5D75" w:rsidRPr="00C7300A">
        <w:rPr>
          <w:lang w:val="ru-RU"/>
        </w:rPr>
        <w:t>ей</w:t>
      </w:r>
      <w:r w:rsidRPr="00C7300A">
        <w:rPr>
          <w:lang w:val="ru-RU"/>
        </w:rPr>
        <w:t xml:space="preserve"> 2022</w:t>
      </w:r>
      <w:r w:rsidR="00B23C8F" w:rsidRPr="00C7300A">
        <w:rPr>
          <w:lang w:val="ru-RU"/>
        </w:rPr>
        <w:t> </w:t>
      </w:r>
      <w:r w:rsidRPr="00C7300A">
        <w:rPr>
          <w:lang w:val="ru-RU"/>
        </w:rPr>
        <w:t>года, будет содержаться Финансовый план на 20</w:t>
      </w:r>
      <w:r w:rsidR="003E5D75" w:rsidRPr="00C7300A">
        <w:rPr>
          <w:lang w:val="ru-RU"/>
        </w:rPr>
        <w:t>24−2027</w:t>
      </w:r>
      <w:r w:rsidR="00B23C8F" w:rsidRPr="00C7300A">
        <w:rPr>
          <w:lang w:val="ru-RU"/>
        </w:rPr>
        <w:t> </w:t>
      </w:r>
      <w:r w:rsidRPr="00C7300A">
        <w:rPr>
          <w:lang w:val="ru-RU"/>
        </w:rPr>
        <w:t>годы.</w:t>
      </w:r>
    </w:p>
    <w:p w14:paraId="26E31FD1" w14:textId="011B1BE7" w:rsidR="00B72D88" w:rsidRPr="00C7300A" w:rsidRDefault="00B72D88" w:rsidP="00B72D88">
      <w:pPr>
        <w:rPr>
          <w:lang w:val="ru-RU"/>
        </w:rPr>
      </w:pPr>
      <w:r w:rsidRPr="00C7300A">
        <w:rPr>
          <w:lang w:val="ru-RU"/>
        </w:rPr>
        <w:t>1.5</w:t>
      </w:r>
      <w:r w:rsidRPr="00C7300A">
        <w:rPr>
          <w:lang w:val="ru-RU"/>
        </w:rPr>
        <w:tab/>
        <w:t xml:space="preserve">Проект </w:t>
      </w:r>
      <w:r w:rsidR="00321D51" w:rsidRPr="00C7300A">
        <w:rPr>
          <w:lang w:val="ru-RU"/>
        </w:rPr>
        <w:t>ф</w:t>
      </w:r>
      <w:r w:rsidRPr="00C7300A">
        <w:rPr>
          <w:lang w:val="ru-RU"/>
        </w:rPr>
        <w:t>инансового плана на 20</w:t>
      </w:r>
      <w:r w:rsidR="003E5D75" w:rsidRPr="00C7300A">
        <w:rPr>
          <w:lang w:val="ru-RU"/>
        </w:rPr>
        <w:t>24−2027</w:t>
      </w:r>
      <w:r w:rsidR="00B23C8F" w:rsidRPr="00C7300A">
        <w:rPr>
          <w:lang w:val="ru-RU"/>
        </w:rPr>
        <w:t> </w:t>
      </w:r>
      <w:r w:rsidRPr="00C7300A">
        <w:rPr>
          <w:lang w:val="ru-RU"/>
        </w:rPr>
        <w:t>годы был п</w:t>
      </w:r>
      <w:r w:rsidR="003E5D75" w:rsidRPr="00C7300A">
        <w:rPr>
          <w:lang w:val="ru-RU"/>
        </w:rPr>
        <w:t xml:space="preserve">редставлен </w:t>
      </w:r>
      <w:r w:rsidRPr="00C7300A">
        <w:rPr>
          <w:lang w:val="ru-RU"/>
        </w:rPr>
        <w:t xml:space="preserve">и обсуждался на </w:t>
      </w:r>
      <w:r w:rsidR="003E5D75" w:rsidRPr="00C7300A">
        <w:rPr>
          <w:lang w:val="ru-RU"/>
        </w:rPr>
        <w:t>15</w:t>
      </w:r>
      <w:r w:rsidR="00110FA9" w:rsidRPr="00C7300A">
        <w:rPr>
          <w:lang w:val="ru-RU"/>
        </w:rPr>
        <w:noBreakHyphen/>
      </w:r>
      <w:r w:rsidR="00B23C8F" w:rsidRPr="00C7300A">
        <w:rPr>
          <w:lang w:val="ru-RU"/>
        </w:rPr>
        <w:t xml:space="preserve">м собрании Рабочей группы Совета по финансовым и людским ресурсам </w:t>
      </w:r>
      <w:r w:rsidR="003E5D75" w:rsidRPr="00C7300A">
        <w:rPr>
          <w:lang w:val="ru-RU"/>
        </w:rPr>
        <w:t>(</w:t>
      </w:r>
      <w:r w:rsidR="00B23C8F" w:rsidRPr="00C7300A">
        <w:rPr>
          <w:lang w:val="ru-RU"/>
        </w:rPr>
        <w:t>РГС-ФЛР</w:t>
      </w:r>
      <w:r w:rsidR="003E5D75" w:rsidRPr="00C7300A">
        <w:rPr>
          <w:lang w:val="ru-RU"/>
        </w:rPr>
        <w:t>)</w:t>
      </w:r>
      <w:r w:rsidRPr="00C7300A">
        <w:rPr>
          <w:lang w:val="ru-RU"/>
        </w:rPr>
        <w:t xml:space="preserve"> </w:t>
      </w:r>
      <w:r w:rsidR="003E5D75" w:rsidRPr="00C7300A">
        <w:rPr>
          <w:lang w:val="ru-RU"/>
        </w:rPr>
        <w:t>в</w:t>
      </w:r>
      <w:r w:rsidR="00B23C8F" w:rsidRPr="00C7300A">
        <w:rPr>
          <w:lang w:val="ru-RU"/>
        </w:rPr>
        <w:t> </w:t>
      </w:r>
      <w:r w:rsidRPr="00C7300A">
        <w:rPr>
          <w:lang w:val="ru-RU"/>
        </w:rPr>
        <w:t>январ</w:t>
      </w:r>
      <w:r w:rsidR="003E5D75" w:rsidRPr="00C7300A">
        <w:rPr>
          <w:lang w:val="ru-RU"/>
        </w:rPr>
        <w:t>е</w:t>
      </w:r>
      <w:r w:rsidRPr="00C7300A">
        <w:rPr>
          <w:lang w:val="ru-RU"/>
        </w:rPr>
        <w:t xml:space="preserve"> 20</w:t>
      </w:r>
      <w:r w:rsidR="003E5D75" w:rsidRPr="00C7300A">
        <w:rPr>
          <w:lang w:val="ru-RU"/>
        </w:rPr>
        <w:t>22</w:t>
      </w:r>
      <w:r w:rsidR="00B23C8F" w:rsidRPr="00C7300A">
        <w:rPr>
          <w:lang w:val="ru-RU"/>
        </w:rPr>
        <w:t> </w:t>
      </w:r>
      <w:r w:rsidRPr="00C7300A">
        <w:rPr>
          <w:lang w:val="ru-RU"/>
        </w:rPr>
        <w:t>года</w:t>
      </w:r>
      <w:r w:rsidR="00B23C8F" w:rsidRPr="00C7300A">
        <w:rPr>
          <w:lang w:val="ru-RU"/>
        </w:rPr>
        <w:t xml:space="preserve"> (см Документ CWG-FHR-15/10)</w:t>
      </w:r>
      <w:r w:rsidRPr="00C7300A">
        <w:rPr>
          <w:lang w:val="ru-RU"/>
        </w:rPr>
        <w:t>.</w:t>
      </w:r>
    </w:p>
    <w:p w14:paraId="363D0236" w14:textId="337F113C" w:rsidR="003E5D75" w:rsidRPr="00C7300A" w:rsidRDefault="00B72D88" w:rsidP="003E5D75">
      <w:pPr>
        <w:rPr>
          <w:lang w:val="ru-RU"/>
        </w:rPr>
      </w:pPr>
      <w:r w:rsidRPr="00C7300A">
        <w:rPr>
          <w:lang w:val="ru-RU"/>
        </w:rPr>
        <w:t>1.6</w:t>
      </w:r>
      <w:r w:rsidRPr="00C7300A">
        <w:rPr>
          <w:lang w:val="ru-RU"/>
        </w:rPr>
        <w:tab/>
      </w:r>
      <w:r w:rsidR="0063549C" w:rsidRPr="00C7300A">
        <w:rPr>
          <w:lang w:val="ru-RU"/>
        </w:rPr>
        <w:t>После того как проект стратегического плана будет в достаточной степени проработан, проект финансового плана будет увязан с определенными в нем тематическими приоритетами и целями</w:t>
      </w:r>
      <w:r w:rsidR="003E5D75" w:rsidRPr="00C7300A">
        <w:rPr>
          <w:lang w:val="ru-RU"/>
        </w:rPr>
        <w:t>.</w:t>
      </w:r>
    </w:p>
    <w:p w14:paraId="5D8A91D4" w14:textId="739A332F" w:rsidR="003E5D75" w:rsidRPr="00C7300A" w:rsidRDefault="003E5D75" w:rsidP="003E5D75">
      <w:pPr>
        <w:rPr>
          <w:lang w:val="ru-RU"/>
        </w:rPr>
      </w:pPr>
      <w:r w:rsidRPr="00C7300A">
        <w:rPr>
          <w:lang w:val="ru-RU"/>
        </w:rPr>
        <w:t>1.7</w:t>
      </w:r>
      <w:r w:rsidRPr="00C7300A">
        <w:rPr>
          <w:lang w:val="ru-RU"/>
        </w:rPr>
        <w:tab/>
      </w:r>
      <w:r w:rsidR="00D51854" w:rsidRPr="00C7300A">
        <w:rPr>
          <w:lang w:val="ru-RU"/>
        </w:rPr>
        <w:t>Увязка проекта финансового плана и проекта стратегического плана осуществляется путем перераспределения ресурсов проекта финансового плана на различные департаменты и бюро, а далее – на различные тематические приоритеты и цели проекта стратегического плана МСЭ.</w:t>
      </w:r>
    </w:p>
    <w:p w14:paraId="28096568" w14:textId="46B10E71" w:rsidR="003E5D75" w:rsidRPr="00C7300A" w:rsidRDefault="003E5D75" w:rsidP="003E5D75">
      <w:pPr>
        <w:rPr>
          <w:lang w:val="ru-RU"/>
        </w:rPr>
      </w:pPr>
      <w:r w:rsidRPr="00C7300A">
        <w:rPr>
          <w:lang w:val="ru-RU"/>
        </w:rPr>
        <w:t>1.8</w:t>
      </w:r>
      <w:r w:rsidRPr="00C7300A">
        <w:rPr>
          <w:lang w:val="ru-RU"/>
        </w:rPr>
        <w:tab/>
      </w:r>
      <w:r w:rsidR="00F438DC" w:rsidRPr="00C7300A">
        <w:rPr>
          <w:lang w:val="ru-RU"/>
        </w:rPr>
        <w:t>Для финансового плана приняты двойн</w:t>
      </w:r>
      <w:r w:rsidR="00EC7544" w:rsidRPr="00C7300A">
        <w:rPr>
          <w:lang w:val="ru-RU"/>
        </w:rPr>
        <w:t>о</w:t>
      </w:r>
      <w:r w:rsidR="00F438DC" w:rsidRPr="00C7300A">
        <w:rPr>
          <w:lang w:val="ru-RU"/>
        </w:rPr>
        <w:t>й подход и форма представления:</w:t>
      </w:r>
    </w:p>
    <w:p w14:paraId="0B841622" w14:textId="2604065B" w:rsidR="003E5D75" w:rsidRPr="00C7300A" w:rsidRDefault="003E5D75" w:rsidP="003E5D75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C1213A" w:rsidRPr="00C7300A">
        <w:rPr>
          <w:lang w:val="ru-RU"/>
        </w:rPr>
        <w:t xml:space="preserve">финансовый </w:t>
      </w:r>
      <w:r w:rsidR="00F438DC" w:rsidRPr="00C7300A">
        <w:rPr>
          <w:lang w:val="ru-RU"/>
        </w:rPr>
        <w:t xml:space="preserve">(соответствует структурам доходов/расходов, </w:t>
      </w:r>
      <w:r w:rsidR="00AC4A11" w:rsidRPr="00C7300A">
        <w:rPr>
          <w:lang w:val="ru-RU"/>
        </w:rPr>
        <w:t>установленным</w:t>
      </w:r>
      <w:r w:rsidR="00F438DC" w:rsidRPr="00C7300A">
        <w:rPr>
          <w:lang w:val="ru-RU"/>
        </w:rPr>
        <w:t xml:space="preserve"> в </w:t>
      </w:r>
      <w:r w:rsidR="00D51854" w:rsidRPr="00C7300A">
        <w:rPr>
          <w:lang w:val="ru-RU"/>
        </w:rPr>
        <w:t>ф</w:t>
      </w:r>
      <w:r w:rsidR="00F438DC" w:rsidRPr="00C7300A">
        <w:rPr>
          <w:lang w:val="ru-RU"/>
        </w:rPr>
        <w:t>инансовом регламенте</w:t>
      </w:r>
      <w:r w:rsidRPr="00C7300A">
        <w:rPr>
          <w:lang w:val="ru-RU"/>
        </w:rPr>
        <w:t>)</w:t>
      </w:r>
      <w:r w:rsidR="00C1213A" w:rsidRPr="00C7300A">
        <w:rPr>
          <w:lang w:val="ru-RU"/>
        </w:rPr>
        <w:t>;</w:t>
      </w:r>
    </w:p>
    <w:p w14:paraId="6551D78A" w14:textId="7A21721A" w:rsidR="003E5D75" w:rsidRPr="00C7300A" w:rsidRDefault="003E5D75" w:rsidP="003E5D75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C1213A" w:rsidRPr="00C7300A">
        <w:rPr>
          <w:lang w:val="ru-RU"/>
        </w:rPr>
        <w:t xml:space="preserve">ориентированный </w:t>
      </w:r>
      <w:r w:rsidR="00F438DC" w:rsidRPr="00C7300A">
        <w:rPr>
          <w:lang w:val="ru-RU"/>
        </w:rPr>
        <w:t xml:space="preserve">на результаты (соответствует структуре </w:t>
      </w:r>
      <w:r w:rsidR="004A1E5E" w:rsidRPr="00C7300A">
        <w:rPr>
          <w:lang w:val="ru-RU"/>
        </w:rPr>
        <w:t>с</w:t>
      </w:r>
      <w:r w:rsidR="00F438DC" w:rsidRPr="00C7300A">
        <w:rPr>
          <w:lang w:val="ru-RU"/>
        </w:rPr>
        <w:t>тратегического плана).</w:t>
      </w:r>
    </w:p>
    <w:p w14:paraId="0FC6A406" w14:textId="78488AFD" w:rsidR="003E5D75" w:rsidRPr="00C7300A" w:rsidRDefault="003E5D75" w:rsidP="003E5D75">
      <w:pPr>
        <w:rPr>
          <w:lang w:val="ru-RU"/>
        </w:rPr>
      </w:pPr>
      <w:r w:rsidRPr="00C7300A">
        <w:rPr>
          <w:lang w:val="ru-RU"/>
        </w:rPr>
        <w:t>1.9</w:t>
      </w:r>
      <w:r w:rsidRPr="00C7300A">
        <w:rPr>
          <w:lang w:val="ru-RU"/>
        </w:rPr>
        <w:tab/>
      </w:r>
      <w:r w:rsidR="00F438DC" w:rsidRPr="00C7300A">
        <w:rPr>
          <w:lang w:val="ru-RU"/>
        </w:rPr>
        <w:t>При подготовке финансового плана использовались следующие ключевые факторы/показатели:</w:t>
      </w:r>
    </w:p>
    <w:p w14:paraId="528F3A51" w14:textId="17A51CEE" w:rsidR="003E5D75" w:rsidRPr="00C7300A" w:rsidRDefault="00FF178D" w:rsidP="00FF178D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C1213A" w:rsidRPr="00C7300A">
        <w:rPr>
          <w:lang w:val="ru-RU"/>
        </w:rPr>
        <w:t>стратегический план;</w:t>
      </w:r>
    </w:p>
    <w:p w14:paraId="5BBD21D8" w14:textId="4B19DD55" w:rsidR="003E5D75" w:rsidRPr="00C7300A" w:rsidRDefault="00FF178D" w:rsidP="00FF178D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AC4A11" w:rsidRPr="00C7300A">
        <w:rPr>
          <w:lang w:val="ru-RU"/>
        </w:rPr>
        <w:t>величина единицы взносов</w:t>
      </w:r>
      <w:r w:rsidR="00C1213A" w:rsidRPr="00C7300A">
        <w:rPr>
          <w:lang w:val="ru-RU"/>
        </w:rPr>
        <w:t>;</w:t>
      </w:r>
    </w:p>
    <w:p w14:paraId="01C8554E" w14:textId="2639F6AC" w:rsidR="003E5D75" w:rsidRPr="00C7300A" w:rsidRDefault="00FF178D" w:rsidP="00FF178D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AC4A11" w:rsidRPr="00C7300A">
        <w:rPr>
          <w:lang w:val="ru-RU"/>
        </w:rPr>
        <w:t>общий уровень доходов за период</w:t>
      </w:r>
      <w:r w:rsidR="003E5D75" w:rsidRPr="00C7300A">
        <w:rPr>
          <w:lang w:val="ru-RU"/>
        </w:rPr>
        <w:t xml:space="preserve"> (</w:t>
      </w:r>
      <w:r w:rsidR="00AC4A11" w:rsidRPr="00C7300A">
        <w:rPr>
          <w:lang w:val="ru-RU"/>
        </w:rPr>
        <w:t>потолок расходов</w:t>
      </w:r>
      <w:r w:rsidR="003E5D75" w:rsidRPr="00C7300A">
        <w:rPr>
          <w:lang w:val="ru-RU"/>
        </w:rPr>
        <w:t>)</w:t>
      </w:r>
      <w:r w:rsidR="00C1213A" w:rsidRPr="00C7300A">
        <w:rPr>
          <w:lang w:val="ru-RU"/>
        </w:rPr>
        <w:t>;</w:t>
      </w:r>
    </w:p>
    <w:p w14:paraId="7D7D5225" w14:textId="57C28767" w:rsidR="003E5D75" w:rsidRPr="00C7300A" w:rsidRDefault="00FF178D" w:rsidP="00FF178D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C1213A" w:rsidRPr="00C7300A">
        <w:rPr>
          <w:lang w:val="ru-RU"/>
        </w:rPr>
        <w:t xml:space="preserve">программа </w:t>
      </w:r>
      <w:r w:rsidR="00F438DC" w:rsidRPr="00C7300A">
        <w:rPr>
          <w:lang w:val="ru-RU"/>
        </w:rPr>
        <w:t>работы</w:t>
      </w:r>
      <w:r w:rsidR="003E5D75" w:rsidRPr="00C7300A">
        <w:rPr>
          <w:lang w:val="ru-RU"/>
        </w:rPr>
        <w:t>.</w:t>
      </w:r>
    </w:p>
    <w:p w14:paraId="724868C5" w14:textId="08C0EE93" w:rsidR="00B72D88" w:rsidRPr="00C7300A" w:rsidRDefault="003E5D75" w:rsidP="003E5D75">
      <w:pPr>
        <w:rPr>
          <w:lang w:val="ru-RU"/>
        </w:rPr>
      </w:pPr>
      <w:r w:rsidRPr="00C7300A">
        <w:rPr>
          <w:lang w:val="ru-RU"/>
        </w:rPr>
        <w:t>1.10</w:t>
      </w:r>
      <w:r w:rsidRPr="00C7300A">
        <w:rPr>
          <w:lang w:val="ru-RU"/>
        </w:rPr>
        <w:tab/>
      </w:r>
      <w:r w:rsidR="009F3283" w:rsidRPr="00C7300A">
        <w:rPr>
          <w:lang w:val="ru-RU"/>
        </w:rPr>
        <w:t>Руководство МСЭ приняло решение о том, что следует организовать "Всемирное кафе" с</w:t>
      </w:r>
      <w:r w:rsidR="001D2B91" w:rsidRPr="00C7300A">
        <w:rPr>
          <w:lang w:val="ru-RU"/>
        </w:rPr>
        <w:t> </w:t>
      </w:r>
      <w:r w:rsidR="009F3283" w:rsidRPr="00C7300A">
        <w:rPr>
          <w:lang w:val="ru-RU"/>
        </w:rPr>
        <w:t xml:space="preserve">персоналом для предложения идей о </w:t>
      </w:r>
      <w:r w:rsidR="001D2B91" w:rsidRPr="00C7300A">
        <w:rPr>
          <w:lang w:val="ru-RU"/>
        </w:rPr>
        <w:t>получении</w:t>
      </w:r>
      <w:r w:rsidR="009F3283" w:rsidRPr="00C7300A">
        <w:rPr>
          <w:lang w:val="ru-RU"/>
        </w:rPr>
        <w:t xml:space="preserve"> доходов и сокращении расходов</w:t>
      </w:r>
      <w:r w:rsidRPr="00C7300A">
        <w:rPr>
          <w:lang w:val="ru-RU"/>
        </w:rPr>
        <w:t xml:space="preserve">. </w:t>
      </w:r>
      <w:r w:rsidR="009F3283" w:rsidRPr="00C7300A">
        <w:rPr>
          <w:lang w:val="ru-RU"/>
        </w:rPr>
        <w:t>Руководство определило большое количество инновационных идей, которые возможно рассматривать при подготовке бюджетов для выполнения Финансового плана</w:t>
      </w:r>
      <w:r w:rsidRPr="00C7300A">
        <w:rPr>
          <w:lang w:val="ru-RU"/>
        </w:rPr>
        <w:t xml:space="preserve">. </w:t>
      </w:r>
      <w:r w:rsidR="00D24210" w:rsidRPr="00C7300A">
        <w:rPr>
          <w:lang w:val="ru-RU"/>
        </w:rPr>
        <w:t xml:space="preserve">Презентация "Всемирного кафе" доступна по </w:t>
      </w:r>
      <w:hyperlink r:id="rId10" w:history="1">
        <w:r w:rsidR="00D24210" w:rsidRPr="003138CC">
          <w:rPr>
            <w:rStyle w:val="Hyperlink"/>
            <w:lang w:val="ru-RU"/>
          </w:rPr>
          <w:t>этой ссылке</w:t>
        </w:r>
      </w:hyperlink>
      <w:r w:rsidR="00F438DC" w:rsidRPr="00C7300A">
        <w:rPr>
          <w:lang w:val="ru-RU"/>
        </w:rPr>
        <w:t>.</w:t>
      </w:r>
    </w:p>
    <w:p w14:paraId="21B58BEF" w14:textId="6B30C559" w:rsidR="00F438DC" w:rsidRPr="00C7300A" w:rsidRDefault="00F438DC" w:rsidP="00F438DC">
      <w:pPr>
        <w:pStyle w:val="Heading1"/>
        <w:rPr>
          <w:bCs/>
          <w:lang w:val="ru-RU"/>
        </w:rPr>
      </w:pPr>
      <w:r w:rsidRPr="00C7300A">
        <w:rPr>
          <w:bCs/>
          <w:lang w:val="ru-RU"/>
        </w:rPr>
        <w:lastRenderedPageBreak/>
        <w:t>2</w:t>
      </w:r>
      <w:r w:rsidRPr="00C7300A">
        <w:rPr>
          <w:bCs/>
          <w:lang w:val="ru-RU"/>
        </w:rPr>
        <w:tab/>
      </w:r>
      <w:r w:rsidRPr="00C7300A">
        <w:rPr>
          <w:lang w:val="ru-RU"/>
        </w:rPr>
        <w:t>Основы и предположения</w:t>
      </w:r>
    </w:p>
    <w:p w14:paraId="4CC60EEA" w14:textId="761122E7" w:rsidR="00F438DC" w:rsidRPr="00C7300A" w:rsidRDefault="00F438DC" w:rsidP="00F438DC">
      <w:pPr>
        <w:rPr>
          <w:lang w:val="ru-RU"/>
        </w:rPr>
      </w:pPr>
      <w:r w:rsidRPr="00C7300A">
        <w:rPr>
          <w:lang w:val="ru-RU"/>
        </w:rPr>
        <w:t>2.1</w:t>
      </w:r>
      <w:r w:rsidRPr="00C7300A">
        <w:rPr>
          <w:lang w:val="ru-RU"/>
        </w:rPr>
        <w:tab/>
      </w:r>
      <w:r w:rsidR="00AC5765" w:rsidRPr="00C7300A">
        <w:rPr>
          <w:lang w:val="ru-RU"/>
        </w:rPr>
        <w:t xml:space="preserve">Бюджет на </w:t>
      </w:r>
      <w:r w:rsidRPr="00C7300A">
        <w:rPr>
          <w:lang w:val="ru-RU"/>
        </w:rPr>
        <w:t>2022</w:t>
      </w:r>
      <w:r w:rsidR="00850014" w:rsidRPr="00C7300A">
        <w:rPr>
          <w:lang w:val="ru-RU"/>
        </w:rPr>
        <w:t>−</w:t>
      </w:r>
      <w:r w:rsidRPr="00C7300A">
        <w:rPr>
          <w:lang w:val="ru-RU"/>
        </w:rPr>
        <w:t>2023</w:t>
      </w:r>
      <w:r w:rsidR="00AC5765" w:rsidRPr="00C7300A">
        <w:rPr>
          <w:lang w:val="ru-RU"/>
        </w:rPr>
        <w:t> годы служит первоосновой</w:t>
      </w:r>
      <w:r w:rsidRPr="00C7300A">
        <w:rPr>
          <w:lang w:val="ru-RU"/>
        </w:rPr>
        <w:t xml:space="preserve"> </w:t>
      </w:r>
      <w:r w:rsidR="00AC5765" w:rsidRPr="00C7300A">
        <w:rPr>
          <w:lang w:val="ru-RU"/>
        </w:rPr>
        <w:t>для подготовки проекта финансового плана на</w:t>
      </w:r>
      <w:r w:rsidRPr="00C7300A">
        <w:rPr>
          <w:lang w:val="ru-RU"/>
        </w:rPr>
        <w:t xml:space="preserve"> 2024</w:t>
      </w:r>
      <w:r w:rsidR="00850014" w:rsidRPr="00C7300A">
        <w:rPr>
          <w:lang w:val="ru-RU"/>
        </w:rPr>
        <w:t>−</w:t>
      </w:r>
      <w:r w:rsidRPr="00C7300A">
        <w:rPr>
          <w:lang w:val="ru-RU"/>
        </w:rPr>
        <w:t>2027</w:t>
      </w:r>
      <w:r w:rsidR="00AC5765" w:rsidRPr="00C7300A">
        <w:rPr>
          <w:lang w:val="ru-RU"/>
        </w:rPr>
        <w:t> годы</w:t>
      </w:r>
      <w:r w:rsidRPr="00C7300A">
        <w:rPr>
          <w:lang w:val="ru-RU"/>
        </w:rPr>
        <w:t>.</w:t>
      </w:r>
    </w:p>
    <w:p w14:paraId="6536FE99" w14:textId="1468D3DA" w:rsidR="00F438DC" w:rsidRPr="00C7300A" w:rsidRDefault="00F438DC" w:rsidP="00F438DC">
      <w:pPr>
        <w:rPr>
          <w:lang w:val="ru-RU"/>
        </w:rPr>
      </w:pPr>
      <w:r w:rsidRPr="00C7300A">
        <w:rPr>
          <w:lang w:val="ru-RU"/>
        </w:rPr>
        <w:t>2.2</w:t>
      </w:r>
      <w:r w:rsidRPr="00C7300A">
        <w:rPr>
          <w:lang w:val="ru-RU"/>
        </w:rPr>
        <w:tab/>
      </w:r>
      <w:r w:rsidR="00850014" w:rsidRPr="00C7300A">
        <w:rPr>
          <w:lang w:val="ru-RU"/>
        </w:rPr>
        <w:t>Уровень доходов отражает сложившуюся по состоянию на 1 </w:t>
      </w:r>
      <w:r w:rsidR="00A467D7" w:rsidRPr="00C7300A">
        <w:rPr>
          <w:lang w:val="ru-RU"/>
        </w:rPr>
        <w:t>января</w:t>
      </w:r>
      <w:r w:rsidR="00850014" w:rsidRPr="00C7300A">
        <w:rPr>
          <w:lang w:val="ru-RU"/>
        </w:rPr>
        <w:t xml:space="preserve"> 20</w:t>
      </w:r>
      <w:r w:rsidR="00A467D7" w:rsidRPr="00C7300A">
        <w:rPr>
          <w:lang w:val="ru-RU"/>
        </w:rPr>
        <w:t>22</w:t>
      </w:r>
      <w:r w:rsidR="00850014" w:rsidRPr="00C7300A">
        <w:rPr>
          <w:lang w:val="ru-RU"/>
        </w:rPr>
        <w:t xml:space="preserve"> года ситуацию </w:t>
      </w:r>
      <w:r w:rsidR="00A467D7" w:rsidRPr="00C7300A">
        <w:rPr>
          <w:lang w:val="ru-RU"/>
        </w:rPr>
        <w:t>с</w:t>
      </w:r>
      <w:r w:rsidR="004A1E5E" w:rsidRPr="00C7300A">
        <w:rPr>
          <w:lang w:val="ru-RU"/>
        </w:rPr>
        <w:t> </w:t>
      </w:r>
      <w:r w:rsidR="00850014" w:rsidRPr="00C7300A">
        <w:rPr>
          <w:lang w:val="ru-RU"/>
        </w:rPr>
        <w:t>начисленным</w:t>
      </w:r>
      <w:r w:rsidR="00A467D7" w:rsidRPr="00C7300A">
        <w:rPr>
          <w:lang w:val="ru-RU"/>
        </w:rPr>
        <w:t>и</w:t>
      </w:r>
      <w:r w:rsidR="00850014" w:rsidRPr="00C7300A">
        <w:rPr>
          <w:lang w:val="ru-RU"/>
        </w:rPr>
        <w:t xml:space="preserve"> взносам</w:t>
      </w:r>
      <w:r w:rsidR="00A467D7" w:rsidRPr="00C7300A">
        <w:rPr>
          <w:lang w:val="ru-RU"/>
        </w:rPr>
        <w:t>и</w:t>
      </w:r>
      <w:r w:rsidR="00850014" w:rsidRPr="00C7300A">
        <w:rPr>
          <w:lang w:val="ru-RU"/>
        </w:rPr>
        <w:t xml:space="preserve"> (Государства-Члены, Члены Секторов, Ассоциированные члены и Академические организации – Члены МСЭ)</w:t>
      </w:r>
      <w:r w:rsidRPr="00C7300A">
        <w:rPr>
          <w:lang w:val="ru-RU"/>
        </w:rPr>
        <w:t>.</w:t>
      </w:r>
    </w:p>
    <w:p w14:paraId="09D21A63" w14:textId="4C30D041" w:rsidR="00F438DC" w:rsidRPr="00C7300A" w:rsidRDefault="00F438DC" w:rsidP="00F438DC">
      <w:pPr>
        <w:rPr>
          <w:lang w:val="ru-RU"/>
        </w:rPr>
      </w:pPr>
      <w:r w:rsidRPr="00C7300A">
        <w:rPr>
          <w:lang w:val="ru-RU"/>
        </w:rPr>
        <w:t>2.3</w:t>
      </w:r>
      <w:r w:rsidRPr="00C7300A">
        <w:rPr>
          <w:lang w:val="ru-RU"/>
        </w:rPr>
        <w:tab/>
      </w:r>
      <w:r w:rsidR="00A467D7" w:rsidRPr="00C7300A">
        <w:rPr>
          <w:lang w:val="ru-RU"/>
        </w:rPr>
        <w:t xml:space="preserve">Важно помнить, что финансовый план определяется доходами. </w:t>
      </w:r>
      <w:r w:rsidR="00850014" w:rsidRPr="00C7300A">
        <w:rPr>
          <w:lang w:val="ru-RU"/>
        </w:rPr>
        <w:t>Уровень доходов</w:t>
      </w:r>
      <w:r w:rsidR="00A467D7" w:rsidRPr="00C7300A">
        <w:rPr>
          <w:lang w:val="ru-RU"/>
        </w:rPr>
        <w:t> – это</w:t>
      </w:r>
      <w:r w:rsidR="00850014" w:rsidRPr="00C7300A">
        <w:rPr>
          <w:lang w:val="ru-RU"/>
        </w:rPr>
        <w:t xml:space="preserve"> ключев</w:t>
      </w:r>
      <w:r w:rsidR="00A467D7" w:rsidRPr="00C7300A">
        <w:rPr>
          <w:lang w:val="ru-RU"/>
        </w:rPr>
        <w:t>ой</w:t>
      </w:r>
      <w:r w:rsidR="00850014" w:rsidRPr="00C7300A">
        <w:rPr>
          <w:lang w:val="ru-RU"/>
        </w:rPr>
        <w:t xml:space="preserve"> параметр для подготовки финансового плана. </w:t>
      </w:r>
      <w:r w:rsidR="00A467D7" w:rsidRPr="00C7300A">
        <w:rPr>
          <w:lang w:val="ru-RU"/>
        </w:rPr>
        <w:t>Проект финансового плана на</w:t>
      </w:r>
      <w:r w:rsidR="00850014" w:rsidRPr="00C7300A">
        <w:rPr>
          <w:lang w:val="ru-RU"/>
        </w:rPr>
        <w:t xml:space="preserve"> 2024−</w:t>
      </w:r>
      <w:r w:rsidRPr="00C7300A">
        <w:rPr>
          <w:lang w:val="ru-RU"/>
        </w:rPr>
        <w:t>2027</w:t>
      </w:r>
      <w:r w:rsidR="00A467D7" w:rsidRPr="00C7300A">
        <w:rPr>
          <w:lang w:val="ru-RU"/>
        </w:rPr>
        <w:t> годы основан на доходах, доступных в период</w:t>
      </w:r>
      <w:r w:rsidR="00850014" w:rsidRPr="00C7300A">
        <w:rPr>
          <w:lang w:val="ru-RU"/>
        </w:rPr>
        <w:t xml:space="preserve"> 2024−</w:t>
      </w:r>
      <w:r w:rsidRPr="00C7300A">
        <w:rPr>
          <w:lang w:val="ru-RU"/>
        </w:rPr>
        <w:t>2027</w:t>
      </w:r>
      <w:r w:rsidR="00A467D7" w:rsidRPr="00C7300A">
        <w:rPr>
          <w:lang w:val="ru-RU"/>
        </w:rPr>
        <w:t> годов</w:t>
      </w:r>
      <w:r w:rsidRPr="00C7300A">
        <w:rPr>
          <w:lang w:val="ru-RU"/>
        </w:rPr>
        <w:t xml:space="preserve">. </w:t>
      </w:r>
      <w:r w:rsidR="00345DB3" w:rsidRPr="00C7300A">
        <w:rPr>
          <w:lang w:val="ru-RU"/>
        </w:rPr>
        <w:t>Более 3/4</w:t>
      </w:r>
      <w:r w:rsidR="00597DBA" w:rsidRPr="00C7300A">
        <w:rPr>
          <w:lang w:val="ru-RU"/>
        </w:rPr>
        <w:t> </w:t>
      </w:r>
      <w:r w:rsidR="00345DB3" w:rsidRPr="00C7300A">
        <w:rPr>
          <w:lang w:val="ru-RU"/>
        </w:rPr>
        <w:t>доходов Союза составляют начисленные взносы. Любое изменение количества единиц взносов окажет воздействие на прогноз доходов в период 202</w:t>
      </w:r>
      <w:r w:rsidR="00C1213A" w:rsidRPr="00C7300A">
        <w:rPr>
          <w:lang w:val="ru-RU"/>
        </w:rPr>
        <w:t>4</w:t>
      </w:r>
      <w:r w:rsidR="00345DB3" w:rsidRPr="00C7300A">
        <w:rPr>
          <w:lang w:val="ru-RU"/>
        </w:rPr>
        <w:t>−202</w:t>
      </w:r>
      <w:r w:rsidR="00C1213A" w:rsidRPr="00C7300A">
        <w:rPr>
          <w:lang w:val="ru-RU"/>
        </w:rPr>
        <w:t>7</w:t>
      </w:r>
      <w:r w:rsidR="00345DB3" w:rsidRPr="00C7300A">
        <w:rPr>
          <w:lang w:val="ru-RU"/>
        </w:rPr>
        <w:t> годов и, следовательно, потребуется соответствующая корректировка прогноза расходов.</w:t>
      </w:r>
    </w:p>
    <w:p w14:paraId="5C4B0388" w14:textId="78B20A52" w:rsidR="00F438DC" w:rsidRPr="00C7300A" w:rsidRDefault="00F438DC" w:rsidP="00F438DC">
      <w:pPr>
        <w:rPr>
          <w:lang w:val="ru-RU"/>
        </w:rPr>
      </w:pPr>
      <w:r w:rsidRPr="00C7300A">
        <w:rPr>
          <w:lang w:val="ru-RU"/>
        </w:rPr>
        <w:t>2.4</w:t>
      </w:r>
      <w:r w:rsidRPr="00C7300A">
        <w:rPr>
          <w:lang w:val="ru-RU"/>
        </w:rPr>
        <w:tab/>
      </w:r>
      <w:r w:rsidR="00E24152" w:rsidRPr="00C7300A">
        <w:rPr>
          <w:lang w:val="ru-RU"/>
        </w:rPr>
        <w:t>Величина единицы взносов</w:t>
      </w:r>
      <w:r w:rsidR="00597DBA" w:rsidRPr="00C7300A">
        <w:rPr>
          <w:lang w:val="ru-RU"/>
        </w:rPr>
        <w:t xml:space="preserve"> – 318 тыс. швейцарских франков – </w:t>
      </w:r>
      <w:r w:rsidR="00E24152" w:rsidRPr="00C7300A">
        <w:rPr>
          <w:lang w:val="ru-RU"/>
        </w:rPr>
        <w:t>остается неизменной с</w:t>
      </w:r>
      <w:r w:rsidR="00597DBA" w:rsidRPr="00C7300A">
        <w:rPr>
          <w:lang w:val="ru-RU"/>
        </w:rPr>
        <w:t> </w:t>
      </w:r>
      <w:r w:rsidR="009F70BA" w:rsidRPr="00C7300A">
        <w:rPr>
          <w:lang w:val="ru-RU"/>
        </w:rPr>
        <w:t>2006</w:t>
      </w:r>
      <w:r w:rsidR="00E24152" w:rsidRPr="00C7300A">
        <w:rPr>
          <w:lang w:val="ru-RU"/>
        </w:rPr>
        <w:t> года</w:t>
      </w:r>
      <w:r w:rsidRPr="00C7300A">
        <w:rPr>
          <w:lang w:val="ru-RU"/>
        </w:rPr>
        <w:t xml:space="preserve">, </w:t>
      </w:r>
      <w:r w:rsidR="00597DBA" w:rsidRPr="00C7300A">
        <w:rPr>
          <w:lang w:val="ru-RU"/>
        </w:rPr>
        <w:t>что соответствует нулевому номинальному росту</w:t>
      </w:r>
      <w:r w:rsidRPr="00C7300A">
        <w:rPr>
          <w:lang w:val="ru-RU"/>
        </w:rPr>
        <w:t xml:space="preserve">. </w:t>
      </w:r>
      <w:r w:rsidR="00597DBA" w:rsidRPr="00C7300A">
        <w:rPr>
          <w:lang w:val="ru-RU"/>
        </w:rPr>
        <w:t>В период</w:t>
      </w:r>
      <w:r w:rsidRPr="00C7300A">
        <w:rPr>
          <w:lang w:val="ru-RU"/>
        </w:rPr>
        <w:t xml:space="preserve"> </w:t>
      </w:r>
      <w:r w:rsidR="00345DB3" w:rsidRPr="00C7300A">
        <w:rPr>
          <w:lang w:val="ru-RU"/>
        </w:rPr>
        <w:t>с</w:t>
      </w:r>
      <w:r w:rsidR="00597DBA" w:rsidRPr="00C7300A">
        <w:rPr>
          <w:lang w:val="ru-RU"/>
        </w:rPr>
        <w:t> </w:t>
      </w:r>
      <w:r w:rsidR="00345DB3" w:rsidRPr="00C7300A">
        <w:rPr>
          <w:lang w:val="ru-RU"/>
        </w:rPr>
        <w:t xml:space="preserve">января </w:t>
      </w:r>
      <w:r w:rsidRPr="00C7300A">
        <w:rPr>
          <w:lang w:val="ru-RU"/>
        </w:rPr>
        <w:t>2006</w:t>
      </w:r>
      <w:r w:rsidR="00597DBA" w:rsidRPr="00C7300A">
        <w:rPr>
          <w:lang w:val="ru-RU"/>
        </w:rPr>
        <w:t> </w:t>
      </w:r>
      <w:r w:rsidR="00345DB3" w:rsidRPr="00C7300A">
        <w:rPr>
          <w:lang w:val="ru-RU"/>
        </w:rPr>
        <w:t>года по ноябрь</w:t>
      </w:r>
      <w:r w:rsidRPr="00C7300A">
        <w:rPr>
          <w:lang w:val="ru-RU"/>
        </w:rPr>
        <w:t xml:space="preserve"> 2021</w:t>
      </w:r>
      <w:r w:rsidR="00597DBA" w:rsidRPr="00C7300A">
        <w:rPr>
          <w:lang w:val="ru-RU"/>
        </w:rPr>
        <w:t> год</w:t>
      </w:r>
      <w:r w:rsidR="00345DB3" w:rsidRPr="00C7300A">
        <w:rPr>
          <w:lang w:val="ru-RU"/>
        </w:rPr>
        <w:t>а</w:t>
      </w:r>
      <w:r w:rsidR="00597DBA" w:rsidRPr="00C7300A">
        <w:rPr>
          <w:lang w:val="ru-RU"/>
        </w:rPr>
        <w:t xml:space="preserve"> индекс потребительских цен (ИПЦ) Женевы увеличился на</w:t>
      </w:r>
      <w:r w:rsidRPr="00C7300A">
        <w:rPr>
          <w:lang w:val="ru-RU"/>
        </w:rPr>
        <w:t xml:space="preserve"> 5</w:t>
      </w:r>
      <w:r w:rsidR="00597DBA" w:rsidRPr="00C7300A">
        <w:rPr>
          <w:lang w:val="ru-RU"/>
        </w:rPr>
        <w:t>,</w:t>
      </w:r>
      <w:r w:rsidRPr="00C7300A">
        <w:rPr>
          <w:lang w:val="ru-RU"/>
        </w:rPr>
        <w:t>3</w:t>
      </w:r>
      <w:r w:rsidR="00597DBA" w:rsidRPr="00C7300A">
        <w:rPr>
          <w:lang w:val="ru-RU"/>
        </w:rPr>
        <w:t> процента</w:t>
      </w:r>
      <w:r w:rsidRPr="00C7300A">
        <w:rPr>
          <w:lang w:val="ru-RU"/>
        </w:rPr>
        <w:t xml:space="preserve">. </w:t>
      </w:r>
      <w:r w:rsidR="00144704" w:rsidRPr="00C7300A">
        <w:rPr>
          <w:lang w:val="ru-RU"/>
        </w:rPr>
        <w:t>Если величину единицы взносов проиндексировать на ИПЦ Женевы, то в настоящее время величина единицы взносов состави</w:t>
      </w:r>
      <w:r w:rsidR="00F31FDE" w:rsidRPr="00C7300A">
        <w:rPr>
          <w:lang w:val="ru-RU"/>
        </w:rPr>
        <w:t>т</w:t>
      </w:r>
      <w:r w:rsidRPr="00C7300A">
        <w:rPr>
          <w:lang w:val="ru-RU"/>
        </w:rPr>
        <w:t xml:space="preserve"> 335</w:t>
      </w:r>
      <w:r w:rsidR="004A1E5E" w:rsidRPr="00C7300A">
        <w:rPr>
          <w:lang w:val="ru-RU"/>
        </w:rPr>
        <w:t> </w:t>
      </w:r>
      <w:r w:rsidR="009F70BA" w:rsidRPr="00C7300A">
        <w:rPr>
          <w:lang w:val="ru-RU"/>
        </w:rPr>
        <w:t>тыс. швейцарских франков.</w:t>
      </w:r>
      <w:r w:rsidRPr="00C7300A">
        <w:rPr>
          <w:lang w:val="ru-RU"/>
        </w:rPr>
        <w:t xml:space="preserve">, </w:t>
      </w:r>
      <w:r w:rsidR="00144704" w:rsidRPr="00C7300A">
        <w:rPr>
          <w:lang w:val="ru-RU"/>
        </w:rPr>
        <w:t xml:space="preserve">то есть </w:t>
      </w:r>
      <w:r w:rsidR="00D40000" w:rsidRPr="00C7300A">
        <w:rPr>
          <w:lang w:val="ru-RU"/>
        </w:rPr>
        <w:t>возр</w:t>
      </w:r>
      <w:r w:rsidR="00F31FDE" w:rsidRPr="00C7300A">
        <w:rPr>
          <w:lang w:val="ru-RU"/>
        </w:rPr>
        <w:t>астет</w:t>
      </w:r>
      <w:r w:rsidR="00144704" w:rsidRPr="00C7300A">
        <w:rPr>
          <w:lang w:val="ru-RU"/>
        </w:rPr>
        <w:t xml:space="preserve"> на </w:t>
      </w:r>
      <w:r w:rsidRPr="00C7300A">
        <w:rPr>
          <w:lang w:val="ru-RU"/>
        </w:rPr>
        <w:t>17</w:t>
      </w:r>
      <w:r w:rsidR="00144704" w:rsidRPr="00C7300A">
        <w:rPr>
          <w:lang w:val="ru-RU"/>
        </w:rPr>
        <w:t> </w:t>
      </w:r>
      <w:r w:rsidR="009F70BA" w:rsidRPr="00C7300A">
        <w:rPr>
          <w:lang w:val="ru-RU"/>
        </w:rPr>
        <w:t>тыс. швейцарских франков</w:t>
      </w:r>
      <w:r w:rsidRPr="00C7300A">
        <w:rPr>
          <w:lang w:val="ru-RU"/>
        </w:rPr>
        <w:t xml:space="preserve"> (</w:t>
      </w:r>
      <w:r w:rsidR="00144704" w:rsidRPr="00C7300A">
        <w:rPr>
          <w:lang w:val="ru-RU"/>
        </w:rPr>
        <w:t>нулевой реальный рост</w:t>
      </w:r>
      <w:r w:rsidRPr="00C7300A">
        <w:rPr>
          <w:lang w:val="ru-RU"/>
        </w:rPr>
        <w:t xml:space="preserve">). </w:t>
      </w:r>
      <w:r w:rsidR="00144704" w:rsidRPr="00C7300A">
        <w:rPr>
          <w:lang w:val="ru-RU"/>
        </w:rPr>
        <w:t xml:space="preserve">Увеличение начисленных взносов составит </w:t>
      </w:r>
      <w:r w:rsidRPr="00C7300A">
        <w:rPr>
          <w:lang w:val="ru-RU"/>
        </w:rPr>
        <w:t>26</w:t>
      </w:r>
      <w:r w:rsidR="009F70BA" w:rsidRPr="00C7300A">
        <w:rPr>
          <w:lang w:val="ru-RU"/>
        </w:rPr>
        <w:t>,</w:t>
      </w:r>
      <w:r w:rsidRPr="00C7300A">
        <w:rPr>
          <w:lang w:val="ru-RU"/>
        </w:rPr>
        <w:t>9</w:t>
      </w:r>
      <w:r w:rsidR="009F70BA" w:rsidRPr="00C7300A">
        <w:rPr>
          <w:lang w:val="ru-RU"/>
        </w:rPr>
        <w:t> млн. швейцарских франков</w:t>
      </w:r>
      <w:r w:rsidRPr="00C7300A">
        <w:rPr>
          <w:lang w:val="ru-RU"/>
        </w:rPr>
        <w:t xml:space="preserve">, </w:t>
      </w:r>
      <w:r w:rsidR="00144704" w:rsidRPr="00C7300A">
        <w:rPr>
          <w:lang w:val="ru-RU"/>
        </w:rPr>
        <w:t>что по</w:t>
      </w:r>
      <w:r w:rsidR="00D40000" w:rsidRPr="00C7300A">
        <w:rPr>
          <w:lang w:val="ru-RU"/>
        </w:rPr>
        <w:t>ч</w:t>
      </w:r>
      <w:r w:rsidR="00144704" w:rsidRPr="00C7300A">
        <w:rPr>
          <w:lang w:val="ru-RU"/>
        </w:rPr>
        <w:t xml:space="preserve">ти соответствует финансированию, затребованному для </w:t>
      </w:r>
      <w:r w:rsidR="00401150" w:rsidRPr="00C7300A">
        <w:rPr>
          <w:lang w:val="ru-RU"/>
        </w:rPr>
        <w:t xml:space="preserve">нефинансируемых утвержденных видов деятельности </w:t>
      </w:r>
      <w:r w:rsidR="00144704" w:rsidRPr="00C7300A">
        <w:rPr>
          <w:lang w:val="ru-RU"/>
        </w:rPr>
        <w:t>(</w:t>
      </w:r>
      <w:r w:rsidR="00401150" w:rsidRPr="00C7300A">
        <w:rPr>
          <w:lang w:val="ru-RU"/>
        </w:rPr>
        <w:t>UMAC</w:t>
      </w:r>
      <w:r w:rsidR="00144704" w:rsidRPr="00C7300A">
        <w:rPr>
          <w:lang w:val="ru-RU"/>
        </w:rPr>
        <w:t>)</w:t>
      </w:r>
      <w:r w:rsidRPr="00C7300A">
        <w:rPr>
          <w:lang w:val="ru-RU"/>
        </w:rPr>
        <w:t xml:space="preserve">. </w:t>
      </w:r>
      <w:r w:rsidR="004A1E5E" w:rsidRPr="00C7300A">
        <w:rPr>
          <w:lang w:val="ru-RU"/>
        </w:rPr>
        <w:t>Н</w:t>
      </w:r>
      <w:r w:rsidR="00D40000" w:rsidRPr="00C7300A">
        <w:rPr>
          <w:lang w:val="ru-RU"/>
        </w:rPr>
        <w:t>езначительн</w:t>
      </w:r>
      <w:r w:rsidR="004A1E5E" w:rsidRPr="00C7300A">
        <w:rPr>
          <w:lang w:val="ru-RU"/>
        </w:rPr>
        <w:t>ое увеличение</w:t>
      </w:r>
      <w:r w:rsidR="00D40000" w:rsidRPr="00C7300A">
        <w:rPr>
          <w:lang w:val="ru-RU"/>
        </w:rPr>
        <w:t xml:space="preserve"> величины единицы взносов на </w:t>
      </w:r>
      <w:r w:rsidRPr="00C7300A">
        <w:rPr>
          <w:lang w:val="ru-RU"/>
        </w:rPr>
        <w:t>1000</w:t>
      </w:r>
      <w:r w:rsidR="00D40000" w:rsidRPr="00C7300A">
        <w:rPr>
          <w:lang w:val="ru-RU"/>
        </w:rPr>
        <w:t xml:space="preserve"> швейцарских франков, то есть до </w:t>
      </w:r>
      <w:r w:rsidRPr="00C7300A">
        <w:rPr>
          <w:lang w:val="ru-RU"/>
        </w:rPr>
        <w:t>319</w:t>
      </w:r>
      <w:r w:rsidR="004A1E5E" w:rsidRPr="00C7300A">
        <w:rPr>
          <w:lang w:val="ru-RU"/>
        </w:rPr>
        <w:t> </w:t>
      </w:r>
      <w:r w:rsidR="009F70BA" w:rsidRPr="00C7300A">
        <w:rPr>
          <w:lang w:val="ru-RU"/>
        </w:rPr>
        <w:t>тыс. швейцарских франков</w:t>
      </w:r>
      <w:r w:rsidR="00D40000" w:rsidRPr="00C7300A">
        <w:rPr>
          <w:lang w:val="ru-RU"/>
        </w:rPr>
        <w:t xml:space="preserve">, </w:t>
      </w:r>
      <w:r w:rsidR="004A1E5E" w:rsidRPr="00C7300A">
        <w:rPr>
          <w:lang w:val="ru-RU"/>
        </w:rPr>
        <w:t xml:space="preserve">приведет к увеличению </w:t>
      </w:r>
      <w:r w:rsidR="00D40000" w:rsidRPr="00C7300A">
        <w:rPr>
          <w:lang w:val="ru-RU"/>
        </w:rPr>
        <w:t>объем</w:t>
      </w:r>
      <w:r w:rsidR="004A1E5E" w:rsidRPr="00C7300A">
        <w:rPr>
          <w:lang w:val="ru-RU"/>
        </w:rPr>
        <w:t>а</w:t>
      </w:r>
      <w:r w:rsidR="00D40000" w:rsidRPr="00C7300A">
        <w:rPr>
          <w:lang w:val="ru-RU"/>
        </w:rPr>
        <w:t xml:space="preserve"> начисленных взносов на 2024−2027 годы на</w:t>
      </w:r>
      <w:r w:rsidRPr="00C7300A">
        <w:rPr>
          <w:lang w:val="ru-RU"/>
        </w:rPr>
        <w:t xml:space="preserve"> 1</w:t>
      </w:r>
      <w:r w:rsidR="00345DB3" w:rsidRPr="00C7300A">
        <w:rPr>
          <w:lang w:val="ru-RU"/>
        </w:rPr>
        <w:t>,</w:t>
      </w:r>
      <w:r w:rsidRPr="00C7300A">
        <w:rPr>
          <w:lang w:val="ru-RU"/>
        </w:rPr>
        <w:t>6</w:t>
      </w:r>
      <w:r w:rsidR="00D40000" w:rsidRPr="00C7300A">
        <w:rPr>
          <w:lang w:val="ru-RU"/>
        </w:rPr>
        <w:t> </w:t>
      </w:r>
      <w:r w:rsidR="00345DB3" w:rsidRPr="00C7300A">
        <w:rPr>
          <w:lang w:val="ru-RU"/>
        </w:rPr>
        <w:t>млн.</w:t>
      </w:r>
      <w:r w:rsidR="009F70BA" w:rsidRPr="00C7300A">
        <w:rPr>
          <w:lang w:val="ru-RU"/>
        </w:rPr>
        <w:t xml:space="preserve"> </w:t>
      </w:r>
      <w:r w:rsidR="00345DB3" w:rsidRPr="00C7300A">
        <w:rPr>
          <w:lang w:val="ru-RU"/>
        </w:rPr>
        <w:t>швейцарских франков</w:t>
      </w:r>
      <w:r w:rsidRPr="00C7300A">
        <w:rPr>
          <w:lang w:val="ru-RU"/>
        </w:rPr>
        <w:t>.</w:t>
      </w:r>
    </w:p>
    <w:p w14:paraId="44D361C1" w14:textId="192070AE" w:rsidR="00F438DC" w:rsidRPr="00C7300A" w:rsidRDefault="00F438DC" w:rsidP="00F438DC">
      <w:pPr>
        <w:rPr>
          <w:lang w:val="ru-RU"/>
        </w:rPr>
      </w:pPr>
      <w:r w:rsidRPr="00C7300A">
        <w:rPr>
          <w:lang w:val="ru-RU"/>
        </w:rPr>
        <w:t>2.5</w:t>
      </w:r>
      <w:r w:rsidRPr="00C7300A">
        <w:rPr>
          <w:lang w:val="ru-RU"/>
        </w:rPr>
        <w:tab/>
      </w:r>
      <w:r w:rsidR="00E229E6" w:rsidRPr="00C7300A">
        <w:rPr>
          <w:lang w:val="ru-RU"/>
        </w:rPr>
        <w:t xml:space="preserve">Настоящий план был разработан с использованием стандартных затрат, которые </w:t>
      </w:r>
      <w:r w:rsidR="003F09DA" w:rsidRPr="00C7300A">
        <w:rPr>
          <w:lang w:val="ru-RU"/>
        </w:rPr>
        <w:t>применялись</w:t>
      </w:r>
      <w:r w:rsidR="00E229E6" w:rsidRPr="00C7300A">
        <w:rPr>
          <w:lang w:val="ru-RU"/>
        </w:rPr>
        <w:t xml:space="preserve"> для бюджета на </w:t>
      </w:r>
      <w:r w:rsidRPr="00C7300A">
        <w:rPr>
          <w:lang w:val="ru-RU"/>
        </w:rPr>
        <w:t>2022</w:t>
      </w:r>
      <w:r w:rsidR="009F70BA" w:rsidRPr="00C7300A">
        <w:rPr>
          <w:lang w:val="ru-RU"/>
        </w:rPr>
        <w:t>−</w:t>
      </w:r>
      <w:r w:rsidRPr="00C7300A">
        <w:rPr>
          <w:lang w:val="ru-RU"/>
        </w:rPr>
        <w:t>2023</w:t>
      </w:r>
      <w:r w:rsidR="00E229E6" w:rsidRPr="00C7300A">
        <w:rPr>
          <w:lang w:val="ru-RU"/>
        </w:rPr>
        <w:t> годы</w:t>
      </w:r>
      <w:r w:rsidRPr="00C7300A">
        <w:rPr>
          <w:lang w:val="ru-RU"/>
        </w:rPr>
        <w:t xml:space="preserve">. </w:t>
      </w:r>
      <w:r w:rsidR="009529A1" w:rsidRPr="00C7300A">
        <w:rPr>
          <w:lang w:val="ru-RU"/>
        </w:rPr>
        <w:t>В него не включена какая-либо доля вакансий.</w:t>
      </w:r>
      <w:r w:rsidRPr="00C7300A">
        <w:rPr>
          <w:lang w:val="ru-RU"/>
        </w:rPr>
        <w:t xml:space="preserve"> </w:t>
      </w:r>
      <w:r w:rsidR="009529A1" w:rsidRPr="00C7300A">
        <w:rPr>
          <w:lang w:val="ru-RU"/>
        </w:rPr>
        <w:t xml:space="preserve">Доля вакантных должностей </w:t>
      </w:r>
      <w:r w:rsidR="00771008" w:rsidRPr="00C7300A">
        <w:rPr>
          <w:lang w:val="ru-RU"/>
        </w:rPr>
        <w:t>на уровне</w:t>
      </w:r>
      <w:r w:rsidRPr="00C7300A">
        <w:rPr>
          <w:lang w:val="ru-RU"/>
        </w:rPr>
        <w:t xml:space="preserve"> 5 </w:t>
      </w:r>
      <w:r w:rsidR="00771008" w:rsidRPr="00C7300A">
        <w:rPr>
          <w:lang w:val="ru-RU"/>
        </w:rPr>
        <w:t>процентов, включенная в текущий финансовый план на </w:t>
      </w:r>
      <w:r w:rsidRPr="00C7300A">
        <w:rPr>
          <w:lang w:val="ru-RU"/>
        </w:rPr>
        <w:t>2020</w:t>
      </w:r>
      <w:r w:rsidR="009F70BA" w:rsidRPr="00C7300A">
        <w:rPr>
          <w:lang w:val="ru-RU"/>
        </w:rPr>
        <w:t>−</w:t>
      </w:r>
      <w:r w:rsidRPr="00C7300A">
        <w:rPr>
          <w:lang w:val="ru-RU"/>
        </w:rPr>
        <w:t>2023</w:t>
      </w:r>
      <w:r w:rsidR="00771008" w:rsidRPr="00C7300A">
        <w:rPr>
          <w:lang w:val="ru-RU"/>
        </w:rPr>
        <w:t> годы, уже не отражает реальное положение дел</w:t>
      </w:r>
      <w:r w:rsidRPr="00C7300A">
        <w:rPr>
          <w:lang w:val="ru-RU"/>
        </w:rPr>
        <w:t xml:space="preserve"> </w:t>
      </w:r>
      <w:r w:rsidR="00771008" w:rsidRPr="00C7300A">
        <w:rPr>
          <w:lang w:val="ru-RU"/>
        </w:rPr>
        <w:t>и создает риск для исполнения бюджета</w:t>
      </w:r>
      <w:r w:rsidRPr="00C7300A">
        <w:rPr>
          <w:lang w:val="ru-RU"/>
        </w:rPr>
        <w:t xml:space="preserve">. </w:t>
      </w:r>
      <w:r w:rsidR="00353D5E" w:rsidRPr="00C7300A">
        <w:rPr>
          <w:lang w:val="ru-RU"/>
        </w:rPr>
        <w:t>Количество в</w:t>
      </w:r>
      <w:r w:rsidR="00771008" w:rsidRPr="00C7300A">
        <w:rPr>
          <w:lang w:val="ru-RU"/>
        </w:rPr>
        <w:t xml:space="preserve">акантных </w:t>
      </w:r>
      <w:r w:rsidR="003F09DA" w:rsidRPr="00C7300A">
        <w:rPr>
          <w:lang w:val="ru-RU"/>
        </w:rPr>
        <w:t xml:space="preserve">должностей </w:t>
      </w:r>
      <w:r w:rsidR="00771008" w:rsidRPr="00C7300A">
        <w:rPr>
          <w:lang w:val="ru-RU"/>
        </w:rPr>
        <w:t xml:space="preserve">действительно </w:t>
      </w:r>
      <w:r w:rsidR="00353D5E" w:rsidRPr="00C7300A">
        <w:rPr>
          <w:lang w:val="ru-RU"/>
        </w:rPr>
        <w:t>постоянно уменьшается</w:t>
      </w:r>
      <w:r w:rsidRPr="00C7300A">
        <w:rPr>
          <w:lang w:val="ru-RU"/>
        </w:rPr>
        <w:t>,</w:t>
      </w:r>
      <w:r w:rsidR="00353D5E" w:rsidRPr="00C7300A">
        <w:rPr>
          <w:lang w:val="ru-RU"/>
        </w:rPr>
        <w:t xml:space="preserve"> и задержки при </w:t>
      </w:r>
      <w:r w:rsidR="003F09DA" w:rsidRPr="00C7300A">
        <w:rPr>
          <w:lang w:val="ru-RU"/>
        </w:rPr>
        <w:t xml:space="preserve">заполнении </w:t>
      </w:r>
      <w:r w:rsidR="00353D5E" w:rsidRPr="00C7300A">
        <w:rPr>
          <w:lang w:val="ru-RU"/>
        </w:rPr>
        <w:t>за последние годы сократились</w:t>
      </w:r>
      <w:r w:rsidRPr="00C7300A">
        <w:rPr>
          <w:lang w:val="ru-RU"/>
        </w:rPr>
        <w:t>.</w:t>
      </w:r>
      <w:r w:rsidR="003F09DA" w:rsidRPr="00C7300A">
        <w:rPr>
          <w:lang w:val="ru-RU"/>
        </w:rPr>
        <w:t xml:space="preserve"> Вследствие этого было принято решение исключить долю вакансий в проекте финансового плана на</w:t>
      </w:r>
      <w:r w:rsidR="009F70BA" w:rsidRPr="00C7300A">
        <w:rPr>
          <w:lang w:val="ru-RU"/>
        </w:rPr>
        <w:t xml:space="preserve"> 2024−</w:t>
      </w:r>
      <w:r w:rsidRPr="00C7300A">
        <w:rPr>
          <w:lang w:val="ru-RU"/>
        </w:rPr>
        <w:t>2027</w:t>
      </w:r>
      <w:r w:rsidR="003F09DA" w:rsidRPr="00C7300A">
        <w:rPr>
          <w:lang w:val="ru-RU"/>
        </w:rPr>
        <w:t> годы и заменить ее теоретической, но реалистичной величиной задержки при заполнении должностей</w:t>
      </w:r>
      <w:r w:rsidRPr="00C7300A">
        <w:rPr>
          <w:lang w:val="ru-RU"/>
        </w:rPr>
        <w:t>.</w:t>
      </w:r>
    </w:p>
    <w:p w14:paraId="7C5A11C9" w14:textId="370BA7C9" w:rsidR="00F438DC" w:rsidRPr="00C7300A" w:rsidRDefault="00F438DC" w:rsidP="00F438DC">
      <w:pPr>
        <w:rPr>
          <w:lang w:val="ru-RU"/>
        </w:rPr>
      </w:pPr>
      <w:r w:rsidRPr="00C7300A">
        <w:rPr>
          <w:lang w:val="ru-RU"/>
        </w:rPr>
        <w:t>2.6</w:t>
      </w:r>
      <w:r w:rsidRPr="00C7300A">
        <w:rPr>
          <w:lang w:val="ru-RU"/>
        </w:rPr>
        <w:tab/>
      </w:r>
      <w:r w:rsidR="00000AF4" w:rsidRPr="00C7300A">
        <w:rPr>
          <w:lang w:val="ru-RU"/>
        </w:rPr>
        <w:t>Возможное будущее увеличение/сокращение затрат в период 202</w:t>
      </w:r>
      <w:r w:rsidR="00110FA9" w:rsidRPr="00C7300A">
        <w:rPr>
          <w:lang w:val="ru-RU"/>
        </w:rPr>
        <w:t>4</w:t>
      </w:r>
      <w:r w:rsidR="00000AF4" w:rsidRPr="00C7300A">
        <w:rPr>
          <w:lang w:val="ru-RU"/>
        </w:rPr>
        <w:t>−202</w:t>
      </w:r>
      <w:r w:rsidR="00110FA9" w:rsidRPr="00C7300A">
        <w:rPr>
          <w:lang w:val="ru-RU"/>
        </w:rPr>
        <w:t>7</w:t>
      </w:r>
      <w:r w:rsidR="00000AF4" w:rsidRPr="00C7300A">
        <w:rPr>
          <w:lang w:val="ru-RU"/>
        </w:rPr>
        <w:t xml:space="preserve"> годов (например, инфляция, рост заработной платы, увеличение </w:t>
      </w:r>
      <w:r w:rsidR="00000AF4" w:rsidRPr="00C7300A">
        <w:rPr>
          <w:color w:val="000000"/>
          <w:lang w:val="ru-RU"/>
        </w:rPr>
        <w:t>стоимости медицинского обслуживания и т. д.</w:t>
      </w:r>
      <w:r w:rsidR="00000AF4" w:rsidRPr="00C7300A">
        <w:rPr>
          <w:lang w:val="ru-RU"/>
        </w:rPr>
        <w:t>) в данном проекте финансового плана не отражены и будут учтены, если потребуется, при подготовке бюджетов на 2024−2025 и 2026−2027 годы.</w:t>
      </w:r>
    </w:p>
    <w:p w14:paraId="266942B5" w14:textId="630DAABD" w:rsidR="00F438DC" w:rsidRPr="00C7300A" w:rsidRDefault="00F438DC" w:rsidP="00546AA7">
      <w:pPr>
        <w:pStyle w:val="Heading1"/>
        <w:rPr>
          <w:lang w:val="ru-RU"/>
        </w:rPr>
      </w:pPr>
      <w:r w:rsidRPr="00C7300A">
        <w:rPr>
          <w:lang w:val="ru-RU"/>
        </w:rPr>
        <w:t>3</w:t>
      </w:r>
      <w:r w:rsidRPr="00C7300A">
        <w:rPr>
          <w:lang w:val="ru-RU"/>
        </w:rPr>
        <w:tab/>
      </w:r>
      <w:r w:rsidR="00823D54" w:rsidRPr="00C7300A">
        <w:rPr>
          <w:lang w:val="ru-RU"/>
        </w:rPr>
        <w:t>Запланированные</w:t>
      </w:r>
      <w:r w:rsidR="00C50619" w:rsidRPr="00C7300A">
        <w:rPr>
          <w:lang w:val="ru-RU"/>
        </w:rPr>
        <w:t xml:space="preserve"> доходы и расходы</w:t>
      </w:r>
    </w:p>
    <w:p w14:paraId="2F30E8CE" w14:textId="210FD3E9" w:rsidR="00F438DC" w:rsidRPr="00C7300A" w:rsidRDefault="00F438DC" w:rsidP="00F438DC">
      <w:pPr>
        <w:rPr>
          <w:lang w:val="ru-RU"/>
        </w:rPr>
      </w:pPr>
      <w:r w:rsidRPr="00C7300A">
        <w:rPr>
          <w:lang w:val="ru-RU"/>
        </w:rPr>
        <w:t>3.1</w:t>
      </w:r>
      <w:r w:rsidRPr="00C7300A">
        <w:rPr>
          <w:lang w:val="ru-RU"/>
        </w:rPr>
        <w:tab/>
      </w:r>
      <w:r w:rsidR="009D26AF" w:rsidRPr="00C7300A">
        <w:rPr>
          <w:lang w:val="ru-RU"/>
        </w:rPr>
        <w:t>Величина п</w:t>
      </w:r>
      <w:r w:rsidR="00C50619" w:rsidRPr="00C7300A">
        <w:rPr>
          <w:lang w:val="ru-RU"/>
        </w:rPr>
        <w:t>ервоначальн</w:t>
      </w:r>
      <w:r w:rsidR="009D26AF" w:rsidRPr="00C7300A">
        <w:rPr>
          <w:lang w:val="ru-RU"/>
        </w:rPr>
        <w:t>ого</w:t>
      </w:r>
      <w:r w:rsidR="00C50619" w:rsidRPr="00C7300A">
        <w:rPr>
          <w:lang w:val="ru-RU"/>
        </w:rPr>
        <w:t xml:space="preserve"> дефицит</w:t>
      </w:r>
      <w:r w:rsidR="009D26AF" w:rsidRPr="00C7300A">
        <w:rPr>
          <w:lang w:val="ru-RU"/>
        </w:rPr>
        <w:t xml:space="preserve">а после первого сведения проекта финансового плана на </w:t>
      </w:r>
      <w:r w:rsidRPr="00C7300A">
        <w:rPr>
          <w:lang w:val="ru-RU"/>
        </w:rPr>
        <w:t>2024</w:t>
      </w:r>
      <w:r w:rsidR="009F70BA" w:rsidRPr="00C7300A">
        <w:rPr>
          <w:lang w:val="ru-RU"/>
        </w:rPr>
        <w:t>−</w:t>
      </w:r>
      <w:r w:rsidRPr="00C7300A">
        <w:rPr>
          <w:lang w:val="ru-RU"/>
        </w:rPr>
        <w:t>2027</w:t>
      </w:r>
      <w:r w:rsidR="009D26AF" w:rsidRPr="00C7300A">
        <w:rPr>
          <w:lang w:val="ru-RU"/>
        </w:rPr>
        <w:t> годы</w:t>
      </w:r>
      <w:r w:rsidRPr="00C7300A">
        <w:rPr>
          <w:lang w:val="ru-RU"/>
        </w:rPr>
        <w:t xml:space="preserve"> </w:t>
      </w:r>
      <w:r w:rsidR="009D26AF" w:rsidRPr="00C7300A">
        <w:rPr>
          <w:lang w:val="ru-RU"/>
        </w:rPr>
        <w:t xml:space="preserve">составляла </w:t>
      </w:r>
      <w:r w:rsidRPr="00C7300A">
        <w:rPr>
          <w:lang w:val="ru-RU"/>
        </w:rPr>
        <w:t>74</w:t>
      </w:r>
      <w:r w:rsidR="009D26AF" w:rsidRPr="00C7300A">
        <w:rPr>
          <w:lang w:val="ru-RU"/>
        </w:rPr>
        <w:t> </w:t>
      </w:r>
      <w:r w:rsidR="009F70BA" w:rsidRPr="00C7300A">
        <w:rPr>
          <w:lang w:val="ru-RU"/>
        </w:rPr>
        <w:t xml:space="preserve">млн. швейцарских франков </w:t>
      </w:r>
      <w:r w:rsidRPr="00C7300A">
        <w:rPr>
          <w:lang w:val="ru-RU"/>
        </w:rPr>
        <w:t>(</w:t>
      </w:r>
      <w:r w:rsidR="009D26AF" w:rsidRPr="00C7300A">
        <w:rPr>
          <w:lang w:val="ru-RU"/>
        </w:rPr>
        <w:t>с учетом исключения доли вакансий на уровне</w:t>
      </w:r>
      <w:r w:rsidRPr="00C7300A">
        <w:rPr>
          <w:lang w:val="ru-RU"/>
        </w:rPr>
        <w:t xml:space="preserve"> 5</w:t>
      </w:r>
      <w:r w:rsidR="009D26AF" w:rsidRPr="00C7300A">
        <w:rPr>
          <w:lang w:val="ru-RU"/>
        </w:rPr>
        <w:t> процентов</w:t>
      </w:r>
      <w:r w:rsidRPr="00C7300A">
        <w:rPr>
          <w:lang w:val="ru-RU"/>
        </w:rPr>
        <w:t xml:space="preserve">). </w:t>
      </w:r>
      <w:r w:rsidR="003F59DF" w:rsidRPr="00C7300A">
        <w:rPr>
          <w:lang w:val="ru-RU"/>
        </w:rPr>
        <w:t xml:space="preserve">Этот дефицит был впоследствии сокращен до </w:t>
      </w:r>
      <w:r w:rsidRPr="00C7300A">
        <w:rPr>
          <w:lang w:val="ru-RU"/>
        </w:rPr>
        <w:t>25</w:t>
      </w:r>
      <w:r w:rsidR="009F70BA" w:rsidRPr="00C7300A">
        <w:rPr>
          <w:lang w:val="ru-RU"/>
        </w:rPr>
        <w:t>,</w:t>
      </w:r>
      <w:r w:rsidRPr="00C7300A">
        <w:rPr>
          <w:lang w:val="ru-RU"/>
        </w:rPr>
        <w:t xml:space="preserve">4 </w:t>
      </w:r>
      <w:r w:rsidR="009F70BA" w:rsidRPr="00C7300A">
        <w:rPr>
          <w:lang w:val="ru-RU"/>
        </w:rPr>
        <w:t>млн. швейцарских франков</w:t>
      </w:r>
      <w:r w:rsidR="003F59DF" w:rsidRPr="00C7300A">
        <w:rPr>
          <w:lang w:val="ru-RU"/>
        </w:rPr>
        <w:t xml:space="preserve">, </w:t>
      </w:r>
      <w:r w:rsidR="001560D2" w:rsidRPr="00C7300A">
        <w:rPr>
          <w:lang w:val="ru-RU"/>
        </w:rPr>
        <w:t>как</w:t>
      </w:r>
      <w:r w:rsidR="003F59DF" w:rsidRPr="00C7300A">
        <w:rPr>
          <w:lang w:val="ru-RU"/>
        </w:rPr>
        <w:t xml:space="preserve"> был</w:t>
      </w:r>
      <w:r w:rsidR="001560D2" w:rsidRPr="00C7300A">
        <w:rPr>
          <w:lang w:val="ru-RU"/>
        </w:rPr>
        <w:t>о</w:t>
      </w:r>
      <w:r w:rsidR="003F59DF" w:rsidRPr="00C7300A">
        <w:rPr>
          <w:lang w:val="ru-RU"/>
        </w:rPr>
        <w:t xml:space="preserve"> представлен</w:t>
      </w:r>
      <w:r w:rsidR="001560D2" w:rsidRPr="00C7300A">
        <w:rPr>
          <w:lang w:val="ru-RU"/>
        </w:rPr>
        <w:t>о</w:t>
      </w:r>
      <w:r w:rsidR="003F59DF" w:rsidRPr="00C7300A">
        <w:rPr>
          <w:lang w:val="ru-RU"/>
        </w:rPr>
        <w:t xml:space="preserve"> собранию </w:t>
      </w:r>
      <w:r w:rsidR="00B23C8F" w:rsidRPr="00C7300A">
        <w:rPr>
          <w:lang w:val="ru-RU"/>
        </w:rPr>
        <w:t>Рабочей группы Совета по финансовым и людским ресурсам (РГС</w:t>
      </w:r>
      <w:r w:rsidR="00110FA9" w:rsidRPr="00C7300A">
        <w:rPr>
          <w:lang w:val="ru-RU"/>
        </w:rPr>
        <w:noBreakHyphen/>
      </w:r>
      <w:r w:rsidR="00B23C8F" w:rsidRPr="00C7300A">
        <w:rPr>
          <w:lang w:val="ru-RU"/>
        </w:rPr>
        <w:t>ФЛР)</w:t>
      </w:r>
      <w:r w:rsidRPr="00C7300A">
        <w:rPr>
          <w:lang w:val="ru-RU"/>
        </w:rPr>
        <w:t xml:space="preserve"> </w:t>
      </w:r>
      <w:r w:rsidR="009F70BA" w:rsidRPr="00C7300A">
        <w:rPr>
          <w:lang w:val="ru-RU"/>
        </w:rPr>
        <w:t xml:space="preserve">в январе </w:t>
      </w:r>
      <w:r w:rsidRPr="00C7300A">
        <w:rPr>
          <w:lang w:val="ru-RU"/>
        </w:rPr>
        <w:t>2022</w:t>
      </w:r>
      <w:r w:rsidR="00597DBA" w:rsidRPr="00C7300A">
        <w:rPr>
          <w:lang w:val="ru-RU"/>
        </w:rPr>
        <w:t> год</w:t>
      </w:r>
      <w:r w:rsidR="009F70BA" w:rsidRPr="00C7300A">
        <w:rPr>
          <w:lang w:val="ru-RU"/>
        </w:rPr>
        <w:t>а</w:t>
      </w:r>
      <w:r w:rsidRPr="00C7300A">
        <w:rPr>
          <w:lang w:val="ru-RU"/>
        </w:rPr>
        <w:t>.</w:t>
      </w:r>
    </w:p>
    <w:p w14:paraId="025FF285" w14:textId="67027820" w:rsidR="00F438DC" w:rsidRPr="00C7300A" w:rsidRDefault="00F438DC" w:rsidP="00F438DC">
      <w:pPr>
        <w:rPr>
          <w:lang w:val="ru-RU"/>
        </w:rPr>
      </w:pPr>
      <w:r w:rsidRPr="00C7300A">
        <w:rPr>
          <w:lang w:val="ru-RU"/>
        </w:rPr>
        <w:t>3.2</w:t>
      </w:r>
      <w:r w:rsidRPr="00C7300A">
        <w:rPr>
          <w:lang w:val="ru-RU"/>
        </w:rPr>
        <w:tab/>
      </w:r>
      <w:r w:rsidR="00B670D1" w:rsidRPr="00C7300A">
        <w:rPr>
          <w:lang w:val="ru-RU"/>
        </w:rPr>
        <w:t xml:space="preserve">Реализация следующих мер по повышению эффективности позволила сбалансировать проект финансового плана на </w:t>
      </w:r>
      <w:r w:rsidRPr="00C7300A">
        <w:rPr>
          <w:lang w:val="ru-RU"/>
        </w:rPr>
        <w:t>2024</w:t>
      </w:r>
      <w:r w:rsidR="009F70BA" w:rsidRPr="00C7300A">
        <w:rPr>
          <w:lang w:val="ru-RU"/>
        </w:rPr>
        <w:t>−</w:t>
      </w:r>
      <w:r w:rsidRPr="00C7300A">
        <w:rPr>
          <w:lang w:val="ru-RU"/>
        </w:rPr>
        <w:t>2027</w:t>
      </w:r>
      <w:r w:rsidR="00B670D1" w:rsidRPr="00C7300A">
        <w:rPr>
          <w:lang w:val="ru-RU"/>
        </w:rPr>
        <w:t> годы</w:t>
      </w:r>
      <w:r w:rsidRPr="00C7300A">
        <w:rPr>
          <w:lang w:val="ru-RU"/>
        </w:rPr>
        <w:t>.</w:t>
      </w:r>
    </w:p>
    <w:p w14:paraId="35E776F7" w14:textId="1A3923A5" w:rsidR="00F438DC" w:rsidRPr="00C7300A" w:rsidRDefault="00B670D1" w:rsidP="00F438DC">
      <w:pPr>
        <w:rPr>
          <w:u w:val="single"/>
          <w:lang w:val="ru-RU"/>
        </w:rPr>
      </w:pPr>
      <w:r w:rsidRPr="00C7300A">
        <w:rPr>
          <w:u w:val="single"/>
          <w:lang w:val="ru-RU"/>
        </w:rPr>
        <w:t>Расходы</w:t>
      </w:r>
      <w:r w:rsidR="00F438DC" w:rsidRPr="00C7300A">
        <w:rPr>
          <w:lang w:val="ru-RU"/>
        </w:rPr>
        <w:t>:</w:t>
      </w:r>
    </w:p>
    <w:p w14:paraId="0BCBA060" w14:textId="417E4045" w:rsidR="00F438DC" w:rsidRPr="00C7300A" w:rsidRDefault="009F70BA" w:rsidP="009F70BA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F438DC" w:rsidRPr="00C7300A">
        <w:rPr>
          <w:lang w:val="ru-RU"/>
        </w:rPr>
        <w:t>25</w:t>
      </w:r>
      <w:r w:rsidR="00B670D1" w:rsidRPr="00C7300A">
        <w:rPr>
          <w:lang w:val="ru-RU"/>
        </w:rPr>
        <w:t>-процентное среднее сокращение</w:t>
      </w:r>
      <w:r w:rsidR="00F438DC" w:rsidRPr="00C7300A">
        <w:rPr>
          <w:lang w:val="ru-RU"/>
        </w:rPr>
        <w:t xml:space="preserve"> </w:t>
      </w:r>
      <w:r w:rsidR="001A6F3C" w:rsidRPr="00C7300A">
        <w:rPr>
          <w:lang w:val="ru-RU"/>
        </w:rPr>
        <w:t>специальных соглашений об услугах</w:t>
      </w:r>
      <w:r w:rsidR="00F438DC" w:rsidRPr="00C7300A">
        <w:rPr>
          <w:lang w:val="ru-RU"/>
        </w:rPr>
        <w:t xml:space="preserve"> (SSA)</w:t>
      </w:r>
      <w:r w:rsidR="001A6F3C" w:rsidRPr="00C7300A">
        <w:rPr>
          <w:lang w:val="ru-RU"/>
        </w:rPr>
        <w:t>;</w:t>
      </w:r>
    </w:p>
    <w:p w14:paraId="1DD447A9" w14:textId="400264AA" w:rsidR="00F438DC" w:rsidRPr="00C7300A" w:rsidRDefault="009F70BA" w:rsidP="009F70BA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F438DC" w:rsidRPr="00C7300A">
        <w:rPr>
          <w:lang w:val="ru-RU"/>
        </w:rPr>
        <w:t>25</w:t>
      </w:r>
      <w:r w:rsidR="00B670D1" w:rsidRPr="00C7300A">
        <w:rPr>
          <w:lang w:val="ru-RU"/>
        </w:rPr>
        <w:t xml:space="preserve">-процентное </w:t>
      </w:r>
      <w:r w:rsidR="001A6F3C" w:rsidRPr="00C7300A">
        <w:rPr>
          <w:lang w:val="ru-RU"/>
        </w:rPr>
        <w:t xml:space="preserve">среднее </w:t>
      </w:r>
      <w:r w:rsidR="00B670D1" w:rsidRPr="00C7300A">
        <w:rPr>
          <w:lang w:val="ru-RU"/>
        </w:rPr>
        <w:t>сокращение</w:t>
      </w:r>
      <w:r w:rsidR="00F438DC" w:rsidRPr="00C7300A">
        <w:rPr>
          <w:lang w:val="ru-RU"/>
        </w:rPr>
        <w:t xml:space="preserve"> </w:t>
      </w:r>
      <w:r w:rsidR="001A6F3C" w:rsidRPr="00C7300A">
        <w:rPr>
          <w:lang w:val="ru-RU"/>
        </w:rPr>
        <w:t>путевых затрат;</w:t>
      </w:r>
    </w:p>
    <w:p w14:paraId="73CDEE7D" w14:textId="0448115C" w:rsidR="00F438DC" w:rsidRPr="00C7300A" w:rsidRDefault="009F70BA" w:rsidP="009F70BA">
      <w:pPr>
        <w:pStyle w:val="enumlev1"/>
        <w:rPr>
          <w:lang w:val="ru-RU"/>
        </w:rPr>
      </w:pPr>
      <w:r w:rsidRPr="00C7300A">
        <w:rPr>
          <w:lang w:val="ru-RU"/>
        </w:rPr>
        <w:lastRenderedPageBreak/>
        <w:t>•</w:t>
      </w:r>
      <w:r w:rsidRPr="00C7300A">
        <w:rPr>
          <w:lang w:val="ru-RU"/>
        </w:rPr>
        <w:tab/>
      </w:r>
      <w:r w:rsidR="00F438DC" w:rsidRPr="00C7300A">
        <w:rPr>
          <w:lang w:val="ru-RU"/>
        </w:rPr>
        <w:t>20</w:t>
      </w:r>
      <w:r w:rsidR="00B670D1" w:rsidRPr="00C7300A">
        <w:rPr>
          <w:lang w:val="ru-RU"/>
        </w:rPr>
        <w:t>-процентное сокращение</w:t>
      </w:r>
      <w:r w:rsidR="00F438DC" w:rsidRPr="00C7300A">
        <w:rPr>
          <w:lang w:val="ru-RU"/>
        </w:rPr>
        <w:t xml:space="preserve"> </w:t>
      </w:r>
      <w:r w:rsidR="001A6F3C" w:rsidRPr="00C7300A">
        <w:rPr>
          <w:lang w:val="ru-RU"/>
        </w:rPr>
        <w:t>стоимости/объема документации;</w:t>
      </w:r>
    </w:p>
    <w:p w14:paraId="3E433848" w14:textId="15609A26" w:rsidR="00F438DC" w:rsidRPr="00C7300A" w:rsidRDefault="009F70BA" w:rsidP="009F70BA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1A6F3C" w:rsidRPr="00C7300A">
        <w:rPr>
          <w:lang w:val="ru-RU"/>
        </w:rPr>
        <w:t>сокращение количества печатающих устройств в МСЭ и переход на управляемую службу печати;</w:t>
      </w:r>
    </w:p>
    <w:p w14:paraId="33D2FA33" w14:textId="1C27DC27" w:rsidR="00F438DC" w:rsidRPr="00C7300A" w:rsidRDefault="009F70BA" w:rsidP="009F70BA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1A6F3C" w:rsidRPr="00C7300A">
        <w:rPr>
          <w:lang w:val="ru-RU"/>
        </w:rPr>
        <w:t>отказ от стационарных телефонов</w:t>
      </w:r>
      <w:r w:rsidR="00053774" w:rsidRPr="00C7300A">
        <w:rPr>
          <w:lang w:val="ru-RU"/>
        </w:rPr>
        <w:t xml:space="preserve"> путем продолжения использования платформы</w:t>
      </w:r>
      <w:r w:rsidR="00F438DC" w:rsidRPr="00C7300A">
        <w:rPr>
          <w:lang w:val="ru-RU"/>
        </w:rPr>
        <w:t xml:space="preserve"> Microsoft Teams </w:t>
      </w:r>
      <w:r w:rsidR="00053774" w:rsidRPr="00C7300A">
        <w:rPr>
          <w:lang w:val="ru-RU"/>
        </w:rPr>
        <w:t>в качестве</w:t>
      </w:r>
      <w:r w:rsidR="00F438DC" w:rsidRPr="00C7300A">
        <w:rPr>
          <w:lang w:val="ru-RU"/>
        </w:rPr>
        <w:t xml:space="preserve"> </w:t>
      </w:r>
      <w:r w:rsidR="00053774" w:rsidRPr="00C7300A">
        <w:rPr>
          <w:lang w:val="ru-RU"/>
        </w:rPr>
        <w:t>программных телефонов (софт-телефонов);</w:t>
      </w:r>
    </w:p>
    <w:p w14:paraId="3FD53A6A" w14:textId="7967C0E2" w:rsidR="00F438DC" w:rsidRPr="00C7300A" w:rsidRDefault="009F70BA" w:rsidP="009F70BA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053774" w:rsidRPr="00C7300A">
        <w:rPr>
          <w:lang w:val="ru-RU"/>
        </w:rPr>
        <w:t xml:space="preserve">введение постепенного </w:t>
      </w:r>
      <w:r w:rsidR="00330002" w:rsidRPr="00C7300A">
        <w:rPr>
          <w:lang w:val="ru-RU"/>
        </w:rPr>
        <w:t>всеобщего</w:t>
      </w:r>
      <w:r w:rsidR="00053774" w:rsidRPr="00C7300A">
        <w:rPr>
          <w:lang w:val="ru-RU"/>
        </w:rPr>
        <w:t xml:space="preserve"> сокращения на </w:t>
      </w:r>
      <w:r w:rsidR="00F438DC" w:rsidRPr="00C7300A">
        <w:rPr>
          <w:lang w:val="ru-RU"/>
        </w:rPr>
        <w:t>17</w:t>
      </w:r>
      <w:r w:rsidR="00771EDF" w:rsidRPr="00C7300A">
        <w:rPr>
          <w:lang w:val="ru-RU"/>
        </w:rPr>
        <w:t> млн. швейцарских франков</w:t>
      </w:r>
      <w:r w:rsidR="00F438DC" w:rsidRPr="00C7300A">
        <w:rPr>
          <w:lang w:val="ru-RU"/>
        </w:rPr>
        <w:t xml:space="preserve"> </w:t>
      </w:r>
      <w:r w:rsidR="00053774" w:rsidRPr="00C7300A">
        <w:rPr>
          <w:lang w:val="ru-RU"/>
        </w:rPr>
        <w:t>в</w:t>
      </w:r>
      <w:r w:rsidR="00266328" w:rsidRPr="00C7300A">
        <w:rPr>
          <w:lang w:val="ru-RU"/>
        </w:rPr>
        <w:t> </w:t>
      </w:r>
      <w:r w:rsidR="00053774" w:rsidRPr="00C7300A">
        <w:rPr>
          <w:lang w:val="ru-RU"/>
        </w:rPr>
        <w:t xml:space="preserve">течение периода </w:t>
      </w:r>
      <w:r w:rsidR="00F438DC" w:rsidRPr="00C7300A">
        <w:rPr>
          <w:lang w:val="ru-RU"/>
        </w:rPr>
        <w:t>2024</w:t>
      </w:r>
      <w:r w:rsidR="00053774" w:rsidRPr="00C7300A">
        <w:rPr>
          <w:lang w:val="ru-RU"/>
        </w:rPr>
        <w:t>–</w:t>
      </w:r>
      <w:r w:rsidR="00F438DC" w:rsidRPr="00C7300A">
        <w:rPr>
          <w:lang w:val="ru-RU"/>
        </w:rPr>
        <w:t>2027</w:t>
      </w:r>
      <w:r w:rsidR="00053774" w:rsidRPr="00C7300A">
        <w:rPr>
          <w:lang w:val="ru-RU"/>
        </w:rPr>
        <w:t xml:space="preserve"> годов, которое будет реализовано </w:t>
      </w:r>
      <w:r w:rsidR="007A5E37" w:rsidRPr="00C7300A">
        <w:rPr>
          <w:lang w:val="ru-RU"/>
        </w:rPr>
        <w:t>благодаря введению разнообразных мер, таких как пересмотр навыков, необходимых для поддержки оперативной цифровой трансформации</w:t>
      </w:r>
      <w:r w:rsidR="00F438DC" w:rsidRPr="00C7300A">
        <w:rPr>
          <w:lang w:val="ru-RU"/>
        </w:rPr>
        <w:t xml:space="preserve">, </w:t>
      </w:r>
      <w:r w:rsidR="007A5E37" w:rsidRPr="00C7300A">
        <w:rPr>
          <w:lang w:val="ru-RU"/>
        </w:rPr>
        <w:t>оптимизация, рационализация и возможная централизация услуг</w:t>
      </w:r>
      <w:r w:rsidR="00F438DC" w:rsidRPr="00C7300A">
        <w:rPr>
          <w:lang w:val="ru-RU"/>
        </w:rPr>
        <w:t xml:space="preserve"> (</w:t>
      </w:r>
      <w:r w:rsidR="007A5E37" w:rsidRPr="00C7300A">
        <w:rPr>
          <w:lang w:val="ru-RU"/>
        </w:rPr>
        <w:t>управление конференциями</w:t>
      </w:r>
      <w:r w:rsidR="00F438DC" w:rsidRPr="00C7300A">
        <w:rPr>
          <w:lang w:val="ru-RU"/>
        </w:rPr>
        <w:t xml:space="preserve">, </w:t>
      </w:r>
      <w:r w:rsidR="007A5E37" w:rsidRPr="00C7300A">
        <w:rPr>
          <w:lang w:val="ru-RU"/>
        </w:rPr>
        <w:t>коммуникация</w:t>
      </w:r>
      <w:r w:rsidR="00F438DC" w:rsidRPr="00C7300A">
        <w:rPr>
          <w:lang w:val="ru-RU"/>
        </w:rPr>
        <w:t xml:space="preserve">, </w:t>
      </w:r>
      <w:r w:rsidR="007A5E37" w:rsidRPr="00C7300A">
        <w:rPr>
          <w:lang w:val="ru-RU"/>
        </w:rPr>
        <w:t>управления ЛР</w:t>
      </w:r>
      <w:r w:rsidR="00F438DC" w:rsidRPr="00C7300A">
        <w:rPr>
          <w:lang w:val="ru-RU"/>
        </w:rPr>
        <w:t xml:space="preserve">…), </w:t>
      </w:r>
      <w:r w:rsidR="007A5E37" w:rsidRPr="00C7300A">
        <w:rPr>
          <w:lang w:val="ru-RU"/>
        </w:rPr>
        <w:t>устранения теневых ИТ</w:t>
      </w:r>
      <w:r w:rsidR="00F438DC" w:rsidRPr="00C7300A">
        <w:rPr>
          <w:lang w:val="ru-RU"/>
        </w:rPr>
        <w:t xml:space="preserve">, </w:t>
      </w:r>
      <w:r w:rsidR="007A5E37" w:rsidRPr="00C7300A">
        <w:rPr>
          <w:lang w:val="ru-RU"/>
        </w:rPr>
        <w:t>сокращение или даже исключение низкоприоритетных видов деятельности</w:t>
      </w:r>
      <w:r w:rsidR="00F438DC" w:rsidRPr="00C7300A">
        <w:rPr>
          <w:lang w:val="ru-RU"/>
        </w:rPr>
        <w:t xml:space="preserve">, </w:t>
      </w:r>
      <w:r w:rsidR="007A5E37" w:rsidRPr="00C7300A">
        <w:rPr>
          <w:lang w:val="ru-RU"/>
        </w:rPr>
        <w:t>перемещение ряда услуг/видов деятельности и т. д</w:t>
      </w:r>
      <w:r w:rsidR="00F438DC" w:rsidRPr="00C7300A">
        <w:rPr>
          <w:lang w:val="ru-RU"/>
        </w:rPr>
        <w:t>.</w:t>
      </w:r>
    </w:p>
    <w:p w14:paraId="722EBDB6" w14:textId="7C9601E6" w:rsidR="00F438DC" w:rsidRPr="00C7300A" w:rsidRDefault="006234B1" w:rsidP="00F438DC">
      <w:pPr>
        <w:rPr>
          <w:u w:val="single"/>
          <w:lang w:val="ru-RU"/>
        </w:rPr>
      </w:pPr>
      <w:r w:rsidRPr="00C7300A">
        <w:rPr>
          <w:u w:val="single"/>
          <w:lang w:val="ru-RU"/>
        </w:rPr>
        <w:t>Доходы</w:t>
      </w:r>
      <w:r w:rsidR="00F438DC" w:rsidRPr="00C7300A">
        <w:rPr>
          <w:lang w:val="ru-RU"/>
        </w:rPr>
        <w:t>:</w:t>
      </w:r>
    </w:p>
    <w:p w14:paraId="0630DAB8" w14:textId="3FBD68E7" w:rsidR="00F438DC" w:rsidRPr="00C7300A" w:rsidRDefault="009F70BA" w:rsidP="009F70BA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6234B1" w:rsidRPr="00C7300A">
        <w:rPr>
          <w:lang w:val="ru-RU"/>
        </w:rPr>
        <w:t xml:space="preserve">увеличение доходов от продажи публикаций благодаря новому формату, контенту и </w:t>
      </w:r>
      <w:r w:rsidR="0034587E" w:rsidRPr="00C7300A">
        <w:rPr>
          <w:lang w:val="ru-RU"/>
        </w:rPr>
        <w:t>каналам распространения</w:t>
      </w:r>
      <w:r w:rsidR="006234B1" w:rsidRPr="00C7300A">
        <w:rPr>
          <w:lang w:val="ru-RU"/>
        </w:rPr>
        <w:t xml:space="preserve"> публикаций МСЭ;</w:t>
      </w:r>
    </w:p>
    <w:p w14:paraId="1B437207" w14:textId="599DEDBE" w:rsidR="00F438DC" w:rsidRPr="00C7300A" w:rsidRDefault="009F70BA" w:rsidP="009F70BA">
      <w:pPr>
        <w:pStyle w:val="enumlev1"/>
        <w:rPr>
          <w:lang w:val="ru-RU"/>
        </w:rPr>
      </w:pPr>
      <w:r w:rsidRPr="00C7300A">
        <w:rPr>
          <w:lang w:val="ru-RU"/>
        </w:rPr>
        <w:t>•</w:t>
      </w:r>
      <w:r w:rsidRPr="00C7300A">
        <w:rPr>
          <w:lang w:val="ru-RU"/>
        </w:rPr>
        <w:tab/>
      </w:r>
      <w:r w:rsidR="006234B1" w:rsidRPr="00C7300A">
        <w:rPr>
          <w:lang w:val="ru-RU"/>
        </w:rPr>
        <w:t>постепенная мобилизация ресурсов для совместного финансирования регулярных видов деятельности, а также пересмотр и модернизация возмещения затрат по линии публикаций, программного обеспечения</w:t>
      </w:r>
      <w:r w:rsidR="00F438DC" w:rsidRPr="00C7300A">
        <w:rPr>
          <w:lang w:val="ru-RU"/>
        </w:rPr>
        <w:t>.</w:t>
      </w:r>
    </w:p>
    <w:p w14:paraId="057A3E54" w14:textId="32E09E33" w:rsidR="00F438DC" w:rsidRPr="00C7300A" w:rsidRDefault="00F438DC" w:rsidP="00F438DC">
      <w:pPr>
        <w:rPr>
          <w:lang w:val="ru-RU"/>
        </w:rPr>
      </w:pPr>
      <w:r w:rsidRPr="00C7300A">
        <w:rPr>
          <w:lang w:val="ru-RU"/>
        </w:rPr>
        <w:t>3.3</w:t>
      </w:r>
      <w:r w:rsidRPr="00C7300A">
        <w:rPr>
          <w:lang w:val="ru-RU"/>
        </w:rPr>
        <w:tab/>
      </w:r>
      <w:r w:rsidR="006234B1" w:rsidRPr="00C7300A">
        <w:rPr>
          <w:lang w:val="ru-RU"/>
        </w:rPr>
        <w:t>В Таблице </w:t>
      </w:r>
      <w:r w:rsidRPr="00C7300A">
        <w:rPr>
          <w:lang w:val="ru-RU"/>
        </w:rPr>
        <w:t>1</w:t>
      </w:r>
      <w:r w:rsidR="006234B1" w:rsidRPr="00C7300A">
        <w:rPr>
          <w:lang w:val="ru-RU"/>
        </w:rPr>
        <w:t>, ниже, представлен</w:t>
      </w:r>
      <w:r w:rsidR="006F79A7" w:rsidRPr="00C7300A">
        <w:rPr>
          <w:lang w:val="ru-RU"/>
        </w:rPr>
        <w:t>ы</w:t>
      </w:r>
      <w:r w:rsidR="006234B1" w:rsidRPr="00C7300A">
        <w:rPr>
          <w:lang w:val="ru-RU"/>
        </w:rPr>
        <w:t xml:space="preserve"> </w:t>
      </w:r>
      <w:r w:rsidR="00823D54" w:rsidRPr="00C7300A">
        <w:rPr>
          <w:lang w:val="ru-RU"/>
        </w:rPr>
        <w:t>запланированные</w:t>
      </w:r>
      <w:r w:rsidR="006234B1" w:rsidRPr="00C7300A">
        <w:rPr>
          <w:lang w:val="ru-RU"/>
        </w:rPr>
        <w:t xml:space="preserve"> </w:t>
      </w:r>
      <w:r w:rsidR="00823D54" w:rsidRPr="00C7300A">
        <w:rPr>
          <w:lang w:val="ru-RU"/>
        </w:rPr>
        <w:t xml:space="preserve">расходы на </w:t>
      </w:r>
      <w:r w:rsidR="00771EDF" w:rsidRPr="00C7300A">
        <w:rPr>
          <w:lang w:val="ru-RU"/>
        </w:rPr>
        <w:t>2024−</w:t>
      </w:r>
      <w:r w:rsidRPr="00C7300A">
        <w:rPr>
          <w:lang w:val="ru-RU"/>
        </w:rPr>
        <w:t>2027</w:t>
      </w:r>
      <w:r w:rsidR="00823D54" w:rsidRPr="00C7300A">
        <w:rPr>
          <w:lang w:val="ru-RU"/>
        </w:rPr>
        <w:t xml:space="preserve"> годы в разбивке по Секторам и сравнение с бюджетами и финансовым планом на </w:t>
      </w:r>
      <w:r w:rsidRPr="00C7300A">
        <w:rPr>
          <w:lang w:val="ru-RU"/>
        </w:rPr>
        <w:t>2020</w:t>
      </w:r>
      <w:r w:rsidR="00771EDF" w:rsidRPr="00C7300A">
        <w:rPr>
          <w:lang w:val="ru-RU"/>
        </w:rPr>
        <w:t>−</w:t>
      </w:r>
      <w:r w:rsidRPr="00C7300A">
        <w:rPr>
          <w:lang w:val="ru-RU"/>
        </w:rPr>
        <w:t>2023</w:t>
      </w:r>
      <w:r w:rsidR="00823D54" w:rsidRPr="00C7300A">
        <w:rPr>
          <w:lang w:val="ru-RU"/>
        </w:rPr>
        <w:t> годы</w:t>
      </w:r>
      <w:r w:rsidRPr="00C7300A">
        <w:rPr>
          <w:lang w:val="ru-RU"/>
        </w:rPr>
        <w:t>.</w:t>
      </w:r>
    </w:p>
    <w:p w14:paraId="7125FEDF" w14:textId="3C6B318E" w:rsidR="00064579" w:rsidRPr="00C7300A" w:rsidRDefault="00823D54" w:rsidP="002A04A8">
      <w:pPr>
        <w:pStyle w:val="Headingb"/>
        <w:spacing w:before="360"/>
        <w:jc w:val="center"/>
        <w:rPr>
          <w:color w:val="002060"/>
          <w:lang w:val="ru-RU" w:eastAsia="en-GB"/>
        </w:rPr>
      </w:pPr>
      <w:bookmarkStart w:id="4" w:name="dc06"/>
      <w:bookmarkEnd w:id="4"/>
      <w:r w:rsidRPr="00C7300A">
        <w:rPr>
          <w:color w:val="002060"/>
          <w:lang w:val="ru-RU" w:eastAsia="en-GB"/>
        </w:rPr>
        <w:t xml:space="preserve">Финансовый план на </w:t>
      </w:r>
      <w:r w:rsidR="00064579" w:rsidRPr="00C7300A">
        <w:rPr>
          <w:color w:val="002060"/>
          <w:lang w:val="ru-RU" w:eastAsia="en-GB"/>
        </w:rPr>
        <w:t>2024−2027</w:t>
      </w:r>
      <w:r w:rsidRPr="00C7300A">
        <w:rPr>
          <w:color w:val="002060"/>
          <w:lang w:val="ru-RU" w:eastAsia="en-GB"/>
        </w:rPr>
        <w:t xml:space="preserve"> годы </w:t>
      </w:r>
      <w:r w:rsidRPr="00C7300A">
        <w:rPr>
          <w:color w:val="002060"/>
          <w:lang w:val="ru-RU" w:eastAsia="en-GB"/>
        </w:rPr>
        <w:br/>
        <w:t xml:space="preserve">в сравнении с обновленными финансовым планом и бюджетами на </w:t>
      </w:r>
      <w:r w:rsidR="00064579" w:rsidRPr="00C7300A">
        <w:rPr>
          <w:color w:val="002060"/>
          <w:lang w:val="ru-RU" w:eastAsia="en-GB"/>
        </w:rPr>
        <w:t>2020</w:t>
      </w:r>
      <w:r w:rsidR="00F63F9B" w:rsidRPr="00C7300A">
        <w:rPr>
          <w:color w:val="002060"/>
          <w:lang w:val="ru-RU" w:eastAsia="en-GB"/>
        </w:rPr>
        <w:t>−</w:t>
      </w:r>
      <w:r w:rsidR="00064579" w:rsidRPr="00C7300A">
        <w:rPr>
          <w:color w:val="002060"/>
          <w:lang w:val="ru-RU" w:eastAsia="en-GB"/>
        </w:rPr>
        <w:t>2023</w:t>
      </w:r>
      <w:r w:rsidRPr="00C7300A">
        <w:rPr>
          <w:color w:val="002060"/>
          <w:lang w:val="ru-RU" w:eastAsia="en-GB"/>
        </w:rPr>
        <w:t> годы</w:t>
      </w:r>
    </w:p>
    <w:p w14:paraId="2C8889E3" w14:textId="079FF7EA" w:rsidR="00064579" w:rsidRPr="00C7300A" w:rsidRDefault="00064579" w:rsidP="002A04A8">
      <w:pPr>
        <w:pStyle w:val="TableNo"/>
        <w:spacing w:before="240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>Таблица 1</w:t>
      </w:r>
    </w:p>
    <w:p w14:paraId="1EF679DE" w14:textId="6F9B7EB0" w:rsidR="006D7678" w:rsidRPr="00C7300A" w:rsidRDefault="00823D54" w:rsidP="006D7678">
      <w:pPr>
        <w:pStyle w:val="Tabletitle"/>
        <w:jc w:val="left"/>
        <w:rPr>
          <w:lang w:val="ru-RU" w:eastAsia="en-GB"/>
        </w:rPr>
      </w:pPr>
      <w:r w:rsidRPr="00C7300A">
        <w:rPr>
          <w:rFonts w:cs="Calibri"/>
          <w:bCs/>
          <w:i/>
          <w:iCs/>
          <w:color w:val="002060"/>
          <w:szCs w:val="22"/>
          <w:lang w:val="ru-RU" w:eastAsia="en-GB"/>
        </w:rPr>
        <w:t>Расходы в разбивке по Секторам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201"/>
        <w:gridCol w:w="1330"/>
        <w:gridCol w:w="1302"/>
      </w:tblGrid>
      <w:tr w:rsidR="00064579" w:rsidRPr="00C7300A" w14:paraId="3F52072A" w14:textId="77777777" w:rsidTr="00F10E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84E2" w14:textId="49F37E6B" w:rsidR="00064579" w:rsidRPr="00C7300A" w:rsidRDefault="00064579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i/>
                <w:iCs/>
                <w:color w:val="002060"/>
                <w:szCs w:val="22"/>
                <w:lang w:val="ru-RU" w:eastAsia="en-GB"/>
              </w:rPr>
            </w:pPr>
          </w:p>
        </w:tc>
        <w:tc>
          <w:tcPr>
            <w:tcW w:w="6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AF89" w14:textId="3CE9408F" w:rsidR="00064579" w:rsidRPr="00C7300A" w:rsidRDefault="00086A61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1922C7" wp14:editId="4BC4D6B7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92075</wp:posOffset>
                      </wp:positionV>
                      <wp:extent cx="827405" cy="2837815"/>
                      <wp:effectExtent l="0" t="0" r="10795" b="19685"/>
                      <wp:wrapNone/>
                      <wp:docPr id="4" name="Rectangle: Rounded Corners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1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837815"/>
                              </a:xfrm>
                              <a:prstGeom prst="roundRect">
                                <a:avLst>
                                  <a:gd name="adj" fmla="val 4898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2BF16F" id="Rectangle: Rounded Corners 4" o:spid="_x0000_s1026" style="position:absolute;margin-left:262.55pt;margin-top:7.25pt;width:65.15pt;height:2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" filled="f" strokecolor="#0070c0" strokeweight="1pt"/>
                  </w:pict>
                </mc:Fallback>
              </mc:AlternateContent>
            </w:r>
            <w:r w:rsidR="00C7300A"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581138" wp14:editId="24F20C86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74930</wp:posOffset>
                      </wp:positionV>
                      <wp:extent cx="827405" cy="2863850"/>
                      <wp:effectExtent l="0" t="0" r="10795" b="12700"/>
                      <wp:wrapNone/>
                      <wp:docPr id="1" name="Rectangle: Rounded Corners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863850"/>
                              </a:xfrm>
                              <a:prstGeom prst="roundRect">
                                <a:avLst>
                                  <a:gd name="adj" fmla="val 48980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B66F62" id="Rectangle: Rounded Corners 1" o:spid="_x0000_s1026" style="position:absolute;margin-left:197.35pt;margin-top:5.9pt;width:65.15pt;height:2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" filled="f" strokecolor="#c00000" strokeweight="1pt"/>
                  </w:pict>
                </mc:Fallback>
              </mc:AlternateContent>
            </w:r>
            <w:r w:rsidR="00F63F9B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 xml:space="preserve">тыс. </w:t>
            </w:r>
            <w:r w:rsidR="00064579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шв. фр.</w:t>
            </w:r>
          </w:p>
        </w:tc>
      </w:tr>
      <w:tr w:rsidR="00E71FE9" w:rsidRPr="003138CC" w14:paraId="4D36BBF5" w14:textId="77777777" w:rsidTr="00342C24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78CC" w14:textId="77777777" w:rsidR="00E71FE9" w:rsidRPr="00C7300A" w:rsidRDefault="00E71FE9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Cs w:val="22"/>
                <w:lang w:val="ru-RU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41BC7" w14:textId="199E2205" w:rsidR="00E71FE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Обновленный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="00823D54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инансовый план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2020−2023 гг.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69D3" w14:textId="0760877D" w:rsidR="00E71FE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Обновленные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="00823D54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б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юджеты</w:t>
            </w:r>
            <w:r w:rsidR="00330002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2020−2021 гг. и 2022−2023 гг.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9A96E6" w14:textId="5BC7865A" w:rsidR="00E71FE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Финансовый план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2024−2027 гг.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BC7D4" w14:textId="53806BA8" w:rsidR="00E71FE9" w:rsidRPr="00C7300A" w:rsidRDefault="006D7678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с ФП</w:t>
            </w:r>
            <w:r w:rsidR="0059550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2020−2023 гг.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DD46C" w14:textId="2C4548D6" w:rsidR="00E71FE9" w:rsidRPr="00C7300A" w:rsidRDefault="006D7678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с бюджетами</w:t>
            </w:r>
            <w:r w:rsidR="00330002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2020−2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21</w:t>
            </w:r>
            <w:r w:rsidR="00330002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1507CC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гг. 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и 2022−2023</w:t>
            </w:r>
            <w:r w:rsidR="00330002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гг.</w:t>
            </w:r>
          </w:p>
        </w:tc>
      </w:tr>
      <w:tr w:rsidR="00064579" w:rsidRPr="00C7300A" w14:paraId="1F77ED93" w14:textId="77777777" w:rsidTr="00342C24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630F" w14:textId="77777777" w:rsidR="00064579" w:rsidRPr="00C7300A" w:rsidRDefault="00064579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Генеральный секретариат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ED99" w14:textId="1C0DD731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359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D46F" w14:textId="172C2ED5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360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697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E27599" w14:textId="3D06F583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368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315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4C64F2B" w14:textId="305AB733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9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66D7DD44" w14:textId="2B9825EF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7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618</w:t>
            </w:r>
          </w:p>
        </w:tc>
      </w:tr>
      <w:tr w:rsidR="00064579" w:rsidRPr="00C7300A" w14:paraId="3F8B1F50" w14:textId="77777777" w:rsidTr="00F10E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546F" w14:textId="77777777" w:rsidR="00064579" w:rsidRPr="00C7300A" w:rsidRDefault="00064579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Сектор радиосвязи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1930" w14:textId="5D1B42D6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123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31BC" w14:textId="1D4C38BE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120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865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D0ED755" w14:textId="15FE2CF8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121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497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D67B025" w14:textId="7777F28D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634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DDD543C" w14:textId="77777777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632</w:t>
            </w:r>
          </w:p>
        </w:tc>
      </w:tr>
      <w:tr w:rsidR="00064579" w:rsidRPr="00C7300A" w14:paraId="1627233F" w14:textId="77777777" w:rsidTr="00F10E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5915" w14:textId="77777777" w:rsidR="00064579" w:rsidRPr="00C7300A" w:rsidRDefault="00064579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Сектор стандартизации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4170" w14:textId="7B221EAF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54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321E" w14:textId="0C17984D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54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072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2A466DD" w14:textId="5D48737E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54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430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080B0E72" w14:textId="75B780AB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530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B35DCF1" w14:textId="77777777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358</w:t>
            </w:r>
          </w:p>
        </w:tc>
      </w:tr>
      <w:tr w:rsidR="00064579" w:rsidRPr="00C7300A" w14:paraId="00815CDF" w14:textId="77777777" w:rsidTr="00F10E3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BF8B" w14:textId="77777777" w:rsidR="00064579" w:rsidRPr="00C7300A" w:rsidRDefault="00064579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Сектор развития электросвязи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3C31" w14:textId="343C3553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116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1804" w14:textId="36205E20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115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565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81420BA" w14:textId="16B87BB0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112</w:t>
            </w:r>
            <w:r w:rsidR="00E71FE9"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color w:val="002060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77386026" w14:textId="492AA816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3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411*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8CD972D" w14:textId="3976F15C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960</w:t>
            </w:r>
          </w:p>
        </w:tc>
      </w:tr>
      <w:tr w:rsidR="00064579" w:rsidRPr="00C7300A" w14:paraId="2D376BF4" w14:textId="77777777" w:rsidTr="00342C24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1E2A" w14:textId="14AA80AC" w:rsidR="00064579" w:rsidRPr="00C7300A" w:rsidRDefault="00330002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Постепенное всеобще</w:t>
            </w:r>
            <w:r w:rsidR="00355877" w:rsidRPr="00C7300A">
              <w:rPr>
                <w:rFonts w:cs="Calibri"/>
                <w:sz w:val="18"/>
                <w:szCs w:val="18"/>
                <w:lang w:val="ru-RU" w:eastAsia="en-GB"/>
              </w:rPr>
              <w:t>е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 xml:space="preserve"> сокращение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09D2" w14:textId="77777777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FB1F5" w14:textId="77777777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BFAB05C" w14:textId="21F93209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17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B4CA7A4" w14:textId="7682A61C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17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6C81FE9" w14:textId="4F76C05B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17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000</w:t>
            </w:r>
          </w:p>
        </w:tc>
      </w:tr>
      <w:tr w:rsidR="00064579" w:rsidRPr="00C7300A" w14:paraId="07B95588" w14:textId="77777777" w:rsidTr="00342C24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B860" w14:textId="19ADA146" w:rsidR="00064579" w:rsidRPr="00C7300A" w:rsidRDefault="003B421E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ВСЕГО,</w:t>
            </w:r>
            <w:r w:rsidR="00330002"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0D4B" w14:textId="71F69CA3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653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EEF4" w14:textId="7177203E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651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199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3AF863" w14:textId="27DEF07E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639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847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257971A" w14:textId="310542CF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13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404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354C8F92" w14:textId="15BD36CE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11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352</w:t>
            </w:r>
          </w:p>
        </w:tc>
      </w:tr>
      <w:tr w:rsidR="00064579" w:rsidRPr="00C7300A" w14:paraId="0E16E1A4" w14:textId="77777777" w:rsidTr="00342C24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06F7" w14:textId="492C16BF" w:rsidR="00064579" w:rsidRPr="00C7300A" w:rsidRDefault="003B421E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ВСЕГО,</w:t>
            </w:r>
            <w:r w:rsidR="00330002"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F134A" w14:textId="0A039FA2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653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3C48A" w14:textId="21CD4F70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651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3E7C6FC" w14:textId="636F5329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639</w:t>
            </w:r>
            <w:r w:rsidR="00E71FE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847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DC99E1F" w14:textId="7F95CCC1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13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404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AC3C661" w14:textId="2AE83959" w:rsidR="00064579" w:rsidRPr="00C7300A" w:rsidRDefault="00E71FE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11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064579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352</w:t>
            </w:r>
          </w:p>
        </w:tc>
      </w:tr>
      <w:tr w:rsidR="00064579" w:rsidRPr="00C7300A" w14:paraId="41088455" w14:textId="77777777" w:rsidTr="00FC6CD6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FE83" w14:textId="211FE7EE" w:rsidR="00064579" w:rsidRPr="00C7300A" w:rsidRDefault="00330002" w:rsidP="000645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A854" w14:textId="77777777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075F5" w14:textId="77777777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71A10DF" w14:textId="77777777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E05FED2" w14:textId="77777777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70DA6E4" w14:textId="77777777" w:rsidR="00064579" w:rsidRPr="00C7300A" w:rsidRDefault="00064579" w:rsidP="00E71F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0</w:t>
            </w:r>
          </w:p>
        </w:tc>
      </w:tr>
      <w:tr w:rsidR="00FD22D8" w:rsidRPr="00C7300A" w14:paraId="4E744CEC" w14:textId="77777777" w:rsidTr="00FC6CD6">
        <w:tc>
          <w:tcPr>
            <w:tcW w:w="9645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2017F0F" w14:textId="76189336" w:rsidR="00FD22D8" w:rsidRPr="00C7300A" w:rsidRDefault="00FD22D8" w:rsidP="00FD22D8">
            <w:pPr>
              <w:pStyle w:val="Tablelegend"/>
              <w:spacing w:before="240"/>
              <w:ind w:left="284" w:hanging="284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*</w:t>
            </w:r>
            <w:r w:rsidRPr="00C7300A">
              <w:rPr>
                <w:lang w:val="ru-RU" w:eastAsia="en-GB"/>
              </w:rPr>
              <w:tab/>
            </w:r>
            <w:r w:rsidR="0053383B" w:rsidRPr="00C7300A">
              <w:rPr>
                <w:lang w:val="ru-RU" w:eastAsia="en-GB"/>
              </w:rPr>
              <w:t>Разовые</w:t>
            </w:r>
            <w:r w:rsidR="009F1A49" w:rsidRPr="00C7300A">
              <w:rPr>
                <w:lang w:val="ru-RU" w:eastAsia="en-GB"/>
              </w:rPr>
              <w:t xml:space="preserve"> ассигнования в размере </w:t>
            </w:r>
            <w:r w:rsidRPr="00C7300A">
              <w:rPr>
                <w:lang w:val="ru-RU" w:eastAsia="en-GB"/>
              </w:rPr>
              <w:t>3</w:t>
            </w:r>
            <w:r w:rsidR="006E3C7B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 xml:space="preserve">млн. швейцарских франков </w:t>
            </w:r>
            <w:r w:rsidR="009F1A49" w:rsidRPr="00C7300A">
              <w:rPr>
                <w:lang w:val="ru-RU" w:eastAsia="en-GB"/>
              </w:rPr>
              <w:t>на региональные инициативы</w:t>
            </w:r>
            <w:r w:rsidRPr="00C7300A">
              <w:rPr>
                <w:lang w:val="ru-RU" w:eastAsia="en-GB"/>
              </w:rPr>
              <w:t xml:space="preserve"> в 2020</w:t>
            </w:r>
            <w:r w:rsidR="00597DBA" w:rsidRPr="00C7300A">
              <w:rPr>
                <w:lang w:val="ru-RU" w:eastAsia="en-GB"/>
              </w:rPr>
              <w:t> год</w:t>
            </w:r>
            <w:r w:rsidRPr="00C7300A">
              <w:rPr>
                <w:lang w:val="ru-RU" w:eastAsia="en-GB"/>
              </w:rPr>
              <w:t xml:space="preserve">у </w:t>
            </w:r>
            <w:r w:rsidR="009F1A49" w:rsidRPr="00C7300A">
              <w:rPr>
                <w:lang w:val="ru-RU" w:eastAsia="en-GB"/>
              </w:rPr>
              <w:t>теперь отражены в</w:t>
            </w:r>
            <w:r w:rsidRPr="00C7300A">
              <w:rPr>
                <w:lang w:val="ru-RU" w:eastAsia="en-GB"/>
              </w:rPr>
              <w:t xml:space="preserve"> Таблице 3 </w:t>
            </w:r>
            <w:r w:rsidR="009F1A49" w:rsidRPr="00C7300A">
              <w:rPr>
                <w:lang w:val="ru-RU" w:eastAsia="en-GB"/>
              </w:rPr>
              <w:t>–</w:t>
            </w:r>
            <w:r w:rsidRPr="00C7300A">
              <w:rPr>
                <w:lang w:val="ru-RU" w:eastAsia="en-GB"/>
              </w:rPr>
              <w:t xml:space="preserve"> UMAC</w:t>
            </w:r>
            <w:r w:rsidR="009F1A49" w:rsidRPr="00C7300A">
              <w:rPr>
                <w:lang w:val="ru-RU" w:eastAsia="en-GB"/>
              </w:rPr>
              <w:t xml:space="preserve"> на 2024−2027 годы</w:t>
            </w:r>
            <w:r w:rsidRPr="00C7300A">
              <w:rPr>
                <w:lang w:val="ru-RU" w:eastAsia="en-GB"/>
              </w:rPr>
              <w:t>.</w:t>
            </w:r>
          </w:p>
        </w:tc>
      </w:tr>
    </w:tbl>
    <w:p w14:paraId="072E43F5" w14:textId="7EA52318" w:rsidR="00771EDF" w:rsidRPr="00C7300A" w:rsidRDefault="00771EDF" w:rsidP="00536475">
      <w:pPr>
        <w:keepNext/>
        <w:spacing w:before="360"/>
        <w:rPr>
          <w:lang w:val="ru-RU"/>
        </w:rPr>
      </w:pPr>
      <w:r w:rsidRPr="00C7300A">
        <w:rPr>
          <w:lang w:val="ru-RU"/>
        </w:rPr>
        <w:lastRenderedPageBreak/>
        <w:t>3.4</w:t>
      </w:r>
      <w:r w:rsidRPr="00C7300A">
        <w:rPr>
          <w:lang w:val="ru-RU"/>
        </w:rPr>
        <w:tab/>
      </w:r>
      <w:r w:rsidR="00536475" w:rsidRPr="00C7300A">
        <w:rPr>
          <w:lang w:val="ru-RU"/>
        </w:rPr>
        <w:t>Ниже представлены основные элементы расхождени</w:t>
      </w:r>
      <w:r w:rsidR="006F79A7" w:rsidRPr="00C7300A">
        <w:rPr>
          <w:lang w:val="ru-RU"/>
        </w:rPr>
        <w:t>й</w:t>
      </w:r>
      <w:r w:rsidR="00536475" w:rsidRPr="00C7300A">
        <w:rPr>
          <w:lang w:val="ru-RU"/>
        </w:rPr>
        <w:t xml:space="preserve"> по Секторам в расходной части.</w:t>
      </w:r>
    </w:p>
    <w:p w14:paraId="14F1C2E8" w14:textId="10F9B268" w:rsidR="00771EDF" w:rsidRPr="00C7300A" w:rsidRDefault="005B0BA7" w:rsidP="005B0BA7">
      <w:pPr>
        <w:pStyle w:val="TableNo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>ТАБЛИЦА</w:t>
      </w:r>
      <w:r w:rsidR="00771EDF" w:rsidRPr="00C7300A">
        <w:rPr>
          <w:color w:val="002060"/>
          <w:lang w:val="ru-RU" w:eastAsia="en-GB"/>
        </w:rPr>
        <w:t xml:space="preserve"> 1.1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98"/>
        <w:gridCol w:w="1841"/>
      </w:tblGrid>
      <w:tr w:rsidR="00771EDF" w:rsidRPr="00C7300A" w14:paraId="19190EDC" w14:textId="77777777" w:rsidTr="009C7AF5">
        <w:trPr>
          <w:jc w:val="center"/>
        </w:trPr>
        <w:tc>
          <w:tcPr>
            <w:tcW w:w="40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EFAE7" w14:textId="384E8E17" w:rsidR="00771EDF" w:rsidRPr="00086A61" w:rsidRDefault="00536475" w:rsidP="009C7AF5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Изменения по программам</w:t>
            </w:r>
            <w:r w:rsidR="00771EDF" w:rsidRPr="00086A61">
              <w:rPr>
                <w:b/>
                <w:bCs/>
                <w:lang w:val="ru-RU" w:eastAsia="en-GB"/>
              </w:rPr>
              <w:t xml:space="preserve"> </w:t>
            </w:r>
            <w:r w:rsidR="005B0BA7" w:rsidRPr="00086A61">
              <w:rPr>
                <w:b/>
                <w:bCs/>
                <w:lang w:val="ru-RU" w:eastAsia="en-GB"/>
              </w:rPr>
              <w:t>−</w:t>
            </w:r>
            <w:r w:rsidR="00771EDF" w:rsidRPr="00086A61">
              <w:rPr>
                <w:b/>
                <w:bCs/>
                <w:lang w:val="ru-RU" w:eastAsia="en-GB"/>
              </w:rPr>
              <w:t xml:space="preserve"> </w:t>
            </w:r>
            <w:r w:rsidRPr="00086A61">
              <w:rPr>
                <w:b/>
                <w:bCs/>
                <w:lang w:val="ru-RU" w:eastAsia="en-GB"/>
              </w:rPr>
              <w:t>Генеральный секретариат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215F" w14:textId="59104AD3" w:rsidR="00771EDF" w:rsidRPr="00C7300A" w:rsidRDefault="005B0BA7" w:rsidP="005B0BA7">
            <w:pPr>
              <w:pStyle w:val="Tabletext"/>
              <w:jc w:val="right"/>
              <w:rPr>
                <w:i/>
                <w:iCs/>
                <w:lang w:val="ru-RU" w:eastAsia="en-GB"/>
              </w:rPr>
            </w:pPr>
            <w:r w:rsidRPr="00C7300A">
              <w:rPr>
                <w:rFonts w:cs="Calibri"/>
                <w:i/>
                <w:iCs/>
                <w:lang w:val="ru-RU" w:eastAsia="en-GB"/>
              </w:rPr>
              <w:t>тыс. шв. фр.</w:t>
            </w:r>
          </w:p>
        </w:tc>
      </w:tr>
      <w:tr w:rsidR="00771EDF" w:rsidRPr="00C7300A" w14:paraId="50142044" w14:textId="77777777" w:rsidTr="009C7AF5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BD20" w14:textId="14C780C2" w:rsidR="00771EDF" w:rsidRPr="00C7300A" w:rsidRDefault="00536475" w:rsidP="009C7AF5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Доступность</w:t>
            </w:r>
            <w:r w:rsidR="00771EDF" w:rsidRPr="00C7300A">
              <w:rPr>
                <w:lang w:val="ru-RU" w:eastAsia="en-GB"/>
              </w:rPr>
              <w:t xml:space="preserve"> (</w:t>
            </w:r>
            <w:r w:rsidRPr="00C7300A">
              <w:rPr>
                <w:lang w:val="ru-RU" w:eastAsia="en-GB"/>
              </w:rPr>
              <w:t>100 тыс. шв. франков в год</w:t>
            </w:r>
            <w:r w:rsidR="00771EDF" w:rsidRPr="00C7300A">
              <w:rPr>
                <w:lang w:val="ru-RU" w:eastAsia="en-GB"/>
              </w:rPr>
              <w:t>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5F19" w14:textId="77777777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400</w:t>
            </w:r>
          </w:p>
        </w:tc>
      </w:tr>
      <w:tr w:rsidR="00771EDF" w:rsidRPr="00C7300A" w14:paraId="6F3052F8" w14:textId="77777777" w:rsidTr="009C7AF5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B6E8" w14:textId="644AF902" w:rsidR="00771EDF" w:rsidRPr="00C7300A" w:rsidRDefault="00581620" w:rsidP="009C7AF5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Платежи в ЮНСМИС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B2D3" w14:textId="32B2615C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5</w:t>
            </w:r>
            <w:r w:rsidR="005B0B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>600</w:t>
            </w:r>
          </w:p>
        </w:tc>
      </w:tr>
      <w:tr w:rsidR="00771EDF" w:rsidRPr="00C7300A" w14:paraId="2558BEE8" w14:textId="77777777" w:rsidTr="009C7AF5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BD9EC" w14:textId="2111F736" w:rsidR="00771EDF" w:rsidRPr="00C7300A" w:rsidRDefault="00581620" w:rsidP="009C7AF5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Первая ежегодная сумма на новое здание в</w:t>
            </w:r>
            <w:r w:rsidR="00771EDF" w:rsidRPr="00C7300A">
              <w:rPr>
                <w:lang w:val="ru-RU" w:eastAsia="en-GB"/>
              </w:rPr>
              <w:t xml:space="preserve"> 2027</w:t>
            </w:r>
            <w:r w:rsidRPr="00C7300A">
              <w:rPr>
                <w:lang w:val="ru-RU" w:eastAsia="en-GB"/>
              </w:rPr>
              <w:t> году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6E2" w14:textId="425A0D49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3</w:t>
            </w:r>
            <w:r w:rsidR="005B0B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>000</w:t>
            </w:r>
          </w:p>
        </w:tc>
      </w:tr>
      <w:tr w:rsidR="00771EDF" w:rsidRPr="00C7300A" w14:paraId="1FE1C7AB" w14:textId="77777777" w:rsidTr="009C7AF5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0839A" w14:textId="460F345D" w:rsidR="00771EDF" w:rsidRPr="00C7300A" w:rsidRDefault="00581620" w:rsidP="009C7AF5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Дополнительные </w:t>
            </w:r>
            <w:r w:rsidRPr="00C7300A">
              <w:rPr>
                <w:lang w:val="ru-RU"/>
              </w:rPr>
              <w:t>затраты на содержание и текущий ремонт зданий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8310" w14:textId="418CA60B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1</w:t>
            </w:r>
            <w:r w:rsidR="005B0B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>200</w:t>
            </w:r>
          </w:p>
        </w:tc>
      </w:tr>
      <w:tr w:rsidR="00771EDF" w:rsidRPr="00C7300A" w14:paraId="114F3C50" w14:textId="77777777" w:rsidTr="009C7AF5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5B035" w14:textId="3F40BA99" w:rsidR="00771EDF" w:rsidRPr="00C7300A" w:rsidRDefault="00D6424A" w:rsidP="009C7AF5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Исключение доли вакансий на уровне</w:t>
            </w:r>
            <w:r w:rsidR="00771EDF" w:rsidRPr="00C7300A">
              <w:rPr>
                <w:lang w:val="ru-RU" w:eastAsia="en-GB"/>
              </w:rPr>
              <w:t xml:space="preserve"> 5% </w:t>
            </w:r>
            <w:r w:rsidRPr="00C7300A">
              <w:rPr>
                <w:lang w:val="ru-RU" w:eastAsia="en-GB"/>
              </w:rPr>
              <w:t xml:space="preserve">и ее замена </w:t>
            </w:r>
            <w:r w:rsidRPr="00C7300A">
              <w:rPr>
                <w:lang w:val="ru-RU"/>
              </w:rPr>
              <w:t>задержкой при</w:t>
            </w:r>
            <w:r w:rsidR="006F79A7" w:rsidRPr="00C7300A">
              <w:rPr>
                <w:lang w:val="ru-RU"/>
              </w:rPr>
              <w:t> </w:t>
            </w:r>
            <w:r w:rsidRPr="00C7300A">
              <w:rPr>
                <w:lang w:val="ru-RU"/>
              </w:rPr>
              <w:t>заполнении должностей</w:t>
            </w:r>
            <w:r w:rsidRPr="00C7300A">
              <w:rPr>
                <w:lang w:val="ru-RU" w:eastAsia="en-GB"/>
              </w:rPr>
              <w:t xml:space="preserve"> 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A6DC" w14:textId="3B4D9EB0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6</w:t>
            </w:r>
            <w:r w:rsidR="005B0B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>000</w:t>
            </w:r>
          </w:p>
        </w:tc>
      </w:tr>
      <w:tr w:rsidR="00771EDF" w:rsidRPr="00C7300A" w14:paraId="37D58FAA" w14:textId="77777777" w:rsidTr="009C7AF5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97C3E" w14:textId="50AE6F02" w:rsidR="00771EDF" w:rsidRPr="00C7300A" w:rsidRDefault="00D6424A" w:rsidP="009C7AF5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Сокращение путевых расходов и SSA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C52" w14:textId="676C0CB9" w:rsidR="00771EDF" w:rsidRPr="00C7300A" w:rsidRDefault="005B0BA7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5</w:t>
            </w:r>
            <w:r w:rsidRPr="00C7300A">
              <w:rPr>
                <w:lang w:val="ru-RU" w:eastAsia="en-GB"/>
              </w:rPr>
              <w:t> </w:t>
            </w:r>
            <w:r w:rsidR="00771EDF" w:rsidRPr="00C7300A">
              <w:rPr>
                <w:lang w:val="ru-RU" w:eastAsia="en-GB"/>
              </w:rPr>
              <w:t>100</w:t>
            </w:r>
          </w:p>
        </w:tc>
      </w:tr>
      <w:tr w:rsidR="00771EDF" w:rsidRPr="00C7300A" w14:paraId="26D2F707" w14:textId="77777777" w:rsidTr="009C7AF5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3990" w14:textId="478026EF" w:rsidR="00771EDF" w:rsidRPr="00C7300A" w:rsidRDefault="00D6424A" w:rsidP="009C7AF5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С</w:t>
            </w:r>
            <w:r w:rsidRPr="00C7300A">
              <w:rPr>
                <w:lang w:val="ru-RU"/>
              </w:rPr>
              <w:t>окращение стоимости/объема документации</w:t>
            </w:r>
            <w:r w:rsidRPr="00C7300A">
              <w:rPr>
                <w:lang w:val="ru-RU" w:eastAsia="en-GB"/>
              </w:rPr>
              <w:t xml:space="preserve"> </w:t>
            </w:r>
            <w:r w:rsidR="00771EDF" w:rsidRPr="00C7300A">
              <w:rPr>
                <w:lang w:val="ru-RU" w:eastAsia="en-GB"/>
              </w:rPr>
              <w:t>(</w:t>
            </w:r>
            <w:r w:rsidRPr="00C7300A">
              <w:rPr>
                <w:lang w:val="ru-RU" w:eastAsia="en-GB"/>
              </w:rPr>
              <w:t>переменные затраты</w:t>
            </w:r>
            <w:r w:rsidR="006E3C7B" w:rsidRPr="00C7300A">
              <w:rPr>
                <w:lang w:val="ru-RU" w:eastAsia="en-GB"/>
              </w:rPr>
              <w:t> </w:t>
            </w:r>
            <w:r w:rsidR="00771EDF" w:rsidRPr="00C7300A">
              <w:rPr>
                <w:lang w:val="ru-RU" w:eastAsia="en-GB"/>
              </w:rPr>
              <w:t>C&amp;P)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03C1" w14:textId="6C0D287E" w:rsidR="00771EDF" w:rsidRPr="00C7300A" w:rsidRDefault="005B0BA7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4</w:t>
            </w:r>
            <w:r w:rsidRPr="00C7300A">
              <w:rPr>
                <w:lang w:val="ru-RU" w:eastAsia="en-GB"/>
              </w:rPr>
              <w:t> </w:t>
            </w:r>
            <w:r w:rsidR="00771EDF" w:rsidRPr="00C7300A">
              <w:rPr>
                <w:lang w:val="ru-RU" w:eastAsia="en-GB"/>
              </w:rPr>
              <w:t>000</w:t>
            </w:r>
          </w:p>
        </w:tc>
      </w:tr>
      <w:tr w:rsidR="00771EDF" w:rsidRPr="00C7300A" w14:paraId="5DC332ED" w14:textId="77777777" w:rsidTr="009C7AF5">
        <w:trPr>
          <w:jc w:val="center"/>
        </w:trPr>
        <w:tc>
          <w:tcPr>
            <w:tcW w:w="4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BA150" w14:textId="349515F0" w:rsidR="00771EDF" w:rsidRPr="00C7300A" w:rsidRDefault="006E3C7B" w:rsidP="009C7AF5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Прочие расхождения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E68" w14:textId="77777777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518</w:t>
            </w:r>
          </w:p>
        </w:tc>
      </w:tr>
      <w:tr w:rsidR="00771EDF" w:rsidRPr="00C7300A" w14:paraId="54EA11D3" w14:textId="77777777" w:rsidTr="009C7AF5">
        <w:trPr>
          <w:jc w:val="center"/>
        </w:trPr>
        <w:tc>
          <w:tcPr>
            <w:tcW w:w="40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85A250" w14:textId="67E2DD6F" w:rsidR="00771EDF" w:rsidRPr="00086A61" w:rsidRDefault="006E3C7B" w:rsidP="009C7AF5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Всего</w:t>
            </w:r>
            <w:r w:rsidR="003B421E" w:rsidRPr="00086A61">
              <w:rPr>
                <w:b/>
                <w:bCs/>
                <w:lang w:val="ru-RU" w:eastAsia="en-GB"/>
              </w:rPr>
              <w:t>,</w:t>
            </w:r>
            <w:r w:rsidRPr="00086A61">
              <w:rPr>
                <w:b/>
                <w:bCs/>
                <w:lang w:val="ru-RU" w:eastAsia="en-GB"/>
              </w:rPr>
              <w:t xml:space="preserve"> изменения по программам</w:t>
            </w:r>
            <w:r w:rsidR="00771EDF" w:rsidRPr="00086A61">
              <w:rPr>
                <w:b/>
                <w:bCs/>
                <w:lang w:val="ru-RU" w:eastAsia="en-GB"/>
              </w:rPr>
              <w:t xml:space="preserve"> </w:t>
            </w:r>
            <w:r w:rsidR="005B0BA7" w:rsidRPr="00086A61">
              <w:rPr>
                <w:b/>
                <w:bCs/>
                <w:lang w:val="ru-RU" w:eastAsia="en-GB"/>
              </w:rPr>
              <w:t>−</w:t>
            </w:r>
            <w:r w:rsidR="00771EDF" w:rsidRPr="00086A61">
              <w:rPr>
                <w:b/>
                <w:bCs/>
                <w:lang w:val="ru-RU" w:eastAsia="en-GB"/>
              </w:rPr>
              <w:t xml:space="preserve"> </w:t>
            </w:r>
            <w:r w:rsidR="00536475" w:rsidRPr="00086A61">
              <w:rPr>
                <w:b/>
                <w:bCs/>
                <w:lang w:val="ru-RU" w:eastAsia="en-GB"/>
              </w:rPr>
              <w:t>Генеральный секретариат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A656" w14:textId="24E0F936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7</w:t>
            </w:r>
            <w:r w:rsidR="005B0B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>618</w:t>
            </w:r>
          </w:p>
        </w:tc>
      </w:tr>
    </w:tbl>
    <w:p w14:paraId="32BAAAAA" w14:textId="7FBE91F7" w:rsidR="00771EDF" w:rsidRPr="00C7300A" w:rsidRDefault="005B0BA7" w:rsidP="005B0BA7">
      <w:pPr>
        <w:pStyle w:val="TableNo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 xml:space="preserve">ТАБЛИЦА </w:t>
      </w:r>
      <w:r w:rsidR="00771EDF" w:rsidRPr="00C7300A">
        <w:rPr>
          <w:color w:val="002060"/>
          <w:lang w:val="ru-RU" w:eastAsia="en-GB"/>
        </w:rPr>
        <w:t>1.2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71"/>
        <w:gridCol w:w="1868"/>
      </w:tblGrid>
      <w:tr w:rsidR="00771EDF" w:rsidRPr="00C7300A" w14:paraId="5788850D" w14:textId="77777777" w:rsidTr="009C7AF5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FB86" w14:textId="1FF2C4BF" w:rsidR="00771EDF" w:rsidRPr="00086A61" w:rsidRDefault="006E3C7B" w:rsidP="005B0B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Изменения по программам</w:t>
            </w:r>
            <w:r w:rsidR="00771EDF" w:rsidRPr="00086A61">
              <w:rPr>
                <w:b/>
                <w:bCs/>
                <w:lang w:val="ru-RU" w:eastAsia="en-GB"/>
              </w:rPr>
              <w:t xml:space="preserve"> − МСЭ-R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0D43" w14:textId="2E13C0EC" w:rsidR="00771EDF" w:rsidRPr="00C7300A" w:rsidRDefault="005B0BA7" w:rsidP="005B0BA7">
            <w:pPr>
              <w:pStyle w:val="Tabletext"/>
              <w:jc w:val="right"/>
              <w:rPr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i/>
                <w:iCs/>
                <w:lang w:val="ru-RU" w:eastAsia="en-GB"/>
              </w:rPr>
              <w:t>тыс. шв. фр.</w:t>
            </w:r>
          </w:p>
        </w:tc>
      </w:tr>
      <w:tr w:rsidR="00771EDF" w:rsidRPr="00C7300A" w14:paraId="38AC1001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3E70" w14:textId="52873564" w:rsidR="00771EDF" w:rsidRPr="00C7300A" w:rsidRDefault="006E3C7B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Сокращение путевых расходов и SSA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18B8" w14:textId="40BC6573" w:rsidR="00771EDF" w:rsidRPr="00C7300A" w:rsidRDefault="005B0BA7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1</w:t>
            </w:r>
            <w:r w:rsidRPr="00C7300A">
              <w:rPr>
                <w:lang w:val="ru-RU" w:eastAsia="en-GB"/>
              </w:rPr>
              <w:t> </w:t>
            </w:r>
            <w:r w:rsidR="00771EDF" w:rsidRPr="00C7300A">
              <w:rPr>
                <w:lang w:val="ru-RU" w:eastAsia="en-GB"/>
              </w:rPr>
              <w:t>800</w:t>
            </w:r>
          </w:p>
        </w:tc>
      </w:tr>
      <w:tr w:rsidR="00771EDF" w:rsidRPr="00C7300A" w14:paraId="5029330E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C2F1" w14:textId="63628354" w:rsidR="00771EDF" w:rsidRPr="00C7300A" w:rsidRDefault="00D6424A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Исключение доли вакансий на уровне 5% и ее замена задержкой при</w:t>
            </w:r>
            <w:r w:rsidR="006F79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 xml:space="preserve">заполнении должностей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6374" w14:textId="5E0AEB1C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2</w:t>
            </w:r>
            <w:r w:rsidR="005B0B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>800</w:t>
            </w:r>
          </w:p>
        </w:tc>
      </w:tr>
      <w:tr w:rsidR="00771EDF" w:rsidRPr="00C7300A" w14:paraId="62FCA2B4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78BA" w14:textId="56192836" w:rsidR="00771EDF" w:rsidRPr="00C7300A" w:rsidRDefault="006E3C7B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Прочие расхождения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4CD8" w14:textId="337298A3" w:rsidR="00771EDF" w:rsidRPr="00C7300A" w:rsidRDefault="005B0BA7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368</w:t>
            </w:r>
          </w:p>
        </w:tc>
      </w:tr>
      <w:tr w:rsidR="00771EDF" w:rsidRPr="00C7300A" w14:paraId="18F5C15D" w14:textId="77777777" w:rsidTr="009C7AF5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7E12" w14:textId="0555CF48" w:rsidR="00771EDF" w:rsidRPr="00086A61" w:rsidRDefault="006E3C7B" w:rsidP="005B0B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Всего</w:t>
            </w:r>
            <w:r w:rsidR="003B421E" w:rsidRPr="00086A61">
              <w:rPr>
                <w:b/>
                <w:bCs/>
                <w:lang w:val="ru-RU" w:eastAsia="en-GB"/>
              </w:rPr>
              <w:t>,</w:t>
            </w:r>
            <w:r w:rsidRPr="00086A61">
              <w:rPr>
                <w:b/>
                <w:bCs/>
                <w:lang w:val="ru-RU" w:eastAsia="en-GB"/>
              </w:rPr>
              <w:t xml:space="preserve"> изменения по программам</w:t>
            </w:r>
            <w:r w:rsidR="00771EDF" w:rsidRPr="00086A61">
              <w:rPr>
                <w:b/>
                <w:bCs/>
                <w:lang w:val="ru-RU" w:eastAsia="en-GB"/>
              </w:rPr>
              <w:t xml:space="preserve"> </w:t>
            </w:r>
            <w:r w:rsidR="005B0BA7" w:rsidRPr="00086A61">
              <w:rPr>
                <w:b/>
                <w:bCs/>
                <w:lang w:val="ru-RU" w:eastAsia="en-GB"/>
              </w:rPr>
              <w:t>−</w:t>
            </w:r>
            <w:r w:rsidR="00771EDF" w:rsidRPr="00086A61">
              <w:rPr>
                <w:b/>
                <w:bCs/>
                <w:lang w:val="ru-RU" w:eastAsia="en-GB"/>
              </w:rPr>
              <w:t xml:space="preserve"> МСЭ-R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41E5" w14:textId="77777777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632</w:t>
            </w:r>
          </w:p>
        </w:tc>
      </w:tr>
    </w:tbl>
    <w:p w14:paraId="2707D817" w14:textId="1723FF6F" w:rsidR="00771EDF" w:rsidRPr="00C7300A" w:rsidRDefault="005B0BA7" w:rsidP="005B0BA7">
      <w:pPr>
        <w:pStyle w:val="TableNo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 xml:space="preserve">ТАБЛИЦА </w:t>
      </w:r>
      <w:r w:rsidR="00771EDF" w:rsidRPr="00C7300A">
        <w:rPr>
          <w:color w:val="002060"/>
          <w:lang w:val="ru-RU" w:eastAsia="en-GB"/>
        </w:rPr>
        <w:t>1.3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71"/>
        <w:gridCol w:w="1868"/>
      </w:tblGrid>
      <w:tr w:rsidR="005B0BA7" w:rsidRPr="00C7300A" w14:paraId="5B8CF576" w14:textId="77777777" w:rsidTr="009C7AF5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B2E2" w14:textId="2C7AE69B" w:rsidR="005B0BA7" w:rsidRPr="00086A61" w:rsidRDefault="006E3C7B" w:rsidP="005B0B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Изменения по программам</w:t>
            </w:r>
            <w:r w:rsidR="005B0BA7" w:rsidRPr="00086A61">
              <w:rPr>
                <w:b/>
                <w:bCs/>
                <w:lang w:val="ru-RU" w:eastAsia="en-GB"/>
              </w:rPr>
              <w:t xml:space="preserve"> − МСЭ-T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81B5" w14:textId="1D1A5CD6" w:rsidR="005B0BA7" w:rsidRPr="00C7300A" w:rsidRDefault="005B0BA7" w:rsidP="009C7AF5">
            <w:pPr>
              <w:pStyle w:val="Tabletext"/>
              <w:jc w:val="right"/>
              <w:rPr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i/>
                <w:iCs/>
                <w:lang w:val="ru-RU" w:eastAsia="en-GB"/>
              </w:rPr>
              <w:t>тыс. шв. фр.</w:t>
            </w:r>
          </w:p>
        </w:tc>
      </w:tr>
      <w:tr w:rsidR="00771EDF" w:rsidRPr="00C7300A" w14:paraId="05B2FFA3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9506" w14:textId="3D9FB0EB" w:rsidR="00771EDF" w:rsidRPr="00C7300A" w:rsidRDefault="006E3C7B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Сокращение путевых расходов и SSA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C48D" w14:textId="407F4995" w:rsidR="00771EDF" w:rsidRPr="00C7300A" w:rsidRDefault="005B0BA7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1</w:t>
            </w:r>
            <w:r w:rsidRPr="00C7300A">
              <w:rPr>
                <w:lang w:val="ru-RU" w:eastAsia="en-GB"/>
              </w:rPr>
              <w:t> </w:t>
            </w:r>
            <w:r w:rsidR="00771EDF" w:rsidRPr="00C7300A">
              <w:rPr>
                <w:lang w:val="ru-RU" w:eastAsia="en-GB"/>
              </w:rPr>
              <w:t>400</w:t>
            </w:r>
          </w:p>
        </w:tc>
      </w:tr>
      <w:tr w:rsidR="00771EDF" w:rsidRPr="00C7300A" w14:paraId="51EF5690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BC59" w14:textId="0C2F072F" w:rsidR="00771EDF" w:rsidRPr="00C7300A" w:rsidRDefault="00D6424A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Исключение доли вакансий на уровне 5% и ее замена задержкой при</w:t>
            </w:r>
            <w:r w:rsidR="006F79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 xml:space="preserve">заполнении должностей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7BA5" w14:textId="7C1A8D88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1</w:t>
            </w:r>
            <w:r w:rsidR="005B0B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>500</w:t>
            </w:r>
          </w:p>
        </w:tc>
      </w:tr>
      <w:tr w:rsidR="00771EDF" w:rsidRPr="00C7300A" w14:paraId="2D907F0A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A22F" w14:textId="147FEFE2" w:rsidR="00771EDF" w:rsidRPr="00C7300A" w:rsidRDefault="006E3C7B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Прочие расхождения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D70A" w14:textId="77777777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258</w:t>
            </w:r>
          </w:p>
        </w:tc>
      </w:tr>
      <w:tr w:rsidR="00771EDF" w:rsidRPr="00C7300A" w14:paraId="36DB8DD7" w14:textId="77777777" w:rsidTr="009C7AF5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B383" w14:textId="47FDBC78" w:rsidR="00771EDF" w:rsidRPr="00086A61" w:rsidRDefault="006E3C7B" w:rsidP="005B0B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Всего</w:t>
            </w:r>
            <w:r w:rsidR="003B421E" w:rsidRPr="00086A61">
              <w:rPr>
                <w:b/>
                <w:bCs/>
                <w:lang w:val="ru-RU" w:eastAsia="en-GB"/>
              </w:rPr>
              <w:t>,</w:t>
            </w:r>
            <w:r w:rsidRPr="00086A61">
              <w:rPr>
                <w:b/>
                <w:bCs/>
                <w:lang w:val="ru-RU" w:eastAsia="en-GB"/>
              </w:rPr>
              <w:t xml:space="preserve"> изменения по программам</w:t>
            </w:r>
            <w:r w:rsidR="00771EDF" w:rsidRPr="00086A61">
              <w:rPr>
                <w:b/>
                <w:bCs/>
                <w:lang w:val="ru-RU" w:eastAsia="en-GB"/>
              </w:rPr>
              <w:t xml:space="preserve"> </w:t>
            </w:r>
            <w:r w:rsidR="005B0BA7" w:rsidRPr="00086A61">
              <w:rPr>
                <w:b/>
                <w:bCs/>
                <w:lang w:val="ru-RU" w:eastAsia="en-GB"/>
              </w:rPr>
              <w:t>−</w:t>
            </w:r>
            <w:r w:rsidR="00771EDF" w:rsidRPr="00086A61">
              <w:rPr>
                <w:b/>
                <w:bCs/>
                <w:lang w:val="ru-RU" w:eastAsia="en-GB"/>
              </w:rPr>
              <w:t xml:space="preserve"> МСЭ</w:t>
            </w:r>
            <w:r w:rsidR="005B0BA7" w:rsidRPr="00086A61">
              <w:rPr>
                <w:b/>
                <w:bCs/>
                <w:lang w:val="ru-RU" w:eastAsia="en-GB"/>
              </w:rPr>
              <w:t>−</w:t>
            </w:r>
            <w:r w:rsidR="00771EDF" w:rsidRPr="00086A61">
              <w:rPr>
                <w:b/>
                <w:bCs/>
                <w:lang w:val="ru-RU" w:eastAsia="en-GB"/>
              </w:rPr>
              <w:t>T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17ED5" w14:textId="77777777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358</w:t>
            </w:r>
          </w:p>
        </w:tc>
      </w:tr>
    </w:tbl>
    <w:p w14:paraId="1FDD507E" w14:textId="5087302B" w:rsidR="00771EDF" w:rsidRPr="00C7300A" w:rsidRDefault="005B0BA7" w:rsidP="005B0BA7">
      <w:pPr>
        <w:pStyle w:val="TableNo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 xml:space="preserve">ТАБЛИЦА </w:t>
      </w:r>
      <w:r w:rsidR="00771EDF" w:rsidRPr="00C7300A">
        <w:rPr>
          <w:color w:val="002060"/>
          <w:lang w:val="ru-RU" w:eastAsia="en-GB"/>
        </w:rPr>
        <w:t>1.4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71"/>
        <w:gridCol w:w="1868"/>
      </w:tblGrid>
      <w:tr w:rsidR="005B0BA7" w:rsidRPr="00C7300A" w14:paraId="6991F154" w14:textId="77777777" w:rsidTr="009C7AF5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AE05" w14:textId="4F386D49" w:rsidR="005B0BA7" w:rsidRPr="00086A61" w:rsidRDefault="00577410" w:rsidP="005B0B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 xml:space="preserve">Изменения по программам </w:t>
            </w:r>
            <w:r w:rsidR="005B0BA7" w:rsidRPr="00086A61">
              <w:rPr>
                <w:b/>
                <w:bCs/>
                <w:lang w:val="ru-RU" w:eastAsia="en-GB"/>
              </w:rPr>
              <w:t>− МСЭ-D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AACB" w14:textId="43B6BF7B" w:rsidR="005B0BA7" w:rsidRPr="00C7300A" w:rsidRDefault="005B0BA7" w:rsidP="005B0BA7">
            <w:pPr>
              <w:pStyle w:val="Tabletext"/>
              <w:jc w:val="right"/>
              <w:rPr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i/>
                <w:iCs/>
                <w:lang w:val="ru-RU" w:eastAsia="en-GB"/>
              </w:rPr>
              <w:t>тыс. шв. фр.</w:t>
            </w:r>
          </w:p>
        </w:tc>
      </w:tr>
      <w:tr w:rsidR="00771EDF" w:rsidRPr="00C7300A" w14:paraId="4F2077C3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FD92" w14:textId="1DC2C3C5" w:rsidR="00771EDF" w:rsidRPr="00C7300A" w:rsidRDefault="00577410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 xml:space="preserve">Сокращение на </w:t>
            </w:r>
            <w:r w:rsidR="00771EDF" w:rsidRPr="00C7300A">
              <w:rPr>
                <w:lang w:val="ru-RU" w:eastAsia="en-GB"/>
              </w:rPr>
              <w:t>0</w:t>
            </w:r>
            <w:r w:rsidR="00546AA7" w:rsidRPr="00C7300A">
              <w:rPr>
                <w:lang w:val="ru-RU" w:eastAsia="en-GB"/>
              </w:rPr>
              <w:t>,</w:t>
            </w:r>
            <w:r w:rsidR="00771EDF" w:rsidRPr="00C7300A">
              <w:rPr>
                <w:lang w:val="ru-RU" w:eastAsia="en-GB"/>
              </w:rPr>
              <w:t>8</w:t>
            </w:r>
            <w:r w:rsidRPr="00C7300A">
              <w:rPr>
                <w:lang w:val="ru-RU" w:eastAsia="en-GB"/>
              </w:rPr>
              <w:t> </w:t>
            </w:r>
            <w:r w:rsidR="00546AA7" w:rsidRPr="00C7300A">
              <w:rPr>
                <w:lang w:val="ru-RU" w:eastAsia="en-GB"/>
              </w:rPr>
              <w:t>млн. швейцарских франков</w:t>
            </w:r>
            <w:r w:rsidR="00771EDF" w:rsidRPr="00C7300A">
              <w:rPr>
                <w:lang w:val="ru-RU" w:eastAsia="en-GB"/>
              </w:rPr>
              <w:t xml:space="preserve"> </w:t>
            </w:r>
            <w:r w:rsidR="00355877" w:rsidRPr="00C7300A">
              <w:rPr>
                <w:lang w:val="ru-RU" w:eastAsia="en-GB"/>
              </w:rPr>
              <w:t>по</w:t>
            </w:r>
            <w:r w:rsidRPr="00C7300A">
              <w:rPr>
                <w:lang w:val="ru-RU" w:eastAsia="en-GB"/>
              </w:rPr>
              <w:t xml:space="preserve"> вид</w:t>
            </w:r>
            <w:r w:rsidR="00355877" w:rsidRPr="00C7300A">
              <w:rPr>
                <w:lang w:val="ru-RU" w:eastAsia="en-GB"/>
              </w:rPr>
              <w:t>ам</w:t>
            </w:r>
            <w:r w:rsidRPr="00C7300A">
              <w:rPr>
                <w:lang w:val="ru-RU" w:eastAsia="en-GB"/>
              </w:rPr>
              <w:t xml:space="preserve"> деятельности и программ</w:t>
            </w:r>
            <w:r w:rsidR="00355877" w:rsidRPr="00C7300A">
              <w:rPr>
                <w:lang w:val="ru-RU" w:eastAsia="en-GB"/>
              </w:rPr>
              <w:t>ам</w:t>
            </w:r>
            <w:r w:rsidRPr="00C7300A">
              <w:rPr>
                <w:lang w:val="ru-RU" w:eastAsia="en-GB"/>
              </w:rPr>
              <w:t xml:space="preserve"> в </w:t>
            </w:r>
            <w:r w:rsidR="00771EDF" w:rsidRPr="00C7300A">
              <w:rPr>
                <w:lang w:val="ru-RU" w:eastAsia="en-GB"/>
              </w:rPr>
              <w:t>2022</w:t>
            </w:r>
            <w:r w:rsidR="005B0BA7"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2023</w:t>
            </w:r>
            <w:r w:rsidRPr="00C7300A">
              <w:rPr>
                <w:lang w:val="ru-RU" w:eastAsia="en-GB"/>
              </w:rPr>
              <w:t xml:space="preserve"> годах, сохраняемое на </w:t>
            </w:r>
            <w:r w:rsidR="00771EDF" w:rsidRPr="00C7300A">
              <w:rPr>
                <w:lang w:val="ru-RU" w:eastAsia="en-GB"/>
              </w:rPr>
              <w:t>2024</w:t>
            </w:r>
            <w:r w:rsidR="005B0BA7"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2027</w:t>
            </w:r>
            <w:r w:rsidRPr="00C7300A">
              <w:rPr>
                <w:lang w:val="ru-RU" w:eastAsia="en-GB"/>
              </w:rPr>
              <w:t> годы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83D0" w14:textId="0090BBE3" w:rsidR="00771EDF" w:rsidRPr="00C7300A" w:rsidRDefault="005B0BA7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800</w:t>
            </w:r>
          </w:p>
        </w:tc>
      </w:tr>
      <w:tr w:rsidR="00771EDF" w:rsidRPr="00C7300A" w14:paraId="4C208E75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4C55" w14:textId="6E6148F4" w:rsidR="00771EDF" w:rsidRPr="00C7300A" w:rsidRDefault="006E3C7B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Разовые ассигнования в размере 3</w:t>
            </w:r>
            <w:r w:rsidR="006F79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>млн. швейцарских франков на</w:t>
            </w:r>
            <w:r w:rsidR="006F79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>региональные инициативы в 2020 году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037" w14:textId="3CF3A6FB" w:rsidR="00771EDF" w:rsidRPr="00C7300A" w:rsidRDefault="005B0BA7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3</w:t>
            </w:r>
            <w:r w:rsidRPr="00C7300A">
              <w:rPr>
                <w:lang w:val="ru-RU" w:eastAsia="en-GB"/>
              </w:rPr>
              <w:t> </w:t>
            </w:r>
            <w:r w:rsidR="00771EDF" w:rsidRPr="00C7300A">
              <w:rPr>
                <w:lang w:val="ru-RU" w:eastAsia="en-GB"/>
              </w:rPr>
              <w:t>000</w:t>
            </w:r>
          </w:p>
        </w:tc>
      </w:tr>
      <w:tr w:rsidR="00771EDF" w:rsidRPr="00C7300A" w14:paraId="1FF5F2C7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0C5A" w14:textId="32432A3E" w:rsidR="00771EDF" w:rsidRPr="00C7300A" w:rsidRDefault="006E3C7B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Сокращение путевых расходов и SSA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971C" w14:textId="0FD17566" w:rsidR="00771EDF" w:rsidRPr="00C7300A" w:rsidRDefault="005B0BA7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1</w:t>
            </w:r>
            <w:r w:rsidRPr="00C7300A">
              <w:rPr>
                <w:lang w:val="ru-RU" w:eastAsia="en-GB"/>
              </w:rPr>
              <w:t> </w:t>
            </w:r>
            <w:r w:rsidR="00771EDF" w:rsidRPr="00C7300A">
              <w:rPr>
                <w:lang w:val="ru-RU" w:eastAsia="en-GB"/>
              </w:rPr>
              <w:t>700</w:t>
            </w:r>
          </w:p>
        </w:tc>
      </w:tr>
      <w:tr w:rsidR="00771EDF" w:rsidRPr="00C7300A" w14:paraId="23BB467F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7B75" w14:textId="5DF6661A" w:rsidR="00771EDF" w:rsidRPr="00C7300A" w:rsidRDefault="00D6424A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Исключение доли вакансий на уровне 5% и ее замена задержкой при</w:t>
            </w:r>
            <w:r w:rsidR="006F79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 xml:space="preserve">заполнении должностей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1611" w14:textId="4BCD9648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2</w:t>
            </w:r>
            <w:r w:rsidR="005B0BA7" w:rsidRPr="00C7300A">
              <w:rPr>
                <w:lang w:val="ru-RU" w:eastAsia="en-GB"/>
              </w:rPr>
              <w:t> </w:t>
            </w:r>
            <w:r w:rsidRPr="00C7300A">
              <w:rPr>
                <w:lang w:val="ru-RU" w:eastAsia="en-GB"/>
              </w:rPr>
              <w:t>400</w:t>
            </w:r>
          </w:p>
        </w:tc>
      </w:tr>
      <w:tr w:rsidR="00771EDF" w:rsidRPr="00C7300A" w14:paraId="7AD1DFC9" w14:textId="77777777" w:rsidTr="009C7AF5">
        <w:trPr>
          <w:jc w:val="center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3214" w14:textId="416DD3F4" w:rsidR="00771EDF" w:rsidRPr="00C7300A" w:rsidRDefault="006E3C7B" w:rsidP="005B0BA7">
            <w:pPr>
              <w:pStyle w:val="Tabletex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Прочие расхождения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0F18" w14:textId="77777777" w:rsidR="00771EDF" w:rsidRPr="00C7300A" w:rsidRDefault="00771EDF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140</w:t>
            </w:r>
          </w:p>
        </w:tc>
      </w:tr>
      <w:tr w:rsidR="00771EDF" w:rsidRPr="00C7300A" w14:paraId="6D84AEAF" w14:textId="77777777" w:rsidTr="009C7AF5">
        <w:trPr>
          <w:jc w:val="center"/>
        </w:trPr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2E3EC" w14:textId="6C343416" w:rsidR="00771EDF" w:rsidRPr="00086A61" w:rsidRDefault="00577410" w:rsidP="005B0BA7">
            <w:pPr>
              <w:pStyle w:val="Tabletext"/>
              <w:rPr>
                <w:b/>
                <w:bCs/>
                <w:lang w:val="ru-RU" w:eastAsia="en-GB"/>
              </w:rPr>
            </w:pPr>
            <w:r w:rsidRPr="00086A61">
              <w:rPr>
                <w:b/>
                <w:bCs/>
                <w:lang w:val="ru-RU" w:eastAsia="en-GB"/>
              </w:rPr>
              <w:t>Всего</w:t>
            </w:r>
            <w:r w:rsidR="003B421E" w:rsidRPr="00086A61">
              <w:rPr>
                <w:b/>
                <w:bCs/>
                <w:lang w:val="ru-RU" w:eastAsia="en-GB"/>
              </w:rPr>
              <w:t>,</w:t>
            </w:r>
            <w:r w:rsidRPr="00086A61">
              <w:rPr>
                <w:b/>
                <w:bCs/>
                <w:lang w:val="ru-RU" w:eastAsia="en-GB"/>
              </w:rPr>
              <w:t xml:space="preserve"> изменения по программам </w:t>
            </w:r>
            <w:r w:rsidR="00546AA7" w:rsidRPr="00086A61">
              <w:rPr>
                <w:b/>
                <w:bCs/>
                <w:lang w:val="ru-RU" w:eastAsia="en-GB"/>
              </w:rPr>
              <w:t>МСЭ</w:t>
            </w:r>
            <w:r w:rsidR="005B0BA7" w:rsidRPr="00086A61">
              <w:rPr>
                <w:b/>
                <w:bCs/>
                <w:lang w:val="ru-RU" w:eastAsia="en-GB"/>
              </w:rPr>
              <w:t>-</w:t>
            </w:r>
            <w:r w:rsidR="00771EDF" w:rsidRPr="00086A61">
              <w:rPr>
                <w:b/>
                <w:bCs/>
                <w:lang w:val="ru-RU" w:eastAsia="en-GB"/>
              </w:rPr>
              <w:t>D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AECC" w14:textId="77E2610C" w:rsidR="00771EDF" w:rsidRPr="00C7300A" w:rsidRDefault="005B0BA7" w:rsidP="005B0BA7">
            <w:pPr>
              <w:pStyle w:val="Tabletext"/>
              <w:jc w:val="right"/>
              <w:rPr>
                <w:lang w:val="ru-RU" w:eastAsia="en-GB"/>
              </w:rPr>
            </w:pPr>
            <w:r w:rsidRPr="00C7300A">
              <w:rPr>
                <w:lang w:val="ru-RU" w:eastAsia="en-GB"/>
              </w:rPr>
              <w:t>−</w:t>
            </w:r>
            <w:r w:rsidR="00771EDF" w:rsidRPr="00C7300A">
              <w:rPr>
                <w:lang w:val="ru-RU" w:eastAsia="en-GB"/>
              </w:rPr>
              <w:t>2</w:t>
            </w:r>
            <w:r w:rsidRPr="00C7300A">
              <w:rPr>
                <w:lang w:val="ru-RU" w:eastAsia="en-GB"/>
              </w:rPr>
              <w:t> </w:t>
            </w:r>
            <w:r w:rsidR="00771EDF" w:rsidRPr="00C7300A">
              <w:rPr>
                <w:lang w:val="ru-RU" w:eastAsia="en-GB"/>
              </w:rPr>
              <w:t>960</w:t>
            </w:r>
          </w:p>
        </w:tc>
      </w:tr>
    </w:tbl>
    <w:p w14:paraId="162E62F7" w14:textId="290E5405" w:rsidR="00771EDF" w:rsidRPr="00C7300A" w:rsidRDefault="00771EDF" w:rsidP="002A04A8">
      <w:pPr>
        <w:spacing w:before="240"/>
        <w:rPr>
          <w:lang w:val="ru-RU" w:eastAsia="en-GB"/>
        </w:rPr>
      </w:pPr>
      <w:r w:rsidRPr="00C7300A">
        <w:rPr>
          <w:lang w:val="ru-RU" w:eastAsia="en-GB"/>
        </w:rPr>
        <w:lastRenderedPageBreak/>
        <w:t>3.5</w:t>
      </w:r>
      <w:r w:rsidRPr="00C7300A">
        <w:rPr>
          <w:lang w:val="ru-RU" w:eastAsia="en-GB"/>
        </w:rPr>
        <w:tab/>
      </w:r>
      <w:r w:rsidR="006F79A7" w:rsidRPr="00C7300A">
        <w:rPr>
          <w:lang w:val="ru-RU" w:eastAsia="en-GB"/>
        </w:rPr>
        <w:t>В Таблице 2, ниже, представлена разбивка запланированных доходов на 2024</w:t>
      </w:r>
      <w:r w:rsidR="00C7300A" w:rsidRPr="00C7300A">
        <w:rPr>
          <w:lang w:val="ru-RU" w:eastAsia="en-GB"/>
        </w:rPr>
        <w:t>–</w:t>
      </w:r>
      <w:r w:rsidR="006F79A7" w:rsidRPr="00C7300A">
        <w:rPr>
          <w:lang w:val="ru-RU" w:eastAsia="en-GB"/>
        </w:rPr>
        <w:t>2027</w:t>
      </w:r>
      <w:r w:rsidR="00EC7544" w:rsidRPr="00C7300A">
        <w:rPr>
          <w:lang w:val="ru-RU" w:eastAsia="en-GB"/>
        </w:rPr>
        <w:t> </w:t>
      </w:r>
      <w:r w:rsidR="006F79A7" w:rsidRPr="00C7300A">
        <w:rPr>
          <w:lang w:val="ru-RU" w:eastAsia="en-GB"/>
        </w:rPr>
        <w:t>годы по источникам и сравнение с бюджетами и финансовым планом на 2020–2023 годы.</w:t>
      </w:r>
    </w:p>
    <w:p w14:paraId="7C8BDF2B" w14:textId="659078F4" w:rsidR="00873948" w:rsidRPr="00C7300A" w:rsidRDefault="00AB581E" w:rsidP="00873948">
      <w:pPr>
        <w:pStyle w:val="Headingb"/>
        <w:spacing w:before="360"/>
        <w:jc w:val="center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 xml:space="preserve">Финансовый план на 2024−2027 годы </w:t>
      </w:r>
      <w:r w:rsidRPr="00C7300A">
        <w:rPr>
          <w:color w:val="002060"/>
          <w:lang w:val="ru-RU" w:eastAsia="en-GB"/>
        </w:rPr>
        <w:br/>
        <w:t>в сравнении с обновленными бюджетами и финансовым планом на 2020−2023 годы</w:t>
      </w:r>
    </w:p>
    <w:p w14:paraId="4B6A246A" w14:textId="0B148392" w:rsidR="0090205A" w:rsidRPr="00C7300A" w:rsidRDefault="0090205A" w:rsidP="0090205A">
      <w:pPr>
        <w:pStyle w:val="TableNo"/>
        <w:spacing w:before="240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 xml:space="preserve">Таблица 2 </w:t>
      </w:r>
      <w:r w:rsidR="00AB581E" w:rsidRPr="00C7300A">
        <w:rPr>
          <w:color w:val="002060"/>
          <w:lang w:val="ru-RU" w:eastAsia="en-GB"/>
        </w:rPr>
        <w:t>–</w:t>
      </w:r>
      <w:r w:rsidRPr="00C7300A">
        <w:rPr>
          <w:color w:val="002060"/>
          <w:lang w:val="ru-RU" w:eastAsia="en-GB"/>
        </w:rPr>
        <w:t xml:space="preserve"> </w:t>
      </w:r>
      <w:r w:rsidR="00AB581E" w:rsidRPr="00C7300A">
        <w:rPr>
          <w:caps w:val="0"/>
          <w:color w:val="002060"/>
          <w:lang w:val="ru-RU" w:eastAsia="en-GB"/>
        </w:rPr>
        <w:t>Доходы в разбивке по источникам</w:t>
      </w:r>
    </w:p>
    <w:p w14:paraId="4203DB10" w14:textId="6A08C21E" w:rsidR="0090205A" w:rsidRPr="00C7300A" w:rsidRDefault="00626C5D" w:rsidP="0090205A">
      <w:pPr>
        <w:pStyle w:val="Tabletitle"/>
        <w:jc w:val="left"/>
        <w:rPr>
          <w:lang w:val="ru-RU" w:eastAsia="en-GB"/>
        </w:rPr>
      </w:pPr>
      <w:r w:rsidRPr="00C7300A">
        <w:rPr>
          <w:rFonts w:cs="Calibri"/>
          <w:bCs/>
          <w:i/>
          <w:iCs/>
          <w:color w:val="002060"/>
          <w:szCs w:val="22"/>
          <w:lang w:val="ru-RU" w:eastAsia="en-GB"/>
        </w:rPr>
        <w:t>Расходы в разбивке по Секторам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164"/>
        <w:gridCol w:w="1316"/>
        <w:gridCol w:w="1332"/>
        <w:gridCol w:w="1187"/>
        <w:gridCol w:w="1344"/>
        <w:gridCol w:w="1302"/>
      </w:tblGrid>
      <w:tr w:rsidR="0090205A" w:rsidRPr="00C7300A" w14:paraId="5801A255" w14:textId="77777777" w:rsidTr="00537CC9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C583" w14:textId="19070BAC" w:rsidR="0090205A" w:rsidRPr="00C7300A" w:rsidRDefault="0090205A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i/>
                <w:iCs/>
                <w:color w:val="002060"/>
                <w:szCs w:val="22"/>
                <w:lang w:val="ru-RU" w:eastAsia="en-GB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FE1E" w14:textId="6D0BF2F4" w:rsidR="0090205A" w:rsidRPr="00C7300A" w:rsidRDefault="00CE438F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9AEF31" wp14:editId="085A158C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95885</wp:posOffset>
                      </wp:positionV>
                      <wp:extent cx="827405" cy="3766820"/>
                      <wp:effectExtent l="0" t="0" r="10795" b="24130"/>
                      <wp:wrapNone/>
                      <wp:docPr id="6" name="Rectangle: Rounded Corner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3766820"/>
                              </a:xfrm>
                              <a:prstGeom prst="roundRect">
                                <a:avLst>
                                  <a:gd name="adj" fmla="val 4898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AD172" id="Rectangle: Rounded Corners 6" o:spid="_x0000_s1026" style="position:absolute;margin-left:251.15pt;margin-top:7.55pt;width:65.15pt;height:29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" filled="f" strokecolor="#0070c0" strokeweight="1pt"/>
                  </w:pict>
                </mc:Fallback>
              </mc:AlternateContent>
            </w:r>
            <w:r w:rsidR="0090205A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тыс. шв. фр.</w:t>
            </w:r>
          </w:p>
        </w:tc>
      </w:tr>
      <w:tr w:rsidR="00DC7159" w:rsidRPr="003138CC" w14:paraId="487EF24B" w14:textId="77777777" w:rsidTr="00342C24"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8420" w14:textId="0C878DAC" w:rsidR="0090205A" w:rsidRPr="00C7300A" w:rsidRDefault="0090205A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Cs w:val="22"/>
                <w:lang w:val="ru-RU"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9305" w14:textId="0EC3FB7D" w:rsidR="0090205A" w:rsidRPr="00C7300A" w:rsidRDefault="0090205A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Обновленный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инансовый план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2020−2023 гг.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0707" w14:textId="4C183AC9" w:rsidR="0090205A" w:rsidRPr="00C7300A" w:rsidRDefault="0090205A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Обновленные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б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юджеты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2020−2021 гг. и 2022−2023 гг.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CD53B6" w14:textId="13BD0B2F" w:rsidR="0090205A" w:rsidRPr="00C7300A" w:rsidRDefault="0090205A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Финансовый план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2024−2027 гг.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1417C" w14:textId="747ED808" w:rsidR="0090205A" w:rsidRPr="00C7300A" w:rsidRDefault="00CE438F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4C77C0" wp14:editId="613C014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-120650</wp:posOffset>
                      </wp:positionV>
                      <wp:extent cx="827405" cy="3766820"/>
                      <wp:effectExtent l="0" t="0" r="10795" b="24130"/>
                      <wp:wrapNone/>
                      <wp:docPr id="5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3766820"/>
                              </a:xfrm>
                              <a:prstGeom prst="roundRect">
                                <a:avLst>
                                  <a:gd name="adj" fmla="val 48980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96A8D8" id="Rectangle: Rounded Corners 5" o:spid="_x0000_s1026" style="position:absolute;margin-left:-6.2pt;margin-top:-9.5pt;width:65.15pt;height:29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" filled="f" strokecolor="#c00000" strokeweight="1pt"/>
                  </w:pict>
                </mc:Fallback>
              </mc:AlternateContent>
            </w:r>
            <w:r w:rsidR="0090205A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="0090205A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с ФП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="0090205A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2020−2023 гг.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201E" w14:textId="0FCDFF4B" w:rsidR="0090205A" w:rsidRPr="00C7300A" w:rsidRDefault="0090205A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с бюджетами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2020−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2021 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гг. и 2022−2023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гг.</w:t>
            </w:r>
          </w:p>
        </w:tc>
      </w:tr>
      <w:tr w:rsidR="00F10E37" w:rsidRPr="00C7300A" w14:paraId="6758D099" w14:textId="77777777" w:rsidTr="00342C24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0774" w14:textId="32E112FA" w:rsidR="00F10E37" w:rsidRPr="00C7300A" w:rsidRDefault="00F10E37" w:rsidP="00F10E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A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3B421E" w:rsidRPr="00C7300A">
              <w:rPr>
                <w:rFonts w:cs="Calibri"/>
                <w:sz w:val="18"/>
                <w:szCs w:val="18"/>
                <w:lang w:val="ru-RU" w:eastAsia="en-GB"/>
              </w:rPr>
              <w:t>Начисленные взносы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4CFAC" w14:textId="4090971C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501</w:t>
            </w:r>
            <w:r w:rsidR="00342C24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056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CDDB" w14:textId="10CEDDDD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502</w:t>
            </w:r>
            <w:r w:rsidR="00342C24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524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5A291244" w14:textId="14ABF08F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502</w:t>
            </w:r>
            <w:r w:rsidR="00342C24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816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74AE8E05" w14:textId="01D68E27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1</w:t>
            </w:r>
            <w:r w:rsidR="00342C24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760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78B556B" w14:textId="25351C51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292</w:t>
            </w:r>
          </w:p>
        </w:tc>
      </w:tr>
      <w:tr w:rsidR="00F10E37" w:rsidRPr="00C7300A" w14:paraId="2825941C" w14:textId="77777777" w:rsidTr="00342C24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588B" w14:textId="0DA9675C" w:rsidR="00F10E37" w:rsidRPr="00C7300A" w:rsidRDefault="00F10E37" w:rsidP="00F10E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3B421E" w:rsidRPr="00C7300A">
              <w:rPr>
                <w:rFonts w:cs="Calibri"/>
                <w:sz w:val="18"/>
                <w:szCs w:val="18"/>
                <w:lang w:val="ru-RU" w:eastAsia="en-GB"/>
              </w:rPr>
              <w:t>Возмещение затрат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CB9F8" w14:textId="7881BD3C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151</w:t>
            </w:r>
            <w:r w:rsidR="00342C24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2108" w14:textId="1C671C4E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145</w:t>
            </w:r>
            <w:r w:rsidR="00342C24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750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0C5B03C1" w14:textId="648B7704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142</w:t>
            </w:r>
            <w:r w:rsidR="00342C24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231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1AABC068" w14:textId="54EEEBBC" w:rsidR="00F10E37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</w:t>
            </w:r>
            <w:r w:rsidR="00F10E37" w:rsidRPr="00C7300A">
              <w:rPr>
                <w:rFonts w:cs="Calibri"/>
                <w:color w:val="002060"/>
                <w:sz w:val="20"/>
                <w:lang w:val="ru-RU"/>
              </w:rPr>
              <w:t>9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="00F10E37" w:rsidRPr="00C7300A">
              <w:rPr>
                <w:rFonts w:cs="Calibri"/>
                <w:color w:val="002060"/>
                <w:sz w:val="20"/>
                <w:lang w:val="ru-RU"/>
              </w:rPr>
              <w:t>269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A011F96" w14:textId="46CD1573" w:rsidR="00F10E37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</w:t>
            </w:r>
            <w:r w:rsidR="00F10E37" w:rsidRPr="00C7300A">
              <w:rPr>
                <w:rFonts w:cs="Calibri"/>
                <w:color w:val="002060"/>
                <w:sz w:val="20"/>
                <w:lang w:val="ru-RU"/>
              </w:rPr>
              <w:t>3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="00F10E37" w:rsidRPr="00C7300A">
              <w:rPr>
                <w:rFonts w:cs="Calibri"/>
                <w:color w:val="002060"/>
                <w:sz w:val="20"/>
                <w:lang w:val="ru-RU"/>
              </w:rPr>
              <w:t>519</w:t>
            </w:r>
          </w:p>
        </w:tc>
      </w:tr>
      <w:tr w:rsidR="00F10E37" w:rsidRPr="00C7300A" w14:paraId="6A99A6A1" w14:textId="77777777" w:rsidTr="00342C24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CF1D" w14:textId="1E0B19A0" w:rsidR="00F10E37" w:rsidRPr="00C7300A" w:rsidRDefault="00F10E37" w:rsidP="00F10E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C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3B421E" w:rsidRPr="00C7300A">
              <w:rPr>
                <w:rFonts w:cs="Calibri"/>
                <w:sz w:val="18"/>
                <w:szCs w:val="18"/>
                <w:lang w:val="ru-RU" w:eastAsia="en-GB"/>
              </w:rPr>
              <w:t>Доходы в виде процентов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95651" w14:textId="1726E17A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1</w:t>
            </w:r>
            <w:r w:rsidR="00342C24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11F8B" w14:textId="5085CDF1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1</w:t>
            </w:r>
            <w:r w:rsidR="00342C24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200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7703E139" w14:textId="777CE33A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AE43DB8" w14:textId="7B5808FC" w:rsidR="00F10E37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</w:t>
            </w:r>
            <w:r w:rsidR="00F10E37" w:rsidRPr="00C7300A">
              <w:rPr>
                <w:rFonts w:cs="Calibri"/>
                <w:color w:val="002060"/>
                <w:sz w:val="20"/>
                <w:lang w:val="ru-RU"/>
              </w:rPr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512098FB" w14:textId="54C2143C" w:rsidR="00F10E37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</w:t>
            </w:r>
            <w:r w:rsidR="00F10E37" w:rsidRPr="00C7300A">
              <w:rPr>
                <w:rFonts w:cs="Calibri"/>
                <w:color w:val="002060"/>
                <w:sz w:val="20"/>
                <w:lang w:val="ru-RU"/>
              </w:rPr>
              <w:t>400</w:t>
            </w:r>
          </w:p>
        </w:tc>
      </w:tr>
      <w:tr w:rsidR="00F10E37" w:rsidRPr="00C7300A" w14:paraId="27B2BB83" w14:textId="77777777" w:rsidTr="00342C24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5957" w14:textId="1C5D8FBD" w:rsidR="00F10E37" w:rsidRPr="00C7300A" w:rsidRDefault="00F10E37" w:rsidP="00F10E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D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3B421E" w:rsidRPr="00C7300A">
              <w:rPr>
                <w:rFonts w:cs="Calibri"/>
                <w:sz w:val="18"/>
                <w:szCs w:val="18"/>
                <w:lang w:val="ru-RU" w:eastAsia="en-GB"/>
              </w:rPr>
              <w:t>Прочие дохо</w:t>
            </w:r>
            <w:r w:rsidR="00D92A01" w:rsidRPr="00C7300A">
              <w:rPr>
                <w:rFonts w:cs="Calibri"/>
                <w:sz w:val="18"/>
                <w:szCs w:val="18"/>
                <w:lang w:val="ru-RU" w:eastAsia="en-GB"/>
              </w:rPr>
              <w:t>д</w:t>
            </w:r>
            <w:r w:rsidR="003B421E" w:rsidRPr="00C7300A">
              <w:rPr>
                <w:rFonts w:cs="Calibri"/>
                <w:sz w:val="18"/>
                <w:szCs w:val="18"/>
                <w:lang w:val="ru-RU" w:eastAsia="en-GB"/>
              </w:rPr>
              <w:t>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212D4" w14:textId="1D9B5230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400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94003" w14:textId="6AACBDF9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600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0A996346" w14:textId="34A68D13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1</w:t>
            </w:r>
            <w:r w:rsidR="00342C24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3982200A" w14:textId="76531B22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5013EE88" w14:textId="021AFF14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400</w:t>
            </w:r>
          </w:p>
        </w:tc>
      </w:tr>
      <w:tr w:rsidR="00F10E37" w:rsidRPr="00C7300A" w14:paraId="2955872C" w14:textId="77777777" w:rsidTr="00342C24">
        <w:tc>
          <w:tcPr>
            <w:tcW w:w="3164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790871B4" w14:textId="3E7D4C3F" w:rsidR="00F10E37" w:rsidRPr="00C7300A" w:rsidRDefault="003B421E" w:rsidP="00F10E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ИТОГО, ДОХОДЫ</w:t>
            </w:r>
          </w:p>
        </w:tc>
        <w:tc>
          <w:tcPr>
            <w:tcW w:w="1316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bottom"/>
          </w:tcPr>
          <w:p w14:paraId="53FEF6A2" w14:textId="2BF6D0DB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654</w:t>
            </w:r>
            <w:r w:rsidR="00342C24"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156</w:t>
            </w:r>
          </w:p>
        </w:tc>
        <w:tc>
          <w:tcPr>
            <w:tcW w:w="1332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bottom"/>
          </w:tcPr>
          <w:p w14:paraId="77488295" w14:textId="2B0A70C9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650</w:t>
            </w:r>
            <w:r w:rsidR="00342C24"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074</w:t>
            </w:r>
          </w:p>
        </w:tc>
        <w:tc>
          <w:tcPr>
            <w:tcW w:w="1187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000000" w:fill="E2EFDA"/>
            <w:noWrap/>
            <w:vAlign w:val="bottom"/>
          </w:tcPr>
          <w:p w14:paraId="33C69740" w14:textId="6734775B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646</w:t>
            </w:r>
            <w:r w:rsidR="00342C24"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847</w:t>
            </w:r>
          </w:p>
        </w:tc>
        <w:tc>
          <w:tcPr>
            <w:tcW w:w="1344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4A5354F" w14:textId="447F96DC" w:rsidR="00F10E37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−</w:t>
            </w:r>
            <w:r w:rsidR="00F10E37"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7</w:t>
            </w: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 </w:t>
            </w:r>
            <w:r w:rsidR="00F10E37"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309</w:t>
            </w:r>
          </w:p>
        </w:tc>
        <w:tc>
          <w:tcPr>
            <w:tcW w:w="1302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30FB0758" w14:textId="17D5921C" w:rsidR="00F10E37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−</w:t>
            </w:r>
            <w:r w:rsidR="00F10E37"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3</w:t>
            </w: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 </w:t>
            </w:r>
            <w:r w:rsidR="00F10E37"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227</w:t>
            </w:r>
          </w:p>
        </w:tc>
      </w:tr>
      <w:tr w:rsidR="00F10E37" w:rsidRPr="00C7300A" w14:paraId="0E7D9B37" w14:textId="77777777" w:rsidTr="00342C24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0264B" w14:textId="4594F76A" w:rsidR="00F10E37" w:rsidRPr="00C7300A" w:rsidRDefault="00F10E37" w:rsidP="00F10E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E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9D6210" w:rsidRPr="00C7300A">
              <w:rPr>
                <w:rFonts w:cs="Calibri"/>
                <w:sz w:val="18"/>
                <w:szCs w:val="18"/>
                <w:lang w:val="ru-RU" w:eastAsia="en-GB"/>
              </w:rPr>
              <w:t>Снятие средств с Резервного счета/Зачисление средств на Резервный счет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9E05D" w14:textId="53B64A23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36D0" w14:textId="46DAE6AF" w:rsidR="00F10E37" w:rsidRPr="00C7300A" w:rsidRDefault="00CE438F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77009A08" w14:textId="56D0AD7A" w:rsidR="00F10E37" w:rsidRPr="00C7300A" w:rsidRDefault="00CE438F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D222841" w14:textId="08D030BA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526F2F7C" w14:textId="612A85D3" w:rsidR="00F10E37" w:rsidRPr="00C7300A" w:rsidRDefault="00F10E37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</w:tr>
      <w:tr w:rsidR="00D33518" w:rsidRPr="00C7300A" w14:paraId="5C70C657" w14:textId="77777777" w:rsidTr="00342C24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866A7" w14:textId="129A6B73" w:rsidR="00D33518" w:rsidRPr="00C7300A" w:rsidRDefault="00D33518" w:rsidP="00F10E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F.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Ассигнования в капитальный фонд ИКТ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703A3" w14:textId="1347123C" w:rsidR="00D33518" w:rsidRPr="00C7300A" w:rsidRDefault="00CE438F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−4 000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35E81" w14:textId="65CA200A" w:rsidR="00D33518" w:rsidRPr="00C7300A" w:rsidRDefault="00CE438F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−4 000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224D4FFC" w14:textId="355CDEC4" w:rsidR="00D33518" w:rsidRPr="00C7300A" w:rsidRDefault="00CE438F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−4 000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0B023737" w14:textId="390249D8" w:rsidR="00D33518" w:rsidRPr="00C7300A" w:rsidRDefault="00CE438F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F0CE316" w14:textId="373F057F" w:rsidR="00D33518" w:rsidRPr="00C7300A" w:rsidRDefault="00CE438F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</w:tr>
      <w:tr w:rsidR="00342C24" w:rsidRPr="00C7300A" w14:paraId="5AF15EFC" w14:textId="77777777" w:rsidTr="00342C24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C5ED8" w14:textId="4BFAA85C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G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D33518" w:rsidRPr="00C7300A">
              <w:rPr>
                <w:rFonts w:cs="Calibri"/>
                <w:sz w:val="18"/>
                <w:szCs w:val="18"/>
                <w:lang w:val="ru-RU" w:eastAsia="en-GB"/>
              </w:rPr>
              <w:t>Ассигнования</w:t>
            </w:r>
            <w:r w:rsidR="009D6210" w:rsidRPr="00C7300A">
              <w:rPr>
                <w:rFonts w:cs="Calibri"/>
                <w:sz w:val="18"/>
                <w:szCs w:val="18"/>
                <w:lang w:val="ru-RU" w:eastAsia="en-GB"/>
              </w:rPr>
              <w:t xml:space="preserve"> в капитальный фонд зданий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F6F9F" w14:textId="261A5348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−3 000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DBF6" w14:textId="39B1640C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−3 000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7CB844DB" w14:textId="7780123A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−3 000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4367341" w14:textId="25E0149E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77F05B74" w14:textId="77550EA0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</w:tr>
      <w:tr w:rsidR="00342C24" w:rsidRPr="00C7300A" w14:paraId="3A18297F" w14:textId="77777777" w:rsidTr="00342C24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C66C3" w14:textId="26947751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H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9D6210" w:rsidRPr="00C7300A">
              <w:rPr>
                <w:rFonts w:cs="Calibri"/>
                <w:sz w:val="18"/>
                <w:szCs w:val="18"/>
                <w:lang w:val="ru-RU" w:eastAsia="en-GB"/>
              </w:rPr>
              <w:t>Экономия при исполнении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14B2" w14:textId="2B8E52DC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6 095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99994" w14:textId="374365DF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8 125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2BD57CFD" w14:textId="016F7B3A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3828C58F" w14:textId="788424B2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−6 095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0F2FDC03" w14:textId="07F42E33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−8 125</w:t>
            </w:r>
          </w:p>
        </w:tc>
      </w:tr>
      <w:tr w:rsidR="00342C24" w:rsidRPr="00C7300A" w14:paraId="45E124C5" w14:textId="77777777" w:rsidTr="00342C24">
        <w:tc>
          <w:tcPr>
            <w:tcW w:w="3164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4BFCAEC6" w14:textId="1E35C160" w:rsidR="00342C24" w:rsidRPr="00C7300A" w:rsidRDefault="00DF51C2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ВСЕГО</w:t>
            </w:r>
            <w:r w:rsidR="006462AE"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, ДОХОДЫ И ОТЧИСЛЕНИЯ</w:t>
            </w:r>
          </w:p>
        </w:tc>
        <w:tc>
          <w:tcPr>
            <w:tcW w:w="1316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bottom"/>
          </w:tcPr>
          <w:p w14:paraId="37C9C044" w14:textId="3E9E70C7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653 251</w:t>
            </w:r>
          </w:p>
        </w:tc>
        <w:tc>
          <w:tcPr>
            <w:tcW w:w="1332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bottom"/>
          </w:tcPr>
          <w:p w14:paraId="51E1BE7A" w14:textId="02613F4B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651 199</w:t>
            </w:r>
          </w:p>
        </w:tc>
        <w:tc>
          <w:tcPr>
            <w:tcW w:w="1187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000000" w:fill="E2EFDA"/>
            <w:noWrap/>
            <w:vAlign w:val="bottom"/>
          </w:tcPr>
          <w:p w14:paraId="5C553CFD" w14:textId="2B1334FD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639 847</w:t>
            </w:r>
          </w:p>
        </w:tc>
        <w:tc>
          <w:tcPr>
            <w:tcW w:w="1344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4D119A9D" w14:textId="2683C7D4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−13 404</w:t>
            </w:r>
          </w:p>
        </w:tc>
        <w:tc>
          <w:tcPr>
            <w:tcW w:w="1302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376557AC" w14:textId="634D024F" w:rsidR="00342C24" w:rsidRPr="00C7300A" w:rsidRDefault="00342C24" w:rsidP="00342C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20"/>
                <w:lang w:val="ru-RU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/>
              </w:rPr>
              <w:t>−11 352</w:t>
            </w:r>
          </w:p>
        </w:tc>
      </w:tr>
    </w:tbl>
    <w:p w14:paraId="28407FD1" w14:textId="745499DC" w:rsidR="00771EDF" w:rsidRPr="00C7300A" w:rsidRDefault="00771EDF" w:rsidP="00F10E37">
      <w:pPr>
        <w:spacing w:before="240"/>
        <w:rPr>
          <w:lang w:val="ru-RU" w:eastAsia="en-GB"/>
        </w:rPr>
      </w:pPr>
      <w:r w:rsidRPr="00C7300A">
        <w:rPr>
          <w:lang w:val="ru-RU" w:eastAsia="en-GB"/>
        </w:rPr>
        <w:t>3.6</w:t>
      </w:r>
      <w:r w:rsidRPr="00C7300A">
        <w:rPr>
          <w:lang w:val="ru-RU" w:eastAsia="en-GB"/>
        </w:rPr>
        <w:tab/>
      </w:r>
      <w:r w:rsidR="00EC7544" w:rsidRPr="00C7300A">
        <w:rPr>
          <w:lang w:val="ru-RU" w:eastAsia="en-GB"/>
        </w:rPr>
        <w:t>Основные расхождения в доходной части</w:t>
      </w:r>
      <w:r w:rsidRPr="00C7300A">
        <w:rPr>
          <w:lang w:val="ru-RU" w:eastAsia="en-GB"/>
        </w:rPr>
        <w:t>:</w:t>
      </w:r>
    </w:p>
    <w:p w14:paraId="4D744FD0" w14:textId="155A5A61" w:rsidR="00771EDF" w:rsidRPr="00C7300A" w:rsidRDefault="002A04A8" w:rsidP="002A04A8">
      <w:pPr>
        <w:pStyle w:val="enumlev1"/>
        <w:rPr>
          <w:rFonts w:eastAsiaTheme="minorHAnsi"/>
          <w:lang w:val="ru-RU"/>
        </w:rPr>
      </w:pPr>
      <w:r w:rsidRPr="00C7300A">
        <w:rPr>
          <w:rFonts w:eastAsiaTheme="minorHAnsi"/>
          <w:lang w:val="ru-RU"/>
        </w:rPr>
        <w:t>−</w:t>
      </w:r>
      <w:r w:rsidRPr="00C7300A">
        <w:rPr>
          <w:rFonts w:eastAsiaTheme="minorHAnsi"/>
          <w:lang w:val="ru-RU"/>
        </w:rPr>
        <w:tab/>
      </w:r>
      <w:r w:rsidR="005C1382" w:rsidRPr="00C7300A">
        <w:rPr>
          <w:rFonts w:eastAsiaTheme="minorHAnsi"/>
          <w:lang w:val="ru-RU"/>
        </w:rPr>
        <w:t>неиспользование экономии, достигнутой при исполнении бюджет</w:t>
      </w:r>
      <w:r w:rsidR="003D0276" w:rsidRPr="00C7300A">
        <w:rPr>
          <w:rFonts w:eastAsiaTheme="minorHAnsi"/>
          <w:lang w:val="ru-RU"/>
        </w:rPr>
        <w:t>а</w:t>
      </w:r>
      <w:r w:rsidR="005C1382" w:rsidRPr="00C7300A">
        <w:rPr>
          <w:rFonts w:eastAsiaTheme="minorHAnsi"/>
          <w:lang w:val="ru-RU"/>
        </w:rPr>
        <w:t xml:space="preserve"> предыдущего года, так как исполнение бюджета более не создает значительных излишков;</w:t>
      </w:r>
    </w:p>
    <w:p w14:paraId="0226C512" w14:textId="20151499" w:rsidR="00771EDF" w:rsidRPr="00C7300A" w:rsidRDefault="002A04A8" w:rsidP="002A04A8">
      <w:pPr>
        <w:pStyle w:val="enumlev1"/>
        <w:rPr>
          <w:rFonts w:eastAsiaTheme="minorHAnsi"/>
          <w:lang w:val="ru-RU"/>
        </w:rPr>
      </w:pPr>
      <w:r w:rsidRPr="00C7300A">
        <w:rPr>
          <w:rFonts w:eastAsiaTheme="minorHAnsi"/>
          <w:lang w:val="ru-RU"/>
        </w:rPr>
        <w:t>−</w:t>
      </w:r>
      <w:r w:rsidRPr="00C7300A">
        <w:rPr>
          <w:rFonts w:eastAsiaTheme="minorHAnsi"/>
          <w:lang w:val="ru-RU"/>
        </w:rPr>
        <w:tab/>
      </w:r>
      <w:r w:rsidR="005C1382" w:rsidRPr="00C7300A">
        <w:rPr>
          <w:rFonts w:eastAsiaTheme="minorHAnsi" w:cstheme="minorBidi"/>
          <w:lang w:val="ru-RU"/>
        </w:rPr>
        <w:t xml:space="preserve">сокращение доходов по линии возмещения затрат в основном из-за сокращения </w:t>
      </w:r>
      <w:r w:rsidR="005C1382" w:rsidRPr="00C7300A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доходов по линии вспомогательных затрат по проектам</w:t>
      </w:r>
      <w:r w:rsidR="005C1382" w:rsidRPr="00C7300A">
        <w:rPr>
          <w:rFonts w:eastAsiaTheme="minorHAnsi" w:cstheme="minorBidi"/>
          <w:lang w:val="ru-RU"/>
        </w:rPr>
        <w:t xml:space="preserve"> и возмещения затрат </w:t>
      </w:r>
      <w:r w:rsidR="00812EDD" w:rsidRPr="00C7300A">
        <w:rPr>
          <w:rFonts w:eastAsiaTheme="minorHAnsi" w:cstheme="minorBidi"/>
          <w:lang w:val="ru-RU"/>
        </w:rPr>
        <w:t>на обработку заявок на регистрацию спутниковых сетей</w:t>
      </w:r>
      <w:r w:rsidR="005C1382" w:rsidRPr="00C7300A">
        <w:rPr>
          <w:rFonts w:eastAsiaTheme="minorHAnsi" w:cstheme="minorBidi"/>
          <w:lang w:val="ru-RU"/>
        </w:rPr>
        <w:t>. Это сокращение частично компенсируется увеличением доходов от продажи публикаций и внедрением постепенной мобилизации ресурсов в</w:t>
      </w:r>
      <w:r w:rsidR="003D0276" w:rsidRPr="00C7300A">
        <w:rPr>
          <w:rFonts w:eastAsiaTheme="minorHAnsi" w:cstheme="minorBidi"/>
          <w:lang w:val="ru-RU"/>
        </w:rPr>
        <w:t> </w:t>
      </w:r>
      <w:r w:rsidR="005C1382" w:rsidRPr="00C7300A">
        <w:rPr>
          <w:rFonts w:eastAsiaTheme="minorHAnsi" w:cstheme="minorBidi"/>
          <w:lang w:val="ru-RU"/>
        </w:rPr>
        <w:t xml:space="preserve">течение четырехлетнего периода для совместного финансирования некоторых регулярных </w:t>
      </w:r>
      <w:r w:rsidR="00812EDD" w:rsidRPr="00C7300A">
        <w:rPr>
          <w:rFonts w:eastAsiaTheme="minorHAnsi" w:cstheme="minorBidi"/>
          <w:lang w:val="ru-RU"/>
        </w:rPr>
        <w:t>видов деятельности</w:t>
      </w:r>
      <w:r w:rsidR="00771EDF" w:rsidRPr="00C7300A">
        <w:rPr>
          <w:rFonts w:eastAsiaTheme="minorHAnsi" w:cstheme="minorBidi"/>
          <w:lang w:val="ru-RU"/>
        </w:rPr>
        <w:t>.</w:t>
      </w:r>
    </w:p>
    <w:p w14:paraId="2462E33C" w14:textId="78B75432" w:rsidR="00771EDF" w:rsidRPr="00C7300A" w:rsidRDefault="00771EDF" w:rsidP="003D0276">
      <w:pPr>
        <w:rPr>
          <w:lang w:val="ru-RU" w:eastAsia="en-GB"/>
        </w:rPr>
      </w:pPr>
      <w:r w:rsidRPr="00C7300A">
        <w:rPr>
          <w:lang w:val="ru-RU" w:eastAsia="en-GB"/>
        </w:rPr>
        <w:t>3.7</w:t>
      </w:r>
      <w:r w:rsidRPr="00C7300A">
        <w:rPr>
          <w:lang w:val="ru-RU" w:eastAsia="en-GB"/>
        </w:rPr>
        <w:tab/>
      </w:r>
      <w:r w:rsidR="00F255D9" w:rsidRPr="00C7300A">
        <w:rPr>
          <w:lang w:val="ru-RU" w:eastAsia="en-GB"/>
        </w:rPr>
        <w:t>В Таблице </w:t>
      </w:r>
      <w:r w:rsidRPr="00C7300A">
        <w:rPr>
          <w:lang w:val="ru-RU" w:eastAsia="en-GB"/>
        </w:rPr>
        <w:t>2B</w:t>
      </w:r>
      <w:r w:rsidR="00F255D9" w:rsidRPr="00C7300A">
        <w:rPr>
          <w:lang w:val="ru-RU" w:eastAsia="en-GB"/>
        </w:rPr>
        <w:t xml:space="preserve">, ниже, представлена разбивка доходов по линии возмещения затрат и сравнение с финансовым планом и бюджетами на </w:t>
      </w:r>
      <w:r w:rsidRPr="00C7300A">
        <w:rPr>
          <w:lang w:val="ru-RU" w:eastAsia="en-GB"/>
        </w:rPr>
        <w:t>2020</w:t>
      </w:r>
      <w:r w:rsidR="002A04A8" w:rsidRPr="00C7300A">
        <w:rPr>
          <w:lang w:val="ru-RU" w:eastAsia="en-GB"/>
        </w:rPr>
        <w:t>−</w:t>
      </w:r>
      <w:r w:rsidRPr="00C7300A">
        <w:rPr>
          <w:lang w:val="ru-RU" w:eastAsia="en-GB"/>
        </w:rPr>
        <w:t>2023</w:t>
      </w:r>
      <w:r w:rsidR="00F255D9" w:rsidRPr="00C7300A">
        <w:rPr>
          <w:lang w:val="ru-RU" w:eastAsia="en-GB"/>
        </w:rPr>
        <w:t> годы</w:t>
      </w:r>
      <w:r w:rsidRPr="00C7300A">
        <w:rPr>
          <w:lang w:val="ru-RU" w:eastAsia="en-GB"/>
        </w:rPr>
        <w:t>.</w:t>
      </w:r>
    </w:p>
    <w:p w14:paraId="195977FD" w14:textId="54FB6941" w:rsidR="00873948" w:rsidRPr="00C7300A" w:rsidRDefault="00F255D9" w:rsidP="00873948">
      <w:pPr>
        <w:pStyle w:val="Headingb"/>
        <w:spacing w:before="360"/>
        <w:jc w:val="center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lastRenderedPageBreak/>
        <w:t>Финансовый план</w:t>
      </w:r>
      <w:r w:rsidR="008F3782" w:rsidRPr="00C7300A">
        <w:rPr>
          <w:color w:val="002060"/>
          <w:lang w:val="ru-RU" w:eastAsia="en-GB"/>
        </w:rPr>
        <w:t xml:space="preserve"> </w:t>
      </w:r>
      <w:r w:rsidR="005547C0" w:rsidRPr="00C7300A">
        <w:rPr>
          <w:color w:val="002060"/>
          <w:lang w:val="ru-RU" w:eastAsia="en-GB"/>
        </w:rPr>
        <w:t>на 202</w:t>
      </w:r>
      <w:r w:rsidR="00CE438F" w:rsidRPr="00C7300A">
        <w:rPr>
          <w:color w:val="002060"/>
          <w:lang w:val="ru-RU" w:eastAsia="en-GB"/>
        </w:rPr>
        <w:t>4</w:t>
      </w:r>
      <w:r w:rsidR="005547C0" w:rsidRPr="00C7300A">
        <w:rPr>
          <w:color w:val="002060"/>
          <w:lang w:val="ru-RU" w:eastAsia="en-GB"/>
        </w:rPr>
        <w:t xml:space="preserve">–2027 годы </w:t>
      </w:r>
      <w:r w:rsidR="008F3782" w:rsidRPr="00C7300A">
        <w:rPr>
          <w:color w:val="002060"/>
          <w:lang w:val="ru-RU" w:eastAsia="en-GB"/>
        </w:rPr>
        <w:t xml:space="preserve">в сравнении с </w:t>
      </w:r>
      <w:r w:rsidR="005547C0" w:rsidRPr="00C7300A">
        <w:rPr>
          <w:color w:val="002060"/>
          <w:lang w:val="ru-RU" w:eastAsia="en-GB"/>
        </w:rPr>
        <w:t>обновленными ф</w:t>
      </w:r>
      <w:r w:rsidR="008F3782" w:rsidRPr="00C7300A">
        <w:rPr>
          <w:color w:val="002060"/>
          <w:lang w:val="ru-RU" w:eastAsia="en-GB"/>
        </w:rPr>
        <w:t>инансовым планом</w:t>
      </w:r>
      <w:r w:rsidRPr="00C7300A">
        <w:rPr>
          <w:color w:val="002060"/>
          <w:lang w:val="ru-RU" w:eastAsia="en-GB"/>
        </w:rPr>
        <w:t xml:space="preserve"> на</w:t>
      </w:r>
      <w:r w:rsidR="005547C0" w:rsidRPr="00C7300A">
        <w:rPr>
          <w:color w:val="002060"/>
          <w:lang w:val="ru-RU" w:eastAsia="en-GB"/>
        </w:rPr>
        <w:t> </w:t>
      </w:r>
      <w:r w:rsidR="008F3782" w:rsidRPr="00C7300A">
        <w:rPr>
          <w:color w:val="002060"/>
          <w:lang w:val="ru-RU" w:eastAsia="en-GB"/>
        </w:rPr>
        <w:t>2020−2023 годы и бюджетами на </w:t>
      </w:r>
      <w:r w:rsidR="00873948" w:rsidRPr="00C7300A">
        <w:rPr>
          <w:color w:val="002060"/>
          <w:lang w:val="ru-RU" w:eastAsia="en-GB"/>
        </w:rPr>
        <w:t xml:space="preserve">2020−2021 </w:t>
      </w:r>
      <w:r w:rsidR="008F3782" w:rsidRPr="00C7300A">
        <w:rPr>
          <w:color w:val="002060"/>
          <w:lang w:val="ru-RU" w:eastAsia="en-GB"/>
        </w:rPr>
        <w:t>и</w:t>
      </w:r>
      <w:r w:rsidR="00873948" w:rsidRPr="00C7300A">
        <w:rPr>
          <w:color w:val="002060"/>
          <w:lang w:val="ru-RU" w:eastAsia="en-GB"/>
        </w:rPr>
        <w:t xml:space="preserve"> 2022−2023</w:t>
      </w:r>
      <w:r w:rsidR="008F3782" w:rsidRPr="00C7300A">
        <w:rPr>
          <w:color w:val="002060"/>
          <w:lang w:val="ru-RU" w:eastAsia="en-GB"/>
        </w:rPr>
        <w:t> годы</w:t>
      </w:r>
    </w:p>
    <w:p w14:paraId="185CF490" w14:textId="35E4B837" w:rsidR="00873948" w:rsidRPr="00C7300A" w:rsidRDefault="00873948" w:rsidP="00873948">
      <w:pPr>
        <w:pStyle w:val="TableNo"/>
        <w:spacing w:before="240"/>
        <w:jc w:val="left"/>
        <w:rPr>
          <w:color w:val="002060"/>
          <w:lang w:val="ru-RU" w:eastAsia="en-GB"/>
        </w:rPr>
      </w:pPr>
      <w:r w:rsidRPr="00C7300A">
        <w:rPr>
          <w:color w:val="002060"/>
          <w:lang w:val="ru-RU" w:eastAsia="en-GB"/>
        </w:rPr>
        <w:t xml:space="preserve">Таблица 2B </w:t>
      </w:r>
      <w:r w:rsidR="005547C0" w:rsidRPr="00C7300A">
        <w:rPr>
          <w:color w:val="002060"/>
          <w:lang w:val="ru-RU" w:eastAsia="en-GB"/>
        </w:rPr>
        <w:t>–</w:t>
      </w:r>
      <w:r w:rsidRPr="00C7300A">
        <w:rPr>
          <w:color w:val="002060"/>
          <w:lang w:val="ru-RU" w:eastAsia="en-GB"/>
        </w:rPr>
        <w:t xml:space="preserve"> </w:t>
      </w:r>
      <w:r w:rsidR="005547C0" w:rsidRPr="00C7300A">
        <w:rPr>
          <w:caps w:val="0"/>
          <w:color w:val="002060"/>
          <w:lang w:val="ru-RU" w:eastAsia="en-GB"/>
        </w:rPr>
        <w:t>Доходы по линии возмещения затрат</w:t>
      </w:r>
    </w:p>
    <w:p w14:paraId="411EEF03" w14:textId="1D4E27F4" w:rsidR="00873948" w:rsidRPr="00C7300A" w:rsidRDefault="005547C0" w:rsidP="00873948">
      <w:pPr>
        <w:pStyle w:val="Tabletitle"/>
        <w:jc w:val="left"/>
        <w:rPr>
          <w:lang w:val="ru-RU" w:eastAsia="en-GB"/>
        </w:rPr>
      </w:pPr>
      <w:r w:rsidRPr="00C7300A">
        <w:rPr>
          <w:rFonts w:cs="Calibri"/>
          <w:bCs/>
          <w:i/>
          <w:iCs/>
          <w:color w:val="002060"/>
          <w:szCs w:val="22"/>
          <w:lang w:val="ru-RU" w:eastAsia="en-GB"/>
        </w:rPr>
        <w:t>Расходы в разбивке по Секторам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164"/>
        <w:gridCol w:w="1316"/>
        <w:gridCol w:w="1332"/>
        <w:gridCol w:w="1201"/>
        <w:gridCol w:w="1330"/>
        <w:gridCol w:w="1302"/>
      </w:tblGrid>
      <w:tr w:rsidR="00873948" w:rsidRPr="00C7300A" w14:paraId="214D1F44" w14:textId="77777777" w:rsidTr="00EA2975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107E" w14:textId="77777777" w:rsidR="00873948" w:rsidRPr="00C7300A" w:rsidRDefault="00873948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i/>
                <w:iCs/>
                <w:color w:val="002060"/>
                <w:szCs w:val="22"/>
                <w:lang w:val="ru-RU" w:eastAsia="en-GB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99C6" w14:textId="5CE0003F" w:rsidR="00873948" w:rsidRPr="00C7300A" w:rsidRDefault="00C7300A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524A10" wp14:editId="72D13751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-2540</wp:posOffset>
                      </wp:positionV>
                      <wp:extent cx="827405" cy="3398520"/>
                      <wp:effectExtent l="0" t="0" r="10795" b="11430"/>
                      <wp:wrapNone/>
                      <wp:docPr id="8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3398520"/>
                              </a:xfrm>
                              <a:prstGeom prst="roundRect">
                                <a:avLst>
                                  <a:gd name="adj" fmla="val 48980"/>
                                </a:avLst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6061A9" id="Rectangle: Rounded Corners 8" o:spid="_x0000_s1026" style="position:absolute;margin-left:252.4pt;margin-top:-.2pt;width:65.15pt;height:26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" filled="f" strokecolor="#0070c0" strokeweight="1pt"/>
                  </w:pict>
                </mc:Fallback>
              </mc:AlternateContent>
            </w:r>
            <w:r w:rsidR="003F7381" w:rsidRPr="00C7300A">
              <w:rPr>
                <w:rFonts w:ascii="Helv" w:hAnsi="Helv"/>
                <w:noProof/>
                <w:szCs w:val="22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1A4C5C" wp14:editId="4BBDD0B7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-2540</wp:posOffset>
                      </wp:positionV>
                      <wp:extent cx="827405" cy="3407410"/>
                      <wp:effectExtent l="0" t="0" r="10795" b="21590"/>
                      <wp:wrapNone/>
                      <wp:docPr id="7" name="Rectangle: Rounded Corner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3407410"/>
                              </a:xfrm>
                              <a:prstGeom prst="roundRect">
                                <a:avLst>
                                  <a:gd name="adj" fmla="val 48980"/>
                                </a:avLst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F81862" id="Rectangle: Rounded Corners 7" o:spid="_x0000_s1026" style="position:absolute;margin-left:186.5pt;margin-top:-.2pt;width:65.15pt;height:26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" filled="f" strokecolor="#c00000" strokeweight="1pt"/>
                  </w:pict>
                </mc:Fallback>
              </mc:AlternateContent>
            </w:r>
            <w:r w:rsidR="00873948"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тыс. шв. фр.</w:t>
            </w:r>
          </w:p>
        </w:tc>
      </w:tr>
      <w:tr w:rsidR="00EA2975" w:rsidRPr="003138CC" w14:paraId="67B2B1F4" w14:textId="77777777" w:rsidTr="00EA2975"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417B" w14:textId="77777777" w:rsidR="00873948" w:rsidRPr="00C7300A" w:rsidRDefault="00873948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Cs w:val="22"/>
                <w:lang w:val="ru-RU"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D3FE" w14:textId="6DDE2370" w:rsidR="00873948" w:rsidRPr="00C7300A" w:rsidRDefault="00873948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Обновленный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="00B9042C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инансовый план</w:t>
            </w:r>
            <w:r w:rsidR="00B9042C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2020−2023 гг.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A759D" w14:textId="6D4460E1" w:rsidR="00873948" w:rsidRPr="00C7300A" w:rsidRDefault="00873948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t>Обновленные</w:t>
            </w:r>
            <w:r w:rsidRPr="00C7300A"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  <w:br/>
            </w:r>
            <w:r w:rsidR="00B9042C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б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юджеты</w:t>
            </w:r>
            <w:r w:rsidR="00B9042C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2020−2021 гг. и 2022−2023 гг.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6DEE6AC" w14:textId="5AC9AC62" w:rsidR="00873948" w:rsidRPr="00C7300A" w:rsidRDefault="00873948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Финансовый план</w:t>
            </w:r>
            <w:r w:rsidR="00B9042C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2024−2027 гг.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17C6" w14:textId="3916FAD9" w:rsidR="00873948" w:rsidRPr="00C7300A" w:rsidRDefault="00873948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с ФП</w:t>
            </w:r>
            <w:r w:rsidR="00B9042C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2020−2023 гг.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0BEC0" w14:textId="17029B9D" w:rsidR="00873948" w:rsidRPr="00C7300A" w:rsidRDefault="00873948" w:rsidP="006107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Расхождение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br/>
              <w:t>с бюджетами</w:t>
            </w:r>
            <w:r w:rsidR="00B9042C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на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 xml:space="preserve"> 2020−</w:t>
            </w:r>
            <w:r w:rsidR="00626C5D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2021</w:t>
            </w:r>
            <w:r w:rsidR="00B9042C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гг. и 2022−2023 гг.</w:t>
            </w:r>
          </w:p>
        </w:tc>
      </w:tr>
      <w:tr w:rsidR="003F7381" w:rsidRPr="00C7300A" w14:paraId="27DBEDC3" w14:textId="77777777" w:rsidTr="003F7381"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BC93" w14:textId="6D6FDC8F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B1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5547C0" w:rsidRPr="00C7300A">
              <w:rPr>
                <w:rFonts w:cs="Calibri"/>
                <w:sz w:val="18"/>
                <w:szCs w:val="18"/>
                <w:lang w:val="ru-RU" w:eastAsia="en-GB"/>
              </w:rPr>
              <w:t>Доходы по линии вспомогательных затрат по проектам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C3290" w14:textId="0EF3103F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5 500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C8C03" w14:textId="5A33F052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4 750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0F1436CB" w14:textId="69815862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2 431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1586CC36" w14:textId="4FEBF698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−3 069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F54EB83" w14:textId="40610D44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−2 319</w:t>
            </w:r>
          </w:p>
        </w:tc>
      </w:tr>
      <w:tr w:rsidR="003F7381" w:rsidRPr="00C7300A" w14:paraId="6D4210BE" w14:textId="77777777" w:rsidTr="003F738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1E58" w14:textId="5464B352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B2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5547C0" w:rsidRPr="00C7300A">
              <w:rPr>
                <w:rFonts w:cs="Calibri"/>
                <w:sz w:val="18"/>
                <w:szCs w:val="18"/>
                <w:lang w:val="ru-RU" w:eastAsia="en-GB"/>
              </w:rPr>
              <w:t>Продажа публикаций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1DAE7" w14:textId="2E06C627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76 000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ADF4" w14:textId="137B8D25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69 000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25D941E8" w14:textId="5D783486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72 600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1AC23A13" w14:textId="457A89A4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−3 400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283AA7BF" w14:textId="3CBEEA56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3 600</w:t>
            </w:r>
          </w:p>
        </w:tc>
      </w:tr>
      <w:tr w:rsidR="003F7381" w:rsidRPr="00C7300A" w14:paraId="756BF20B" w14:textId="77777777" w:rsidTr="003F738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385F" w14:textId="29D7F110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B3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UIFN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444FE" w14:textId="005E9776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2 000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78BC1" w14:textId="3E475A78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2 000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25594FE5" w14:textId="4221821A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1 200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E5AC36E" w14:textId="3FE7F3EF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−800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2B08387E" w14:textId="6C44878F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−800</w:t>
            </w:r>
          </w:p>
        </w:tc>
      </w:tr>
      <w:tr w:rsidR="003F7381" w:rsidRPr="00C7300A" w14:paraId="7EB9249E" w14:textId="77777777" w:rsidTr="003F7381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179A5" w14:textId="06A10F9D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B4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Telecom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48D48" w14:textId="115213E8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6 000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CAA91" w14:textId="64989503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6 000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36A86B59" w14:textId="352C545C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6 000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762AF3AB" w14:textId="65620546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68D2EC1E" w14:textId="7C713AC6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</w:tr>
      <w:tr w:rsidR="0055238A" w:rsidRPr="00C7300A" w14:paraId="40658DD4" w14:textId="77777777" w:rsidTr="003F7381">
        <w:tc>
          <w:tcPr>
            <w:tcW w:w="3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BECCEB" w14:textId="03651C3C" w:rsidR="0055238A" w:rsidRPr="00C7300A" w:rsidRDefault="0055238A" w:rsidP="0055238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B5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  <w:t>SNF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C80F3C" w14:textId="0A023278" w:rsidR="0055238A" w:rsidRPr="00C7300A" w:rsidRDefault="0055238A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62</w:t>
            </w:r>
            <w:r w:rsidR="003F7381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FD7606" w14:textId="4C4B1F48" w:rsidR="0055238A" w:rsidRPr="00C7300A" w:rsidRDefault="0055238A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64</w:t>
            </w:r>
            <w:r w:rsidR="003F7381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000</w:t>
            </w:r>
          </w:p>
        </w:tc>
        <w:tc>
          <w:tcPr>
            <w:tcW w:w="1201" w:type="dxa"/>
            <w:tcBorders>
              <w:top w:val="nil"/>
              <w:left w:val="nil"/>
              <w:right w:val="nil"/>
            </w:tcBorders>
            <w:shd w:val="clear" w:color="000000" w:fill="E2EFDA"/>
            <w:noWrap/>
            <w:vAlign w:val="bottom"/>
          </w:tcPr>
          <w:p w14:paraId="14A57629" w14:textId="72092FB8" w:rsidR="0055238A" w:rsidRPr="00C7300A" w:rsidRDefault="0055238A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56</w:t>
            </w:r>
            <w:r w:rsidR="003F7381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000</w:t>
            </w:r>
          </w:p>
        </w:tc>
        <w:tc>
          <w:tcPr>
            <w:tcW w:w="1330" w:type="dxa"/>
            <w:tcBorders>
              <w:top w:val="nil"/>
              <w:left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2AB2BC4B" w14:textId="62D51C32" w:rsidR="0055238A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</w:t>
            </w:r>
            <w:r w:rsidR="0055238A" w:rsidRPr="00C7300A">
              <w:rPr>
                <w:rFonts w:cs="Calibri"/>
                <w:color w:val="002060"/>
                <w:sz w:val="20"/>
                <w:lang w:val="ru-RU"/>
              </w:rPr>
              <w:t>6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="0055238A" w:rsidRPr="00C7300A">
              <w:rPr>
                <w:rFonts w:cs="Calibri"/>
                <w:color w:val="002060"/>
                <w:sz w:val="20"/>
                <w:lang w:val="ru-RU"/>
              </w:rPr>
              <w:t>000</w:t>
            </w:r>
          </w:p>
        </w:tc>
        <w:tc>
          <w:tcPr>
            <w:tcW w:w="1302" w:type="dxa"/>
            <w:tcBorders>
              <w:top w:val="nil"/>
              <w:left w:val="nil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25EE41F8" w14:textId="4BA4F355" w:rsidR="0055238A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−</w:t>
            </w:r>
            <w:r w:rsidR="0055238A" w:rsidRPr="00C7300A">
              <w:rPr>
                <w:rFonts w:cs="Calibri"/>
                <w:color w:val="002060"/>
                <w:sz w:val="20"/>
                <w:lang w:val="ru-RU"/>
              </w:rPr>
              <w:t>8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="0055238A" w:rsidRPr="00C7300A">
              <w:rPr>
                <w:rFonts w:cs="Calibri"/>
                <w:color w:val="002060"/>
                <w:sz w:val="20"/>
                <w:lang w:val="ru-RU"/>
              </w:rPr>
              <w:t>000</w:t>
            </w:r>
          </w:p>
        </w:tc>
      </w:tr>
      <w:tr w:rsidR="00EA2975" w:rsidRPr="00C7300A" w14:paraId="78D5C27D" w14:textId="77777777" w:rsidTr="00222FE4">
        <w:tc>
          <w:tcPr>
            <w:tcW w:w="3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EC37A" w14:textId="72D8F4D6" w:rsidR="00EA2975" w:rsidRPr="00C7300A" w:rsidRDefault="00EA2975" w:rsidP="00EA29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00"/>
              </w:tabs>
              <w:overflowPunct/>
              <w:autoSpaceDE/>
              <w:autoSpaceDN/>
              <w:adjustRightInd/>
              <w:spacing w:before="40" w:after="40"/>
              <w:ind w:left="300" w:hanging="300"/>
              <w:textAlignment w:val="auto"/>
              <w:rPr>
                <w:rFonts w:cs="Calibri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sz w:val="18"/>
                <w:szCs w:val="18"/>
                <w:lang w:val="ru-RU" w:eastAsia="en-GB"/>
              </w:rPr>
              <w:t>B6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ab/>
            </w:r>
            <w:r w:rsidR="00462963" w:rsidRPr="00C7300A">
              <w:rPr>
                <w:rFonts w:cs="Calibri"/>
                <w:sz w:val="18"/>
                <w:szCs w:val="18"/>
                <w:lang w:val="ru-RU" w:eastAsia="en-GB"/>
              </w:rPr>
              <w:t>Прочие доходы по линии возмещения затрат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="00462963" w:rsidRPr="00C7300A">
              <w:rPr>
                <w:rFonts w:cs="Calibri"/>
                <w:sz w:val="18"/>
                <w:szCs w:val="18"/>
                <w:lang w:val="ru-RU" w:eastAsia="en-GB"/>
              </w:rPr>
              <w:t>–</w:t>
            </w:r>
            <w:r w:rsidRPr="00C7300A">
              <w:rPr>
                <w:rFonts w:cs="Calibri"/>
                <w:sz w:val="18"/>
                <w:szCs w:val="18"/>
                <w:lang w:val="ru-RU" w:eastAsia="en-GB"/>
              </w:rPr>
              <w:t xml:space="preserve"> </w:t>
            </w:r>
            <w:r w:rsidR="00462963" w:rsidRPr="00C7300A">
              <w:rPr>
                <w:rFonts w:cs="Calibri"/>
                <w:sz w:val="18"/>
                <w:szCs w:val="18"/>
                <w:lang w:val="ru-RU" w:eastAsia="en-GB"/>
              </w:rPr>
              <w:t>Постепенная мобилизация ресурсов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DE168" w14:textId="21A3B93A" w:rsidR="00EA2975" w:rsidRPr="00C7300A" w:rsidRDefault="00EA2975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D3491" w14:textId="2105AB3B" w:rsidR="00EA2975" w:rsidRPr="00C7300A" w:rsidRDefault="00EA2975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0</w:t>
            </w:r>
          </w:p>
        </w:tc>
        <w:tc>
          <w:tcPr>
            <w:tcW w:w="1201" w:type="dxa"/>
            <w:tcBorders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14:paraId="7A3653B9" w14:textId="1B9D8FD9" w:rsidR="00EA2975" w:rsidRPr="00C7300A" w:rsidRDefault="00EA2975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4</w:t>
            </w:r>
            <w:r w:rsidR="003F7381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000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1136D121" w14:textId="64FE51C6" w:rsidR="00EA2975" w:rsidRPr="00C7300A" w:rsidRDefault="00EA2975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4</w:t>
            </w:r>
            <w:r w:rsidR="003F7381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000</w:t>
            </w: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7F018845" w14:textId="461D1E01" w:rsidR="00EA2975" w:rsidRPr="00C7300A" w:rsidRDefault="00EA2975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color w:val="002060"/>
                <w:sz w:val="20"/>
                <w:lang w:val="ru-RU"/>
              </w:rPr>
              <w:t>4</w:t>
            </w:r>
            <w:r w:rsidR="003F7381" w:rsidRPr="00C7300A">
              <w:rPr>
                <w:rFonts w:cs="Calibri"/>
                <w:color w:val="002060"/>
                <w:sz w:val="20"/>
                <w:lang w:val="ru-RU"/>
              </w:rPr>
              <w:t> </w:t>
            </w:r>
            <w:r w:rsidRPr="00C7300A">
              <w:rPr>
                <w:rFonts w:cs="Calibri"/>
                <w:color w:val="002060"/>
                <w:sz w:val="20"/>
                <w:lang w:val="ru-RU"/>
              </w:rPr>
              <w:t>000</w:t>
            </w:r>
          </w:p>
        </w:tc>
      </w:tr>
      <w:tr w:rsidR="00873948" w:rsidRPr="00C7300A" w14:paraId="797DEDD7" w14:textId="77777777" w:rsidTr="00222FE4"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24A54" w14:textId="1B58E6F1" w:rsidR="00873948" w:rsidRPr="00C7300A" w:rsidRDefault="00DF51C2" w:rsidP="008739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ВСЕГО</w:t>
            </w:r>
            <w:r w:rsidR="00462963" w:rsidRPr="00C7300A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>, доходы по линии возмещения затрат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A59B3" w14:textId="4C8DB684" w:rsidR="00873948" w:rsidRPr="00C7300A" w:rsidRDefault="00873948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151</w:t>
            </w:r>
            <w:r w:rsidR="003F7381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FF20E" w14:textId="547EEA0B" w:rsidR="00873948" w:rsidRPr="00C7300A" w:rsidRDefault="00873948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145</w:t>
            </w:r>
            <w:r w:rsidR="003F7381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750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</w:tcPr>
          <w:p w14:paraId="7A25EE9B" w14:textId="3908A584" w:rsidR="00873948" w:rsidRPr="00C7300A" w:rsidRDefault="00873948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142</w:t>
            </w:r>
            <w:r w:rsidR="003F7381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231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1C3FA353" w14:textId="3B566E59" w:rsidR="00873948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873948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9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873948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269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bottom"/>
          </w:tcPr>
          <w:p w14:paraId="50697A19" w14:textId="4F5BD10F" w:rsidR="00873948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−</w:t>
            </w:r>
            <w:r w:rsidR="00873948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3</w:t>
            </w:r>
            <w:r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 </w:t>
            </w:r>
            <w:r w:rsidR="00873948" w:rsidRPr="00C7300A">
              <w:rPr>
                <w:rFonts w:cs="Calibri"/>
                <w:b/>
                <w:bCs/>
                <w:color w:val="002060"/>
                <w:sz w:val="18"/>
                <w:szCs w:val="18"/>
                <w:lang w:val="ru-RU" w:eastAsia="en-GB"/>
              </w:rPr>
              <w:t>519</w:t>
            </w:r>
          </w:p>
        </w:tc>
      </w:tr>
    </w:tbl>
    <w:p w14:paraId="4222F172" w14:textId="1866E33C" w:rsidR="00771EDF" w:rsidRPr="00C7300A" w:rsidRDefault="00771EDF" w:rsidP="00546AA7">
      <w:pPr>
        <w:pStyle w:val="Heading1"/>
        <w:rPr>
          <w:lang w:val="ru-RU" w:eastAsia="en-GB"/>
        </w:rPr>
      </w:pPr>
      <w:r w:rsidRPr="00C7300A">
        <w:rPr>
          <w:bCs/>
          <w:lang w:val="ru-RU" w:eastAsia="en-GB"/>
        </w:rPr>
        <w:t>4</w:t>
      </w:r>
      <w:r w:rsidRPr="00C7300A">
        <w:rPr>
          <w:lang w:val="ru-RU" w:eastAsia="en-GB"/>
        </w:rPr>
        <w:tab/>
      </w:r>
      <w:r w:rsidR="006366AE" w:rsidRPr="00C7300A">
        <w:rPr>
          <w:lang w:val="ru-RU" w:eastAsia="en-GB"/>
        </w:rPr>
        <w:t>Перечень</w:t>
      </w:r>
      <w:r w:rsidR="00546AA7" w:rsidRPr="00C7300A">
        <w:rPr>
          <w:lang w:val="ru-RU" w:eastAsia="en-GB"/>
        </w:rPr>
        <w:t xml:space="preserve"> нефинансируемых утвержденных видов деятельности (UMAC)</w:t>
      </w:r>
    </w:p>
    <w:p w14:paraId="5195837C" w14:textId="3882CBC4" w:rsidR="00771EDF" w:rsidRPr="00C7300A" w:rsidRDefault="00771EDF" w:rsidP="003F7381">
      <w:pPr>
        <w:rPr>
          <w:lang w:val="ru-RU" w:eastAsia="en-GB"/>
        </w:rPr>
      </w:pPr>
      <w:r w:rsidRPr="00C7300A">
        <w:rPr>
          <w:lang w:val="ru-RU" w:eastAsia="en-GB"/>
        </w:rPr>
        <w:t>4.1</w:t>
      </w:r>
      <w:r w:rsidRPr="00C7300A">
        <w:rPr>
          <w:lang w:val="ru-RU" w:eastAsia="en-GB"/>
        </w:rPr>
        <w:tab/>
      </w:r>
      <w:r w:rsidR="00F62500" w:rsidRPr="00C7300A">
        <w:rPr>
          <w:lang w:val="ru-RU" w:eastAsia="en-GB"/>
        </w:rPr>
        <w:t>В Таблице </w:t>
      </w:r>
      <w:r w:rsidRPr="00C7300A">
        <w:rPr>
          <w:lang w:val="ru-RU" w:eastAsia="en-GB"/>
        </w:rPr>
        <w:t>3</w:t>
      </w:r>
      <w:r w:rsidR="00F62500" w:rsidRPr="00C7300A">
        <w:rPr>
          <w:lang w:val="ru-RU" w:eastAsia="en-GB"/>
        </w:rPr>
        <w:t>, ниже, перечислены основные и</w:t>
      </w:r>
      <w:r w:rsidR="006E3C7B" w:rsidRPr="00C7300A">
        <w:rPr>
          <w:lang w:val="ru-RU" w:eastAsia="en-GB"/>
        </w:rPr>
        <w:t>зменения по программам</w:t>
      </w:r>
      <w:r w:rsidR="00F62500" w:rsidRPr="00C7300A">
        <w:rPr>
          <w:lang w:val="ru-RU" w:eastAsia="en-GB"/>
        </w:rPr>
        <w:t xml:space="preserve"> в сравнении с текущими бюджетом и финансовым планом, которые не могли быть профинансированы в проекте финансового плана </w:t>
      </w:r>
      <w:r w:rsidR="00546AA7" w:rsidRPr="00C7300A">
        <w:rPr>
          <w:lang w:val="ru-RU" w:eastAsia="en-GB"/>
        </w:rPr>
        <w:t>2024−</w:t>
      </w:r>
      <w:r w:rsidRPr="00C7300A">
        <w:rPr>
          <w:lang w:val="ru-RU" w:eastAsia="en-GB"/>
        </w:rPr>
        <w:t>2027</w:t>
      </w:r>
      <w:r w:rsidR="00F62500" w:rsidRPr="00C7300A">
        <w:rPr>
          <w:lang w:val="ru-RU" w:eastAsia="en-GB"/>
        </w:rPr>
        <w:t> годы на данном этапе его подготовки</w:t>
      </w:r>
      <w:r w:rsidRPr="00C7300A">
        <w:rPr>
          <w:lang w:val="ru-RU" w:eastAsia="en-GB"/>
        </w:rPr>
        <w:t>.</w:t>
      </w:r>
    </w:p>
    <w:p w14:paraId="6FE1FEC4" w14:textId="328C3CDE" w:rsidR="00771EDF" w:rsidRPr="00C7300A" w:rsidRDefault="00771EDF" w:rsidP="003F7381">
      <w:pPr>
        <w:rPr>
          <w:lang w:val="ru-RU" w:eastAsia="en-GB"/>
        </w:rPr>
      </w:pPr>
      <w:r w:rsidRPr="00C7300A">
        <w:rPr>
          <w:lang w:val="ru-RU" w:eastAsia="en-GB"/>
        </w:rPr>
        <w:t>4.2</w:t>
      </w:r>
      <w:r w:rsidRPr="00C7300A">
        <w:rPr>
          <w:lang w:val="ru-RU" w:eastAsia="en-GB"/>
        </w:rPr>
        <w:tab/>
      </w:r>
      <w:r w:rsidR="00F62500" w:rsidRPr="00C7300A">
        <w:rPr>
          <w:lang w:val="ru-RU" w:eastAsia="en-GB"/>
        </w:rPr>
        <w:t>В случае, если</w:t>
      </w:r>
      <w:r w:rsidR="00CD7DCA" w:rsidRPr="00C7300A">
        <w:rPr>
          <w:lang w:val="ru-RU" w:eastAsia="en-GB"/>
        </w:rPr>
        <w:t xml:space="preserve"> станет возможным определение дополнительного регулярного финансирования и/или внебюджетных ресурсов или дальнейшего сокращения расходной части проекта финансового плана, </w:t>
      </w:r>
      <w:r w:rsidR="008C0367" w:rsidRPr="00C7300A">
        <w:rPr>
          <w:lang w:val="ru-RU" w:eastAsia="en-GB"/>
        </w:rPr>
        <w:t xml:space="preserve">в него могут быть включены </w:t>
      </w:r>
      <w:r w:rsidR="00CD7DCA" w:rsidRPr="00C7300A">
        <w:rPr>
          <w:lang w:val="ru-RU" w:eastAsia="en-GB"/>
        </w:rPr>
        <w:t>некоторые из этих</w:t>
      </w:r>
      <w:r w:rsidRPr="00C7300A">
        <w:rPr>
          <w:lang w:val="ru-RU" w:eastAsia="en-GB"/>
        </w:rPr>
        <w:t xml:space="preserve"> UMAC.</w:t>
      </w:r>
    </w:p>
    <w:p w14:paraId="69BA6059" w14:textId="77777777" w:rsidR="00C1213A" w:rsidRPr="003138CC" w:rsidRDefault="00C1213A" w:rsidP="00FC6CD6">
      <w:pPr>
        <w:rPr>
          <w:lang w:val="ru-RU"/>
        </w:rPr>
      </w:pPr>
      <w:r w:rsidRPr="00C7300A">
        <w:rPr>
          <w:lang w:val="ru-RU" w:eastAsia="en-GB"/>
        </w:rPr>
        <w:br w:type="page"/>
      </w:r>
    </w:p>
    <w:p w14:paraId="631AAF9C" w14:textId="08F0CDF3" w:rsidR="003F7381" w:rsidRPr="00C7300A" w:rsidRDefault="00C1213A" w:rsidP="003F7381">
      <w:pPr>
        <w:pStyle w:val="TableNo"/>
        <w:spacing w:before="240"/>
        <w:jc w:val="left"/>
        <w:rPr>
          <w:color w:val="002060"/>
          <w:lang w:val="ru-RU" w:eastAsia="en-GB"/>
        </w:rPr>
      </w:pPr>
      <w:r w:rsidRPr="00C7300A">
        <w:rPr>
          <w:rFonts w:cs="Calibri"/>
          <w:b/>
          <w:bCs/>
          <w:noProof/>
          <w:color w:val="FF0000"/>
          <w:sz w:val="20"/>
          <w:lang w:val="ru-RU"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179F05" wp14:editId="77530762">
                <wp:simplePos x="0" y="0"/>
                <wp:positionH relativeFrom="column">
                  <wp:posOffset>5318125</wp:posOffset>
                </wp:positionH>
                <wp:positionV relativeFrom="paragraph">
                  <wp:posOffset>211826</wp:posOffset>
                </wp:positionV>
                <wp:extent cx="792000" cy="6020747"/>
                <wp:effectExtent l="0" t="0" r="27305" b="18415"/>
                <wp:wrapNone/>
                <wp:docPr id="3" name="AutoSha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00" cy="6020747"/>
                        </a:xfrm>
                        <a:prstGeom prst="roundRect">
                          <a:avLst>
                            <a:gd name="adj" fmla="val 48980"/>
                          </a:avLst>
                        </a:prstGeom>
                        <a:noFill/>
                        <a:ln w="12700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10D2A" id="AutoShape 1" o:spid="_x0000_s1026" style="position:absolute;margin-left:418.75pt;margin-top:16.7pt;width:62.35pt;height:47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" filled="f" strokecolor="#385723" strokeweight="1pt"/>
            </w:pict>
          </mc:Fallback>
        </mc:AlternateContent>
      </w:r>
      <w:r w:rsidR="003F7381" w:rsidRPr="00C7300A">
        <w:rPr>
          <w:color w:val="002060"/>
          <w:lang w:val="ru-RU" w:eastAsia="en-GB"/>
        </w:rPr>
        <w:t>Таблица 3 −</w:t>
      </w:r>
      <w:r w:rsidR="003F7381" w:rsidRPr="00C7300A">
        <w:rPr>
          <w:caps w:val="0"/>
          <w:color w:val="002060"/>
          <w:lang w:val="ru-RU" w:eastAsia="en-GB"/>
        </w:rPr>
        <w:t xml:space="preserve"> </w:t>
      </w:r>
      <w:r w:rsidR="008C0367" w:rsidRPr="00C7300A">
        <w:rPr>
          <w:caps w:val="0"/>
          <w:color w:val="002060"/>
          <w:lang w:val="ru-RU" w:eastAsia="en-GB"/>
        </w:rPr>
        <w:t xml:space="preserve">Нефинансируемые утвержденные виды деятельности (UMACS) на </w:t>
      </w:r>
      <w:proofErr w:type="gramStart"/>
      <w:r w:rsidR="003F7381" w:rsidRPr="00C7300A">
        <w:rPr>
          <w:caps w:val="0"/>
          <w:color w:val="002060"/>
          <w:lang w:val="ru-RU" w:eastAsia="en-GB"/>
        </w:rPr>
        <w:t>2024−2027</w:t>
      </w:r>
      <w:proofErr w:type="gramEnd"/>
      <w:r w:rsidR="008C0367" w:rsidRPr="00C7300A">
        <w:rPr>
          <w:caps w:val="0"/>
          <w:color w:val="002060"/>
          <w:lang w:val="ru-RU" w:eastAsia="en-GB"/>
        </w:rPr>
        <w:t> годы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8364"/>
        <w:gridCol w:w="1281"/>
      </w:tblGrid>
      <w:tr w:rsidR="00C1213A" w:rsidRPr="00C7300A" w14:paraId="2AEA7012" w14:textId="77777777" w:rsidTr="00DF51C2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5D76" w14:textId="1CA01991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FF0000"/>
                <w:sz w:val="20"/>
                <w:lang w:val="ru-RU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05A06" w14:textId="028FB1E6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2060"/>
                <w:sz w:val="20"/>
                <w:lang w:val="ru-RU" w:eastAsia="en-GB"/>
              </w:rPr>
            </w:pPr>
            <w:r w:rsidRPr="00C7300A">
              <w:rPr>
                <w:rFonts w:cs="Calibri"/>
                <w:i/>
                <w:iCs/>
                <w:color w:val="002060"/>
                <w:sz w:val="18"/>
                <w:szCs w:val="18"/>
                <w:lang w:val="ru-RU" w:eastAsia="en-GB"/>
              </w:rPr>
              <w:t>тыс. шв. фр.</w:t>
            </w:r>
          </w:p>
        </w:tc>
      </w:tr>
      <w:tr w:rsidR="003F7381" w:rsidRPr="00C7300A" w14:paraId="36343880" w14:textId="77777777" w:rsidTr="00DF51C2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DA3ED9" w14:textId="77777777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 xml:space="preserve">Генеральный секретариат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5AA02A5" w14:textId="36104BA9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F7381" w:rsidRPr="00C7300A" w14:paraId="152606EC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C68680F" w14:textId="19D21BC8" w:rsidR="003F7381" w:rsidRPr="00C7300A" w:rsidRDefault="00C25304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Дополнительные ресурсы безопасности (внешний поставщик)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C6CCDF6" w14:textId="36FD763F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1 600</w:t>
            </w:r>
          </w:p>
        </w:tc>
      </w:tr>
      <w:tr w:rsidR="003F7381" w:rsidRPr="00C7300A" w14:paraId="3403F510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EE45A2F" w14:textId="7CC175C8" w:rsidR="003F7381" w:rsidRPr="00C7300A" w:rsidRDefault="00C25304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 xml:space="preserve">Одна новая должность 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 xml:space="preserve">P2 </w:t>
            </w:r>
            <w:r w:rsidRPr="00C7300A">
              <w:rPr>
                <w:rFonts w:cs="Calibri"/>
                <w:sz w:val="20"/>
                <w:lang w:val="ru-RU" w:eastAsia="en-GB"/>
              </w:rPr>
              <w:t xml:space="preserve">для отдела </w:t>
            </w:r>
            <w:r w:rsidR="00C94454" w:rsidRPr="00C7300A">
              <w:rPr>
                <w:rFonts w:cs="Calibri"/>
                <w:sz w:val="20"/>
                <w:lang w:val="ru-RU" w:eastAsia="en-GB"/>
              </w:rPr>
              <w:t xml:space="preserve">контроля </w:t>
            </w:r>
            <w:r w:rsidRPr="00C7300A">
              <w:rPr>
                <w:rFonts w:cs="Calibri"/>
                <w:sz w:val="20"/>
                <w:lang w:val="ru-RU" w:eastAsia="en-GB"/>
              </w:rPr>
              <w:t>внебюджетно</w:t>
            </w:r>
            <w:r w:rsidR="00C94454" w:rsidRPr="00C7300A">
              <w:rPr>
                <w:rFonts w:cs="Calibri"/>
                <w:sz w:val="20"/>
                <w:lang w:val="ru-RU" w:eastAsia="en-GB"/>
              </w:rPr>
              <w:t>й деятельности</w:t>
            </w:r>
            <w:r w:rsidRPr="00C7300A">
              <w:rPr>
                <w:rFonts w:cs="Calibri"/>
                <w:sz w:val="20"/>
                <w:lang w:val="ru-RU" w:eastAsia="en-GB"/>
              </w:rPr>
              <w:t xml:space="preserve"> в 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>FRMD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649DBB" w14:textId="77777777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558</w:t>
            </w:r>
          </w:p>
        </w:tc>
      </w:tr>
      <w:tr w:rsidR="003F7381" w:rsidRPr="00C7300A" w14:paraId="2830D8B9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6DD3065" w14:textId="07709CFE" w:rsidR="003F7381" w:rsidRPr="00C7300A" w:rsidRDefault="00C94454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 xml:space="preserve">Финансирование одной должности 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 xml:space="preserve">P4 </w:t>
            </w:r>
            <w:r w:rsidRPr="00C7300A">
              <w:rPr>
                <w:rFonts w:cs="Calibri"/>
                <w:sz w:val="20"/>
                <w:lang w:val="ru-RU" w:eastAsia="en-GB"/>
              </w:rPr>
              <w:t>в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 xml:space="preserve"> SPM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E965467" w14:textId="77777777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828</w:t>
            </w:r>
          </w:p>
        </w:tc>
      </w:tr>
      <w:tr w:rsidR="003F7381" w:rsidRPr="00C7300A" w14:paraId="7D7EBD0F" w14:textId="77777777" w:rsidTr="00DF51C2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4F6FADC" w14:textId="3471F6BB" w:rsidR="003F7381" w:rsidRPr="00C7300A" w:rsidRDefault="00DF51C2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Итого: Генеральный секретариат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202B8F7" w14:textId="19295010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2 986</w:t>
            </w:r>
          </w:p>
        </w:tc>
      </w:tr>
      <w:tr w:rsidR="00C1213A" w:rsidRPr="00C7300A" w14:paraId="10ABEB7A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E6C8" w14:textId="2637B5DA" w:rsidR="00C1213A" w:rsidRPr="00C7300A" w:rsidRDefault="00C1213A" w:rsidP="00C1213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43B9" w14:textId="55BE6E8E" w:rsidR="00C1213A" w:rsidRPr="00C7300A" w:rsidRDefault="00C1213A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right="284"/>
              <w:jc w:val="right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</w:p>
        </w:tc>
      </w:tr>
      <w:tr w:rsidR="003F7381" w:rsidRPr="00C7300A" w14:paraId="6D611E1E" w14:textId="77777777" w:rsidTr="00DF51C2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E755494" w14:textId="77777777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Сектор радиосвязи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63A8083" w14:textId="2A336232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F7381" w:rsidRPr="00C7300A" w14:paraId="18320281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41CD60C1" w14:textId="20033BCC" w:rsidR="003F7381" w:rsidRPr="00C7300A" w:rsidRDefault="00C94454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 xml:space="preserve">Увеличение видов деятельности и программ (дополнительные консультанты и сотрудники на краткосрочных контрактах для </w:t>
            </w:r>
            <w:r w:rsidR="00CA65B7" w:rsidRPr="00C7300A">
              <w:rPr>
                <w:rFonts w:cs="Calibri"/>
                <w:sz w:val="20"/>
                <w:lang w:val="ru-RU" w:eastAsia="en-GB"/>
              </w:rPr>
              <w:t>разработок в области ИТ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F05AFB1" w14:textId="20DD95A2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1 570</w:t>
            </w:r>
          </w:p>
        </w:tc>
      </w:tr>
      <w:tr w:rsidR="003F7381" w:rsidRPr="00C7300A" w14:paraId="0FE354E0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5196C33D" w14:textId="682F8FCA" w:rsidR="003F7381" w:rsidRPr="00C7300A" w:rsidRDefault="00871F3E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Шесть дополнительных должностей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 xml:space="preserve"> (1 P4, 2 P3, 2 P2 </w:t>
            </w:r>
            <w:r w:rsidRPr="00C7300A">
              <w:rPr>
                <w:rFonts w:cs="Calibri"/>
                <w:sz w:val="20"/>
                <w:lang w:val="ru-RU" w:eastAsia="en-GB"/>
              </w:rPr>
              <w:t>и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 xml:space="preserve"> 1 G4)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CCD3BA" w14:textId="0548CF90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3 636</w:t>
            </w:r>
          </w:p>
        </w:tc>
      </w:tr>
      <w:tr w:rsidR="003F7381" w:rsidRPr="00C7300A" w14:paraId="2F92E66D" w14:textId="77777777" w:rsidTr="00DF51C2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F3BC1BC" w14:textId="13133777" w:rsidR="003F7381" w:rsidRPr="00C7300A" w:rsidRDefault="00DF51C2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Итого: Сектор радиосвязи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52841127" w14:textId="6326C013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5 206</w:t>
            </w:r>
          </w:p>
        </w:tc>
      </w:tr>
      <w:tr w:rsidR="00C1213A" w:rsidRPr="00C7300A" w14:paraId="2F6E2AB7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B499" w14:textId="77777777" w:rsidR="003F7381" w:rsidRPr="00C7300A" w:rsidRDefault="003F7381" w:rsidP="00C1213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129F" w14:textId="77777777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F7381" w:rsidRPr="00C7300A" w14:paraId="336CBEBC" w14:textId="77777777" w:rsidTr="00DF51C2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06976DD" w14:textId="77777777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Сектор стандартизации электросвязи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901C198" w14:textId="104ADCCD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F7381" w:rsidRPr="00C7300A" w14:paraId="43D47BDE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DDDF5F4" w14:textId="4A118DC8" w:rsidR="003F7381" w:rsidRPr="00C7300A" w:rsidRDefault="009C166B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Семь дополнительных должностей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 xml:space="preserve"> (2 P4, 3 P2, 1 P1 </w:t>
            </w:r>
            <w:r w:rsidRPr="00C7300A">
              <w:rPr>
                <w:rFonts w:cs="Calibri"/>
                <w:sz w:val="20"/>
                <w:lang w:val="ru-RU" w:eastAsia="en-GB"/>
              </w:rPr>
              <w:t>и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 xml:space="preserve"> 1 G4)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3192AA" w14:textId="7A16AD73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4 067</w:t>
            </w:r>
          </w:p>
        </w:tc>
      </w:tr>
      <w:tr w:rsidR="003F7381" w:rsidRPr="00C7300A" w14:paraId="06429367" w14:textId="77777777" w:rsidTr="00DF51C2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9A0D415" w14:textId="63437984" w:rsidR="003F7381" w:rsidRPr="00C7300A" w:rsidRDefault="00DF51C2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Итого: Сектор стандартизации электросвязи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9F4FAB4" w14:textId="1E4E74BE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4 067</w:t>
            </w:r>
          </w:p>
        </w:tc>
      </w:tr>
      <w:tr w:rsidR="00C1213A" w:rsidRPr="00C7300A" w14:paraId="693EFD7E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78E3" w14:textId="77777777" w:rsidR="003F7381" w:rsidRPr="00C7300A" w:rsidRDefault="003F7381" w:rsidP="00C1213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6538" w14:textId="77777777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F7381" w:rsidRPr="00C7300A" w14:paraId="5CF1763F" w14:textId="77777777" w:rsidTr="00DF51C2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08FB70C" w14:textId="77777777" w:rsidR="003F7381" w:rsidRPr="00C7300A" w:rsidRDefault="003F7381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Сектор развития электросвязи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46E0CE5" w14:textId="16BCDA27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F7381" w:rsidRPr="00C7300A" w14:paraId="2134F157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36522C8C" w14:textId="69F763B4" w:rsidR="003F7381" w:rsidRPr="00C7300A" w:rsidRDefault="009C166B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Региональные инициативы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983D2A6" w14:textId="5CB9C38E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3 000</w:t>
            </w:r>
          </w:p>
        </w:tc>
      </w:tr>
      <w:tr w:rsidR="003F7381" w:rsidRPr="00C7300A" w14:paraId="521F956D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071B5194" w14:textId="6C8150B9" w:rsidR="003F7381" w:rsidRPr="00C7300A" w:rsidRDefault="009C166B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Четыре дополнительные должности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 xml:space="preserve"> (1 P5, 1 P4, 2 P3)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E154C5E" w14:textId="76CFE40D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2 953</w:t>
            </w:r>
          </w:p>
        </w:tc>
      </w:tr>
      <w:tr w:rsidR="003F7381" w:rsidRPr="00C7300A" w14:paraId="733F1916" w14:textId="77777777" w:rsidTr="00DF51C2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0B46A4A" w14:textId="5B48444B" w:rsidR="003F7381" w:rsidRPr="00C7300A" w:rsidRDefault="00DF51C2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Итого: Сектор развития электросвязи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45E5DBE" w14:textId="07E1A63B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5 953</w:t>
            </w:r>
          </w:p>
        </w:tc>
      </w:tr>
      <w:tr w:rsidR="00C1213A" w:rsidRPr="00C7300A" w14:paraId="3D4FB749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63BE" w14:textId="77777777" w:rsidR="003F7381" w:rsidRPr="00C7300A" w:rsidRDefault="003F7381" w:rsidP="00C1213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4884" w14:textId="77777777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</w:p>
        </w:tc>
      </w:tr>
      <w:tr w:rsidR="003F7381" w:rsidRPr="00C7300A" w14:paraId="00F9B145" w14:textId="77777777" w:rsidTr="00DF51C2">
        <w:tc>
          <w:tcPr>
            <w:tcW w:w="9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DFF6"/>
            <w:noWrap/>
            <w:vAlign w:val="center"/>
            <w:hideMark/>
          </w:tcPr>
          <w:p w14:paraId="3637425D" w14:textId="506CF205" w:rsidR="003F7381" w:rsidRPr="00C7300A" w:rsidRDefault="004E4A0D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 xml:space="preserve">Косвенные затраты на новое здание и обеспечение непрерывности деятельности </w:t>
            </w: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br/>
            </w:r>
            <w:r w:rsidR="003F7381" w:rsidRPr="00C7300A">
              <w:rPr>
                <w:rFonts w:cs="Calibri"/>
                <w:b/>
                <w:bCs/>
                <w:sz w:val="20"/>
                <w:lang w:val="ru-RU" w:eastAsia="en-GB"/>
              </w:rPr>
              <w:t>(</w:t>
            </w: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дополнительные ассигнования в Капитальный фонд ИКТ</w:t>
            </w:r>
            <w:r w:rsidR="003F7381" w:rsidRPr="00C7300A">
              <w:rPr>
                <w:rFonts w:cs="Calibri"/>
                <w:b/>
                <w:bCs/>
                <w:sz w:val="20"/>
                <w:lang w:val="ru-RU" w:eastAsia="en-GB"/>
              </w:rPr>
              <w:t>)</w:t>
            </w:r>
          </w:p>
        </w:tc>
      </w:tr>
      <w:tr w:rsidR="003F7381" w:rsidRPr="00C7300A" w14:paraId="10BA578C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center"/>
            <w:hideMark/>
          </w:tcPr>
          <w:p w14:paraId="0612627C" w14:textId="64BD2D64" w:rsidR="003F7381" w:rsidRPr="00C7300A" w:rsidRDefault="004E4A0D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Оборудование ИТ для нового здания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 xml:space="preserve"> (</w:t>
            </w:r>
            <w:r w:rsidR="00386CE6" w:rsidRPr="00C7300A">
              <w:rPr>
                <w:rFonts w:cs="Calibri"/>
                <w:sz w:val="20"/>
                <w:lang w:val="ru-RU" w:eastAsia="en-GB"/>
              </w:rPr>
              <w:t>аудиовизуальные средства для малых залов</w:t>
            </w:r>
            <w:r w:rsidR="003F7381" w:rsidRPr="00C7300A">
              <w:rPr>
                <w:rFonts w:cs="Calibri"/>
                <w:sz w:val="20"/>
                <w:lang w:val="ru-RU" w:eastAsia="en-GB"/>
              </w:rPr>
              <w:t>…)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bottom"/>
            <w:hideMark/>
          </w:tcPr>
          <w:p w14:paraId="0A58EE4B" w14:textId="46635260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5 268</w:t>
            </w:r>
          </w:p>
        </w:tc>
      </w:tr>
      <w:tr w:rsidR="003F7381" w:rsidRPr="00C7300A" w14:paraId="635EF5C7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center"/>
            <w:hideMark/>
          </w:tcPr>
          <w:p w14:paraId="57BD5514" w14:textId="7AA713CA" w:rsidR="003F7381" w:rsidRPr="00C7300A" w:rsidRDefault="00386CE6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Управление информацией и записями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bottom"/>
            <w:hideMark/>
          </w:tcPr>
          <w:p w14:paraId="1575CDA5" w14:textId="46A81310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5 000</w:t>
            </w:r>
          </w:p>
        </w:tc>
      </w:tr>
      <w:tr w:rsidR="003F7381" w:rsidRPr="00C7300A" w14:paraId="7D588D41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center"/>
            <w:hideMark/>
          </w:tcPr>
          <w:p w14:paraId="4D07AE08" w14:textId="2335297C" w:rsidR="003F7381" w:rsidRPr="00C7300A" w:rsidRDefault="00386CE6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Рабочие инструменты Союза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bottom"/>
            <w:hideMark/>
          </w:tcPr>
          <w:p w14:paraId="3AAC4179" w14:textId="70E21C82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2 000</w:t>
            </w:r>
          </w:p>
        </w:tc>
      </w:tr>
      <w:tr w:rsidR="003F7381" w:rsidRPr="00C7300A" w14:paraId="0483585D" w14:textId="77777777" w:rsidTr="00DF51C2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center"/>
            <w:hideMark/>
          </w:tcPr>
          <w:p w14:paraId="492FEFB2" w14:textId="50A374B9" w:rsidR="003F7381" w:rsidRPr="00C7300A" w:rsidRDefault="00386CE6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Веб-сайт МСЭ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EADFF6"/>
            <w:noWrap/>
            <w:vAlign w:val="bottom"/>
            <w:hideMark/>
          </w:tcPr>
          <w:p w14:paraId="4F0B6DE2" w14:textId="3B5D4459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7300A">
              <w:rPr>
                <w:rFonts w:cs="Calibri"/>
                <w:sz w:val="20"/>
                <w:lang w:val="ru-RU" w:eastAsia="en-GB"/>
              </w:rPr>
              <w:t>1 200</w:t>
            </w:r>
          </w:p>
        </w:tc>
      </w:tr>
      <w:tr w:rsidR="003F7381" w:rsidRPr="00C7300A" w14:paraId="4D201C61" w14:textId="77777777" w:rsidTr="00DF51C2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DFF6"/>
            <w:noWrap/>
            <w:vAlign w:val="center"/>
            <w:hideMark/>
          </w:tcPr>
          <w:p w14:paraId="3DE1926B" w14:textId="30983A3B" w:rsidR="003F7381" w:rsidRPr="00C7300A" w:rsidRDefault="00386CE6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Итого, косвенные затраты на новое здание и обеспечение непрерывности деятельности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DFF6"/>
            <w:noWrap/>
            <w:vAlign w:val="bottom"/>
            <w:hideMark/>
          </w:tcPr>
          <w:p w14:paraId="11BAFA46" w14:textId="0936A865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sz w:val="20"/>
                <w:lang w:val="ru-RU" w:eastAsia="en-GB"/>
              </w:rPr>
              <w:t>13 468</w:t>
            </w:r>
          </w:p>
        </w:tc>
      </w:tr>
      <w:tr w:rsidR="00C1213A" w:rsidRPr="00C7300A" w14:paraId="106710E2" w14:textId="77777777" w:rsidTr="00DF51C2"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00F90" w14:textId="61D0DFC9" w:rsidR="003F7381" w:rsidRPr="00C7300A" w:rsidRDefault="006345FB" w:rsidP="003F73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  <w:t>Всего,</w:t>
            </w:r>
            <w:r w:rsidR="003F7381" w:rsidRPr="00C7300A"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  <w:t xml:space="preserve"> UMAC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1E1FA" w14:textId="03590FA2" w:rsidR="003F7381" w:rsidRPr="00C7300A" w:rsidRDefault="003F7381" w:rsidP="00DF5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right="284"/>
              <w:jc w:val="right"/>
              <w:textAlignment w:val="auto"/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</w:pPr>
            <w:r w:rsidRPr="00C7300A">
              <w:rPr>
                <w:rFonts w:cs="Calibri"/>
                <w:b/>
                <w:bCs/>
                <w:color w:val="002060"/>
                <w:sz w:val="20"/>
                <w:lang w:val="ru-RU" w:eastAsia="en-GB"/>
              </w:rPr>
              <w:t>31 680</w:t>
            </w:r>
          </w:p>
        </w:tc>
      </w:tr>
    </w:tbl>
    <w:bookmarkEnd w:id="3"/>
    <w:p w14:paraId="35587FA2" w14:textId="77777777" w:rsidR="00FF0D95" w:rsidRPr="00C7300A" w:rsidRDefault="00FF0D95" w:rsidP="00FF0D95">
      <w:pPr>
        <w:spacing w:before="720"/>
        <w:jc w:val="center"/>
        <w:rPr>
          <w:lang w:val="ru-RU"/>
        </w:rPr>
      </w:pPr>
      <w:r w:rsidRPr="00C7300A">
        <w:rPr>
          <w:lang w:val="ru-RU"/>
        </w:rPr>
        <w:t>______________</w:t>
      </w:r>
    </w:p>
    <w:sectPr w:rsidR="00FF0D95" w:rsidRPr="00C7300A" w:rsidSect="00110FA9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94EC" w14:textId="77777777" w:rsidR="00385AB3" w:rsidRDefault="00385AB3">
      <w:r>
        <w:separator/>
      </w:r>
    </w:p>
  </w:endnote>
  <w:endnote w:type="continuationSeparator" w:id="0">
    <w:p w14:paraId="3396A6A7" w14:textId="77777777" w:rsidR="00385AB3" w:rsidRDefault="003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CE2A" w14:textId="4EBC6498" w:rsidR="00FA22E1" w:rsidRPr="003138CC" w:rsidRDefault="003138CC" w:rsidP="00B76459">
    <w:pPr>
      <w:pStyle w:val="Footer"/>
      <w:rPr>
        <w:color w:val="F2F2F2" w:themeColor="background1" w:themeShade="F2"/>
        <w:sz w:val="18"/>
        <w:szCs w:val="18"/>
      </w:rPr>
    </w:pPr>
    <w:r w:rsidRPr="003138CC">
      <w:rPr>
        <w:color w:val="F2F2F2" w:themeColor="background1" w:themeShade="F2"/>
      </w:rPr>
      <w:fldChar w:fldCharType="begin"/>
    </w:r>
    <w:r w:rsidRPr="003138CC">
      <w:rPr>
        <w:color w:val="F2F2F2" w:themeColor="background1" w:themeShade="F2"/>
      </w:rPr>
      <w:instrText xml:space="preserve"> FILENAME \p  \* MERGEFORMAT </w:instrText>
    </w:r>
    <w:r w:rsidRPr="003138CC">
      <w:rPr>
        <w:color w:val="F2F2F2" w:themeColor="background1" w:themeShade="F2"/>
      </w:rPr>
      <w:fldChar w:fldCharType="separate"/>
    </w:r>
    <w:r w:rsidR="00FA22E1" w:rsidRPr="003138CC">
      <w:rPr>
        <w:color w:val="F2F2F2" w:themeColor="background1" w:themeShade="F2"/>
      </w:rPr>
      <w:t>P:\RUS\SG\CONSEIL\C22\000\063R.docx</w:t>
    </w:r>
    <w:r w:rsidRPr="003138CC">
      <w:rPr>
        <w:color w:val="F2F2F2" w:themeColor="background1" w:themeShade="F2"/>
      </w:rPr>
      <w:fldChar w:fldCharType="end"/>
    </w:r>
    <w:r w:rsidR="00B76459" w:rsidRPr="003138CC">
      <w:rPr>
        <w:color w:val="F2F2F2" w:themeColor="background1" w:themeShade="F2"/>
      </w:rPr>
      <w:t xml:space="preserve"> (</w:t>
    </w:r>
    <w:r w:rsidR="00FA22E1" w:rsidRPr="003138CC">
      <w:rPr>
        <w:color w:val="F2F2F2" w:themeColor="background1" w:themeShade="F2"/>
      </w:rPr>
      <w:t>501651</w:t>
    </w:r>
    <w:r w:rsidR="00B76459" w:rsidRPr="003138CC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9E1B" w14:textId="77777777" w:rsidR="00385AB3" w:rsidRDefault="00385AB3">
      <w:r>
        <w:t>____________________</w:t>
      </w:r>
    </w:p>
  </w:footnote>
  <w:footnote w:type="continuationSeparator" w:id="0">
    <w:p w14:paraId="7964A767" w14:textId="77777777" w:rsidR="00385AB3" w:rsidRDefault="0038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13D2A0A3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A22E1">
      <w:rPr>
        <w:noProof/>
      </w:rPr>
      <w:t>4</w:t>
    </w:r>
    <w:r>
      <w:rPr>
        <w:noProof/>
      </w:rPr>
      <w:fldChar w:fldCharType="end"/>
    </w:r>
  </w:p>
  <w:p w14:paraId="3ED9F394" w14:textId="2B7E6C27" w:rsidR="000E568E" w:rsidRDefault="000E568E" w:rsidP="00064579">
    <w:pPr>
      <w:pStyle w:val="Header"/>
    </w:pPr>
    <w:r>
      <w:t>C</w:t>
    </w:r>
    <w:r w:rsidR="00442515">
      <w:t>2</w:t>
    </w:r>
    <w:r w:rsidR="00005BE0">
      <w:t>2</w:t>
    </w:r>
    <w:r>
      <w:t>/</w:t>
    </w:r>
    <w:r w:rsidR="0012636E">
      <w:rPr>
        <w:lang w:val="ru-RU"/>
      </w:rPr>
      <w:t>63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C8677B"/>
    <w:multiLevelType w:val="hybridMultilevel"/>
    <w:tmpl w:val="6624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5A68"/>
    <w:multiLevelType w:val="hybridMultilevel"/>
    <w:tmpl w:val="9B688DEC"/>
    <w:lvl w:ilvl="0" w:tplc="60B2E7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60C4"/>
    <w:multiLevelType w:val="hybridMultilevel"/>
    <w:tmpl w:val="F97A6FB0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5B20E3"/>
    <w:multiLevelType w:val="hybridMultilevel"/>
    <w:tmpl w:val="CC32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6" w15:restartNumberingAfterBreak="0">
    <w:nsid w:val="76B837FC"/>
    <w:multiLevelType w:val="hybridMultilevel"/>
    <w:tmpl w:val="F3A0E8C0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1"/>
    <w:rsid w:val="00000AF4"/>
    <w:rsid w:val="00001866"/>
    <w:rsid w:val="00005BE0"/>
    <w:rsid w:val="0002183E"/>
    <w:rsid w:val="00026120"/>
    <w:rsid w:val="000324A4"/>
    <w:rsid w:val="00053774"/>
    <w:rsid w:val="000569B4"/>
    <w:rsid w:val="00064579"/>
    <w:rsid w:val="0007706E"/>
    <w:rsid w:val="00080E82"/>
    <w:rsid w:val="00086A61"/>
    <w:rsid w:val="000D07CB"/>
    <w:rsid w:val="000E568E"/>
    <w:rsid w:val="000F026D"/>
    <w:rsid w:val="00110FA9"/>
    <w:rsid w:val="001250E5"/>
    <w:rsid w:val="0012636E"/>
    <w:rsid w:val="00144704"/>
    <w:rsid w:val="0014734F"/>
    <w:rsid w:val="001507CC"/>
    <w:rsid w:val="001560D2"/>
    <w:rsid w:val="0015710D"/>
    <w:rsid w:val="00163A32"/>
    <w:rsid w:val="001759FB"/>
    <w:rsid w:val="00192B41"/>
    <w:rsid w:val="001A6F3C"/>
    <w:rsid w:val="001A7540"/>
    <w:rsid w:val="001B5132"/>
    <w:rsid w:val="001B59B8"/>
    <w:rsid w:val="001B7B09"/>
    <w:rsid w:val="001D2B91"/>
    <w:rsid w:val="001E0BD0"/>
    <w:rsid w:val="001E6719"/>
    <w:rsid w:val="001E7F50"/>
    <w:rsid w:val="00210258"/>
    <w:rsid w:val="00210AEF"/>
    <w:rsid w:val="00222FE4"/>
    <w:rsid w:val="00225368"/>
    <w:rsid w:val="00227FF0"/>
    <w:rsid w:val="0023461E"/>
    <w:rsid w:val="00266328"/>
    <w:rsid w:val="00291EB6"/>
    <w:rsid w:val="002A04A8"/>
    <w:rsid w:val="002D2F57"/>
    <w:rsid w:val="002D48C5"/>
    <w:rsid w:val="002F085C"/>
    <w:rsid w:val="00305D8B"/>
    <w:rsid w:val="003138CC"/>
    <w:rsid w:val="00321D51"/>
    <w:rsid w:val="00330002"/>
    <w:rsid w:val="00333A4C"/>
    <w:rsid w:val="00340861"/>
    <w:rsid w:val="00342C24"/>
    <w:rsid w:val="0034587E"/>
    <w:rsid w:val="00345DB3"/>
    <w:rsid w:val="0035144B"/>
    <w:rsid w:val="00353D5E"/>
    <w:rsid w:val="00355877"/>
    <w:rsid w:val="00372864"/>
    <w:rsid w:val="003854C8"/>
    <w:rsid w:val="00385AB3"/>
    <w:rsid w:val="00386CE6"/>
    <w:rsid w:val="00390DD2"/>
    <w:rsid w:val="0039347F"/>
    <w:rsid w:val="00395FB0"/>
    <w:rsid w:val="003B421E"/>
    <w:rsid w:val="003D0276"/>
    <w:rsid w:val="003E5D75"/>
    <w:rsid w:val="003F099E"/>
    <w:rsid w:val="003F09DA"/>
    <w:rsid w:val="003F235E"/>
    <w:rsid w:val="003F59DF"/>
    <w:rsid w:val="003F7381"/>
    <w:rsid w:val="00401150"/>
    <w:rsid w:val="004023E0"/>
    <w:rsid w:val="00403DD8"/>
    <w:rsid w:val="00416CB0"/>
    <w:rsid w:val="004270A8"/>
    <w:rsid w:val="00442515"/>
    <w:rsid w:val="00450F94"/>
    <w:rsid w:val="00453869"/>
    <w:rsid w:val="0045686C"/>
    <w:rsid w:val="00462963"/>
    <w:rsid w:val="004918C4"/>
    <w:rsid w:val="00497703"/>
    <w:rsid w:val="004A0374"/>
    <w:rsid w:val="004A1E5E"/>
    <w:rsid w:val="004A45B5"/>
    <w:rsid w:val="004A50D1"/>
    <w:rsid w:val="004C1157"/>
    <w:rsid w:val="004C151D"/>
    <w:rsid w:val="004D0129"/>
    <w:rsid w:val="004E4A0D"/>
    <w:rsid w:val="004E5673"/>
    <w:rsid w:val="004E6660"/>
    <w:rsid w:val="004F19F5"/>
    <w:rsid w:val="00525701"/>
    <w:rsid w:val="00525F62"/>
    <w:rsid w:val="0053383B"/>
    <w:rsid w:val="00536475"/>
    <w:rsid w:val="00537CC9"/>
    <w:rsid w:val="00546AA7"/>
    <w:rsid w:val="0055238A"/>
    <w:rsid w:val="005547C0"/>
    <w:rsid w:val="00571D71"/>
    <w:rsid w:val="00577410"/>
    <w:rsid w:val="00581620"/>
    <w:rsid w:val="005840A7"/>
    <w:rsid w:val="0059550D"/>
    <w:rsid w:val="00597DBA"/>
    <w:rsid w:val="005A64D5"/>
    <w:rsid w:val="005B0BA7"/>
    <w:rsid w:val="005B3DEC"/>
    <w:rsid w:val="005C1382"/>
    <w:rsid w:val="00601994"/>
    <w:rsid w:val="006234B1"/>
    <w:rsid w:val="00626C5D"/>
    <w:rsid w:val="00630309"/>
    <w:rsid w:val="006345FB"/>
    <w:rsid w:val="0063549C"/>
    <w:rsid w:val="006366AE"/>
    <w:rsid w:val="00643A0B"/>
    <w:rsid w:val="0064609E"/>
    <w:rsid w:val="006462AE"/>
    <w:rsid w:val="00651791"/>
    <w:rsid w:val="00663733"/>
    <w:rsid w:val="006C6E8F"/>
    <w:rsid w:val="006D52C4"/>
    <w:rsid w:val="006D7678"/>
    <w:rsid w:val="006E2D42"/>
    <w:rsid w:val="006E3C7B"/>
    <w:rsid w:val="006F79A7"/>
    <w:rsid w:val="00703676"/>
    <w:rsid w:val="00707304"/>
    <w:rsid w:val="00732269"/>
    <w:rsid w:val="00744E02"/>
    <w:rsid w:val="00771008"/>
    <w:rsid w:val="00771EDF"/>
    <w:rsid w:val="00785ABD"/>
    <w:rsid w:val="007A2DD4"/>
    <w:rsid w:val="007A5E37"/>
    <w:rsid w:val="007A646E"/>
    <w:rsid w:val="007B0FC2"/>
    <w:rsid w:val="007D38B5"/>
    <w:rsid w:val="007E410C"/>
    <w:rsid w:val="007E7EA0"/>
    <w:rsid w:val="0080184F"/>
    <w:rsid w:val="00807255"/>
    <w:rsid w:val="0081023E"/>
    <w:rsid w:val="00812EDD"/>
    <w:rsid w:val="008173AA"/>
    <w:rsid w:val="0081765E"/>
    <w:rsid w:val="00823D54"/>
    <w:rsid w:val="00840A14"/>
    <w:rsid w:val="00850014"/>
    <w:rsid w:val="00871F3E"/>
    <w:rsid w:val="00873948"/>
    <w:rsid w:val="008B2989"/>
    <w:rsid w:val="008B62B4"/>
    <w:rsid w:val="008C0367"/>
    <w:rsid w:val="008C6031"/>
    <w:rsid w:val="008C7586"/>
    <w:rsid w:val="008D2D7B"/>
    <w:rsid w:val="008E0737"/>
    <w:rsid w:val="008F3782"/>
    <w:rsid w:val="008F7C2C"/>
    <w:rsid w:val="0090205A"/>
    <w:rsid w:val="00931FEA"/>
    <w:rsid w:val="00940377"/>
    <w:rsid w:val="00940E96"/>
    <w:rsid w:val="009469A8"/>
    <w:rsid w:val="009529A1"/>
    <w:rsid w:val="00966F0C"/>
    <w:rsid w:val="009B0BAE"/>
    <w:rsid w:val="009C166B"/>
    <w:rsid w:val="009C1C89"/>
    <w:rsid w:val="009C7AF5"/>
    <w:rsid w:val="009D26AF"/>
    <w:rsid w:val="009D6210"/>
    <w:rsid w:val="009F1A49"/>
    <w:rsid w:val="009F3283"/>
    <w:rsid w:val="009F3448"/>
    <w:rsid w:val="009F70BA"/>
    <w:rsid w:val="00A01CF9"/>
    <w:rsid w:val="00A467D7"/>
    <w:rsid w:val="00A60872"/>
    <w:rsid w:val="00A71773"/>
    <w:rsid w:val="00A777DF"/>
    <w:rsid w:val="00A80587"/>
    <w:rsid w:val="00AA6FBB"/>
    <w:rsid w:val="00AB0F0D"/>
    <w:rsid w:val="00AB4855"/>
    <w:rsid w:val="00AB581E"/>
    <w:rsid w:val="00AB647A"/>
    <w:rsid w:val="00AC4A11"/>
    <w:rsid w:val="00AC5765"/>
    <w:rsid w:val="00AD455A"/>
    <w:rsid w:val="00AE2C85"/>
    <w:rsid w:val="00AE3951"/>
    <w:rsid w:val="00B1220A"/>
    <w:rsid w:val="00B12A37"/>
    <w:rsid w:val="00B15264"/>
    <w:rsid w:val="00B23C8F"/>
    <w:rsid w:val="00B40724"/>
    <w:rsid w:val="00B46B4D"/>
    <w:rsid w:val="00B63EF2"/>
    <w:rsid w:val="00B670D1"/>
    <w:rsid w:val="00B72D88"/>
    <w:rsid w:val="00B76459"/>
    <w:rsid w:val="00B9042C"/>
    <w:rsid w:val="00BA7D89"/>
    <w:rsid w:val="00BC0D39"/>
    <w:rsid w:val="00BC7BC0"/>
    <w:rsid w:val="00BD57B7"/>
    <w:rsid w:val="00BE63E2"/>
    <w:rsid w:val="00C1213A"/>
    <w:rsid w:val="00C25304"/>
    <w:rsid w:val="00C50619"/>
    <w:rsid w:val="00C65BBD"/>
    <w:rsid w:val="00C7300A"/>
    <w:rsid w:val="00C93B57"/>
    <w:rsid w:val="00C94454"/>
    <w:rsid w:val="00C957F3"/>
    <w:rsid w:val="00CA65B7"/>
    <w:rsid w:val="00CC414D"/>
    <w:rsid w:val="00CD2009"/>
    <w:rsid w:val="00CD7DCA"/>
    <w:rsid w:val="00CE438F"/>
    <w:rsid w:val="00CE4F9F"/>
    <w:rsid w:val="00CF5A96"/>
    <w:rsid w:val="00CF629C"/>
    <w:rsid w:val="00D24210"/>
    <w:rsid w:val="00D33518"/>
    <w:rsid w:val="00D40000"/>
    <w:rsid w:val="00D51854"/>
    <w:rsid w:val="00D566D8"/>
    <w:rsid w:val="00D571E7"/>
    <w:rsid w:val="00D6424A"/>
    <w:rsid w:val="00D92A01"/>
    <w:rsid w:val="00D92EEA"/>
    <w:rsid w:val="00DA5D4E"/>
    <w:rsid w:val="00DA764A"/>
    <w:rsid w:val="00DC7159"/>
    <w:rsid w:val="00DE2896"/>
    <w:rsid w:val="00DF01BF"/>
    <w:rsid w:val="00DF51C2"/>
    <w:rsid w:val="00E1739C"/>
    <w:rsid w:val="00E176BA"/>
    <w:rsid w:val="00E229E6"/>
    <w:rsid w:val="00E24152"/>
    <w:rsid w:val="00E423EC"/>
    <w:rsid w:val="00E55121"/>
    <w:rsid w:val="00E576D6"/>
    <w:rsid w:val="00E71FE9"/>
    <w:rsid w:val="00EA2975"/>
    <w:rsid w:val="00EB4FCB"/>
    <w:rsid w:val="00EC6BC5"/>
    <w:rsid w:val="00EC7544"/>
    <w:rsid w:val="00EE0121"/>
    <w:rsid w:val="00EF534C"/>
    <w:rsid w:val="00F0123C"/>
    <w:rsid w:val="00F02274"/>
    <w:rsid w:val="00F10E37"/>
    <w:rsid w:val="00F255D9"/>
    <w:rsid w:val="00F31FDE"/>
    <w:rsid w:val="00F35898"/>
    <w:rsid w:val="00F438DC"/>
    <w:rsid w:val="00F46D46"/>
    <w:rsid w:val="00F5225B"/>
    <w:rsid w:val="00F62500"/>
    <w:rsid w:val="00F63F9B"/>
    <w:rsid w:val="00FA22E1"/>
    <w:rsid w:val="00FB3794"/>
    <w:rsid w:val="00FC6CD6"/>
    <w:rsid w:val="00FD0C92"/>
    <w:rsid w:val="00FD22D8"/>
    <w:rsid w:val="00FE0B5C"/>
    <w:rsid w:val="00FE5701"/>
    <w:rsid w:val="00FF0D95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uiPriority w:val="39"/>
    <w:rsid w:val="00CE4F9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122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2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220A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20A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6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05-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\\blue\dfs\refinfo\REFTXT\REFTXT2022\SG\CONSEIL\C22\000\&#1101;&#1090;&#1086;&#1081;%20&#1089;&#1089;&#1099;&#1083;&#1082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Constitution-R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8</Pages>
  <Words>2254</Words>
  <Characters>13785</Characters>
  <Application>Microsoft Office Word</Application>
  <DocSecurity>4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Advancement within grade for professional and higher categories</vt:lpstr>
      <vt:lpstr/>
    </vt:vector>
  </TitlesOfParts>
  <Manager>General Secretariat - Pool</Manager>
  <Company>International Telecommunication Union (ITU)</Company>
  <LinksUpToDate>false</LinksUpToDate>
  <CharactersWithSpaces>16007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Advancement within grade for professional and higher categories</dc:title>
  <dc:subject>Council 2022</dc:subject>
  <dc:creator>Miliaeva, Olga</dc:creator>
  <cp:keywords>C2022, C22, Council-22</cp:keywords>
  <dc:description/>
  <cp:lastModifiedBy>Brouard, Ricarda</cp:lastModifiedBy>
  <cp:revision>2</cp:revision>
  <cp:lastPrinted>2006-03-28T16:12:00Z</cp:lastPrinted>
  <dcterms:created xsi:type="dcterms:W3CDTF">2022-03-23T19:18:00Z</dcterms:created>
  <dcterms:modified xsi:type="dcterms:W3CDTF">2022-03-23T19:18:00Z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