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26A7A" w:rsidRDefault="002A2188" w:rsidP="00C21D85">
            <w:pPr>
              <w:spacing w:before="360" w:after="48"/>
              <w:rPr>
                <w:rFonts w:asciiTheme="minorHAnsi" w:hAnsiTheme="minorHAnsi" w:cstheme="minorHAnsi"/>
                <w:position w:val="6"/>
              </w:rPr>
            </w:pPr>
            <w:bookmarkStart w:id="0" w:name="dc06"/>
            <w:bookmarkStart w:id="1" w:name="_Hlk66378539"/>
            <w:bookmarkEnd w:id="0"/>
            <w:r w:rsidRPr="00826A7A">
              <w:rPr>
                <w:rFonts w:asciiTheme="minorHAnsi" w:hAnsiTheme="minorHAnsi" w:cstheme="minorHAnsi"/>
                <w:b/>
                <w:bCs/>
                <w:position w:val="6"/>
                <w:sz w:val="30"/>
                <w:szCs w:val="30"/>
              </w:rPr>
              <w:t>Council 20</w:t>
            </w:r>
            <w:r w:rsidR="004A1B8B" w:rsidRPr="00826A7A">
              <w:rPr>
                <w:rFonts w:asciiTheme="minorHAnsi" w:hAnsiTheme="minorHAnsi" w:cstheme="minorHAnsi"/>
                <w:b/>
                <w:bCs/>
                <w:position w:val="6"/>
                <w:sz w:val="30"/>
                <w:szCs w:val="30"/>
              </w:rPr>
              <w:t>2</w:t>
            </w:r>
            <w:r w:rsidR="0014634F" w:rsidRPr="00826A7A">
              <w:rPr>
                <w:rFonts w:asciiTheme="minorHAnsi" w:hAnsiTheme="minorHAnsi" w:cstheme="minorHAnsi"/>
                <w:b/>
                <w:bCs/>
                <w:position w:val="6"/>
                <w:sz w:val="30"/>
                <w:szCs w:val="30"/>
              </w:rPr>
              <w:t>2</w:t>
            </w:r>
            <w:r w:rsidRPr="00826A7A">
              <w:rPr>
                <w:rFonts w:asciiTheme="minorHAnsi" w:hAnsiTheme="minorHAnsi" w:cstheme="minorHAnsi"/>
                <w:b/>
                <w:position w:val="6"/>
                <w:sz w:val="26"/>
                <w:szCs w:val="26"/>
              </w:rPr>
              <w:br/>
            </w:r>
            <w:bookmarkEnd w:id="1"/>
            <w:r w:rsidR="0014634F" w:rsidRPr="00826A7A">
              <w:rPr>
                <w:rFonts w:asciiTheme="minorHAnsi" w:hAnsiTheme="minorHAnsi" w:cstheme="minorHAnsi"/>
                <w:b/>
                <w:bCs/>
                <w:position w:val="6"/>
                <w:sz w:val="26"/>
                <w:szCs w:val="26"/>
              </w:rPr>
              <w:t>Geneva, 21-31 March 2022</w:t>
            </w:r>
          </w:p>
        </w:tc>
        <w:tc>
          <w:tcPr>
            <w:tcW w:w="3120" w:type="dxa"/>
          </w:tcPr>
          <w:p w14:paraId="60E83C12" w14:textId="77777777" w:rsidR="002A2188" w:rsidRPr="00826A7A" w:rsidRDefault="004A1B8B" w:rsidP="00C21D85">
            <w:pPr>
              <w:rPr>
                <w:rFonts w:asciiTheme="minorHAnsi" w:hAnsiTheme="minorHAnsi" w:cstheme="minorHAnsi"/>
              </w:rPr>
            </w:pPr>
            <w:bookmarkStart w:id="2" w:name="ditulogo"/>
            <w:bookmarkEnd w:id="2"/>
            <w:r w:rsidRPr="00826A7A">
              <w:rPr>
                <w:rFonts w:asciiTheme="minorHAnsi" w:hAnsiTheme="minorHAnsi" w:cstheme="minorHAnsi"/>
                <w:noProof/>
                <w:lang w:eastAsia="en-US"/>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26A7A" w:rsidRDefault="002A2188" w:rsidP="00C21D85">
            <w:pPr>
              <w:rPr>
                <w:rFonts w:asciiTheme="minorHAnsi" w:hAnsiTheme="minorHAnsi" w:cstheme="minorHAnsi"/>
                <w:b/>
                <w:smallCaps/>
              </w:rPr>
            </w:pPr>
          </w:p>
        </w:tc>
        <w:tc>
          <w:tcPr>
            <w:tcW w:w="3120" w:type="dxa"/>
            <w:tcBorders>
              <w:bottom w:val="single" w:sz="12" w:space="0" w:color="auto"/>
            </w:tcBorders>
          </w:tcPr>
          <w:p w14:paraId="76506FC1" w14:textId="77777777" w:rsidR="002A2188" w:rsidRPr="00826A7A" w:rsidRDefault="002A2188" w:rsidP="00C21D85">
            <w:pPr>
              <w:rPr>
                <w:rFonts w:asciiTheme="minorHAnsi" w:hAnsiTheme="minorHAnsi" w:cstheme="minorHAnsi"/>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26A7A" w:rsidRDefault="002A2188" w:rsidP="00C21D85">
            <w:pPr>
              <w:rPr>
                <w:rFonts w:asciiTheme="minorHAnsi" w:hAnsiTheme="minorHAnsi" w:cstheme="minorHAnsi"/>
                <w:b/>
                <w:smallCaps/>
              </w:rPr>
            </w:pPr>
          </w:p>
        </w:tc>
        <w:tc>
          <w:tcPr>
            <w:tcW w:w="3120" w:type="dxa"/>
            <w:tcBorders>
              <w:top w:val="single" w:sz="12" w:space="0" w:color="auto"/>
            </w:tcBorders>
          </w:tcPr>
          <w:p w14:paraId="49C653C0" w14:textId="77777777" w:rsidR="002A2188" w:rsidRPr="00826A7A" w:rsidRDefault="002A2188" w:rsidP="00C21D85">
            <w:pPr>
              <w:rPr>
                <w:rFonts w:asciiTheme="minorHAnsi" w:hAnsiTheme="minorHAnsi" w:cstheme="minorHAnsi"/>
              </w:rPr>
            </w:pPr>
          </w:p>
        </w:tc>
      </w:tr>
      <w:tr w:rsidR="002A2188" w:rsidRPr="00813E5E" w14:paraId="15B0AE9E" w14:textId="77777777" w:rsidTr="00464B6C">
        <w:trPr>
          <w:cantSplit/>
          <w:trHeight w:val="23"/>
        </w:trPr>
        <w:tc>
          <w:tcPr>
            <w:tcW w:w="6911" w:type="dxa"/>
            <w:vMerge w:val="restart"/>
          </w:tcPr>
          <w:p w14:paraId="6F107B8A" w14:textId="3CCD6820" w:rsidR="002A2188" w:rsidRPr="00826A7A" w:rsidRDefault="0014634F" w:rsidP="00C21D85">
            <w:pPr>
              <w:tabs>
                <w:tab w:val="left" w:pos="851"/>
              </w:tabs>
              <w:rPr>
                <w:rFonts w:asciiTheme="minorHAnsi" w:hAnsiTheme="minorHAnsi" w:cstheme="minorHAnsi"/>
                <w:b/>
              </w:rPr>
            </w:pPr>
            <w:bookmarkStart w:id="3" w:name="dmeeting" w:colFirst="0" w:colLast="0"/>
            <w:bookmarkStart w:id="4" w:name="dnum" w:colFirst="1" w:colLast="1"/>
            <w:r w:rsidRPr="00826A7A">
              <w:rPr>
                <w:rFonts w:asciiTheme="minorHAnsi" w:hAnsiTheme="minorHAnsi" w:cstheme="minorHAnsi"/>
                <w:b/>
              </w:rPr>
              <w:t>Agenda item:</w:t>
            </w:r>
            <w:r w:rsidR="00F906BF" w:rsidRPr="00826A7A">
              <w:rPr>
                <w:rFonts w:asciiTheme="minorHAnsi" w:hAnsiTheme="minorHAnsi" w:cstheme="minorHAnsi"/>
                <w:b/>
              </w:rPr>
              <w:t xml:space="preserve"> ADM </w:t>
            </w:r>
            <w:r w:rsidR="00C21D85">
              <w:rPr>
                <w:rFonts w:asciiTheme="minorHAnsi" w:hAnsiTheme="minorHAnsi" w:cstheme="minorHAnsi"/>
                <w:b/>
              </w:rPr>
              <w:t>28</w:t>
            </w:r>
          </w:p>
        </w:tc>
        <w:tc>
          <w:tcPr>
            <w:tcW w:w="3120" w:type="dxa"/>
          </w:tcPr>
          <w:p w14:paraId="66604129" w14:textId="43397BDC" w:rsidR="002A2188" w:rsidRPr="00826A7A" w:rsidRDefault="002A2188" w:rsidP="00C21D85">
            <w:pPr>
              <w:tabs>
                <w:tab w:val="left" w:pos="851"/>
              </w:tabs>
              <w:rPr>
                <w:rFonts w:asciiTheme="minorHAnsi" w:hAnsiTheme="minorHAnsi" w:cstheme="minorHAnsi"/>
                <w:b/>
              </w:rPr>
            </w:pPr>
            <w:r w:rsidRPr="00826A7A">
              <w:rPr>
                <w:rFonts w:asciiTheme="minorHAnsi" w:hAnsiTheme="minorHAnsi" w:cstheme="minorHAnsi"/>
                <w:b/>
              </w:rPr>
              <w:t>Document C</w:t>
            </w:r>
            <w:r w:rsidR="004A1B8B" w:rsidRPr="00826A7A">
              <w:rPr>
                <w:rFonts w:asciiTheme="minorHAnsi" w:hAnsiTheme="minorHAnsi" w:cstheme="minorHAnsi"/>
                <w:b/>
              </w:rPr>
              <w:t>2</w:t>
            </w:r>
            <w:r w:rsidR="0014634F" w:rsidRPr="00826A7A">
              <w:rPr>
                <w:rFonts w:asciiTheme="minorHAnsi" w:hAnsiTheme="minorHAnsi" w:cstheme="minorHAnsi"/>
                <w:b/>
              </w:rPr>
              <w:t>2</w:t>
            </w:r>
            <w:r w:rsidRPr="00826A7A">
              <w:rPr>
                <w:rFonts w:asciiTheme="minorHAnsi" w:hAnsiTheme="minorHAnsi" w:cstheme="minorHAnsi"/>
                <w:b/>
              </w:rPr>
              <w:t>/</w:t>
            </w:r>
            <w:r w:rsidR="00306BDC" w:rsidRPr="00826A7A">
              <w:rPr>
                <w:rFonts w:asciiTheme="minorHAnsi" w:hAnsiTheme="minorHAnsi" w:cstheme="minorHAnsi"/>
                <w:b/>
              </w:rPr>
              <w:t>63</w:t>
            </w:r>
            <w:r w:rsidRPr="00826A7A">
              <w:rPr>
                <w:rFonts w:asciiTheme="minorHAnsi" w:hAnsiTheme="minorHAnsi" w:cstheme="minorHAnsi"/>
                <w:b/>
              </w:rPr>
              <w:t>-E</w:t>
            </w:r>
          </w:p>
        </w:tc>
      </w:tr>
      <w:tr w:rsidR="002A2188" w:rsidRPr="00813E5E" w14:paraId="275E195F" w14:textId="77777777" w:rsidTr="00464B6C">
        <w:trPr>
          <w:cantSplit/>
          <w:trHeight w:val="23"/>
        </w:trPr>
        <w:tc>
          <w:tcPr>
            <w:tcW w:w="6911" w:type="dxa"/>
            <w:vMerge/>
          </w:tcPr>
          <w:p w14:paraId="3627AC61" w14:textId="77777777" w:rsidR="002A2188" w:rsidRPr="00826A7A" w:rsidRDefault="002A2188" w:rsidP="00C21D85">
            <w:pPr>
              <w:tabs>
                <w:tab w:val="left" w:pos="851"/>
              </w:tabs>
              <w:rPr>
                <w:rFonts w:asciiTheme="minorHAnsi" w:hAnsiTheme="minorHAnsi" w:cstheme="minorHAnsi"/>
                <w:b/>
              </w:rPr>
            </w:pPr>
            <w:bookmarkStart w:id="5" w:name="ddate" w:colFirst="1" w:colLast="1"/>
            <w:bookmarkEnd w:id="3"/>
            <w:bookmarkEnd w:id="4"/>
          </w:p>
        </w:tc>
        <w:tc>
          <w:tcPr>
            <w:tcW w:w="3120" w:type="dxa"/>
          </w:tcPr>
          <w:p w14:paraId="2B0CDBEF" w14:textId="1B9FC2AD" w:rsidR="002A2188" w:rsidRPr="00826A7A" w:rsidRDefault="00306BDC" w:rsidP="00C21D85">
            <w:pPr>
              <w:tabs>
                <w:tab w:val="left" w:pos="993"/>
              </w:tabs>
              <w:rPr>
                <w:rFonts w:asciiTheme="minorHAnsi" w:hAnsiTheme="minorHAnsi" w:cstheme="minorHAnsi"/>
                <w:b/>
              </w:rPr>
            </w:pPr>
            <w:r w:rsidRPr="00826A7A">
              <w:rPr>
                <w:rFonts w:asciiTheme="minorHAnsi" w:hAnsiTheme="minorHAnsi" w:cstheme="minorHAnsi"/>
                <w:b/>
              </w:rPr>
              <w:t>1</w:t>
            </w:r>
            <w:r w:rsidR="00706FBB">
              <w:rPr>
                <w:rFonts w:asciiTheme="minorHAnsi" w:hAnsiTheme="minorHAnsi" w:cstheme="minorHAnsi"/>
                <w:b/>
              </w:rPr>
              <w:t>8</w:t>
            </w:r>
            <w:r w:rsidR="00F906BF" w:rsidRPr="00826A7A">
              <w:rPr>
                <w:rFonts w:asciiTheme="minorHAnsi" w:hAnsiTheme="minorHAnsi" w:cstheme="minorHAnsi"/>
                <w:b/>
              </w:rPr>
              <w:t xml:space="preserve"> February</w:t>
            </w:r>
            <w:r w:rsidR="002A2188" w:rsidRPr="00826A7A">
              <w:rPr>
                <w:rFonts w:asciiTheme="minorHAnsi" w:hAnsiTheme="minorHAnsi" w:cstheme="minorHAnsi"/>
                <w:b/>
              </w:rPr>
              <w:t xml:space="preserve"> 20</w:t>
            </w:r>
            <w:r w:rsidR="004A1B8B" w:rsidRPr="00826A7A">
              <w:rPr>
                <w:rFonts w:asciiTheme="minorHAnsi" w:hAnsiTheme="minorHAnsi" w:cstheme="minorHAnsi"/>
                <w:b/>
              </w:rPr>
              <w:t>2</w:t>
            </w:r>
            <w:r w:rsidR="00F906BF" w:rsidRPr="00826A7A">
              <w:rPr>
                <w:rFonts w:asciiTheme="minorHAnsi" w:hAnsiTheme="minorHAnsi" w:cstheme="minorHAnsi"/>
                <w:b/>
              </w:rPr>
              <w:t>2</w:t>
            </w:r>
          </w:p>
        </w:tc>
      </w:tr>
      <w:tr w:rsidR="002A2188" w:rsidRPr="00813E5E" w14:paraId="29B42488" w14:textId="77777777" w:rsidTr="00464B6C">
        <w:trPr>
          <w:cantSplit/>
          <w:trHeight w:val="23"/>
        </w:trPr>
        <w:tc>
          <w:tcPr>
            <w:tcW w:w="6911" w:type="dxa"/>
            <w:vMerge/>
          </w:tcPr>
          <w:p w14:paraId="6000182B" w14:textId="77777777" w:rsidR="002A2188" w:rsidRPr="00826A7A" w:rsidRDefault="002A2188" w:rsidP="00C21D85">
            <w:pPr>
              <w:tabs>
                <w:tab w:val="left" w:pos="851"/>
              </w:tabs>
              <w:rPr>
                <w:rFonts w:asciiTheme="minorHAnsi" w:hAnsiTheme="minorHAnsi" w:cstheme="minorHAnsi"/>
                <w:b/>
              </w:rPr>
            </w:pPr>
            <w:bookmarkStart w:id="6" w:name="dorlang" w:colFirst="1" w:colLast="1"/>
            <w:bookmarkEnd w:id="5"/>
          </w:p>
        </w:tc>
        <w:tc>
          <w:tcPr>
            <w:tcW w:w="3120" w:type="dxa"/>
          </w:tcPr>
          <w:p w14:paraId="7EAC0E79" w14:textId="77777777" w:rsidR="002A2188" w:rsidRPr="00826A7A" w:rsidRDefault="002A2188" w:rsidP="00C21D85">
            <w:pPr>
              <w:tabs>
                <w:tab w:val="left" w:pos="993"/>
              </w:tabs>
              <w:rPr>
                <w:rFonts w:asciiTheme="minorHAnsi" w:hAnsiTheme="minorHAnsi" w:cstheme="minorHAnsi"/>
                <w:b/>
              </w:rPr>
            </w:pPr>
            <w:r w:rsidRPr="00826A7A">
              <w:rPr>
                <w:rFonts w:asciiTheme="minorHAnsi" w:hAnsiTheme="minorHAnsi" w:cstheme="minorHAnsi"/>
                <w:b/>
              </w:rPr>
              <w:t>Original: English</w:t>
            </w:r>
          </w:p>
        </w:tc>
      </w:tr>
      <w:tr w:rsidR="002A2188" w:rsidRPr="00813E5E" w14:paraId="79546A94" w14:textId="77777777" w:rsidTr="00464B6C">
        <w:trPr>
          <w:cantSplit/>
        </w:trPr>
        <w:tc>
          <w:tcPr>
            <w:tcW w:w="10031" w:type="dxa"/>
            <w:gridSpan w:val="2"/>
          </w:tcPr>
          <w:p w14:paraId="7EEA3085" w14:textId="2DEEB841" w:rsidR="002A2188" w:rsidRPr="00826A7A" w:rsidRDefault="0014634F" w:rsidP="00C21D85">
            <w:pPr>
              <w:pStyle w:val="Source"/>
              <w:rPr>
                <w:rFonts w:asciiTheme="minorHAnsi" w:hAnsiTheme="minorHAnsi" w:cstheme="minorHAnsi"/>
              </w:rPr>
            </w:pPr>
            <w:bookmarkStart w:id="7" w:name="dsource" w:colFirst="0" w:colLast="0"/>
            <w:bookmarkEnd w:id="6"/>
            <w:r w:rsidRPr="00826A7A">
              <w:rPr>
                <w:rFonts w:asciiTheme="minorHAnsi" w:hAnsiTheme="minorHAnsi" w:cstheme="minorHAnsi"/>
              </w:rPr>
              <w:t>Report by the Secretary-General</w:t>
            </w:r>
          </w:p>
        </w:tc>
      </w:tr>
      <w:tr w:rsidR="002A2188" w:rsidRPr="00813E5E" w14:paraId="5B5E8CC5" w14:textId="77777777" w:rsidTr="00464B6C">
        <w:trPr>
          <w:cantSplit/>
        </w:trPr>
        <w:tc>
          <w:tcPr>
            <w:tcW w:w="10031" w:type="dxa"/>
            <w:gridSpan w:val="2"/>
          </w:tcPr>
          <w:p w14:paraId="3689B12B" w14:textId="24CD3446" w:rsidR="002A2188" w:rsidRPr="00813E5E" w:rsidRDefault="00306BDC" w:rsidP="00C21D85">
            <w:pPr>
              <w:pStyle w:val="Title1"/>
            </w:pPr>
            <w:bookmarkStart w:id="8" w:name="dtitle1" w:colFirst="0" w:colLast="0"/>
            <w:bookmarkEnd w:id="7"/>
            <w:r>
              <w:t>Draft Financial plan for 2024-2027</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306BDC" w:rsidRDefault="002A2188" w:rsidP="00C21D85">
            <w:pPr>
              <w:pStyle w:val="Headingb"/>
              <w:spacing w:before="120" w:after="120"/>
              <w:rPr>
                <w:rFonts w:asciiTheme="minorHAnsi" w:hAnsiTheme="minorHAnsi" w:cstheme="minorHAnsi"/>
              </w:rPr>
            </w:pPr>
            <w:r w:rsidRPr="00306BDC">
              <w:rPr>
                <w:rFonts w:asciiTheme="minorHAnsi" w:hAnsiTheme="minorHAnsi" w:cstheme="minorHAnsi"/>
              </w:rPr>
              <w:t>Summary</w:t>
            </w:r>
          </w:p>
          <w:p w14:paraId="5F110170" w14:textId="5DA5E2E3" w:rsidR="00306BDC" w:rsidRPr="00306BDC" w:rsidRDefault="00306BDC" w:rsidP="00C21D85">
            <w:pPr>
              <w:pStyle w:val="Headingb"/>
              <w:tabs>
                <w:tab w:val="clear" w:pos="567"/>
              </w:tabs>
              <w:spacing w:before="120" w:after="120"/>
              <w:ind w:left="0" w:firstLine="0"/>
              <w:rPr>
                <w:rFonts w:asciiTheme="minorHAnsi" w:hAnsiTheme="minorHAnsi" w:cstheme="minorHAnsi"/>
                <w:b w:val="0"/>
              </w:rPr>
            </w:pPr>
            <w:r w:rsidRPr="00306BDC">
              <w:rPr>
                <w:rFonts w:asciiTheme="minorHAnsi" w:hAnsiTheme="minorHAnsi" w:cstheme="minorHAnsi"/>
                <w:b w:val="0"/>
              </w:rPr>
              <w:t xml:space="preserve">This document presents the draft </w:t>
            </w:r>
            <w:r w:rsidR="00A11D10">
              <w:rPr>
                <w:rFonts w:asciiTheme="minorHAnsi" w:hAnsiTheme="minorHAnsi" w:cstheme="minorHAnsi"/>
                <w:b w:val="0"/>
              </w:rPr>
              <w:t>f</w:t>
            </w:r>
            <w:r w:rsidRPr="00306BDC">
              <w:rPr>
                <w:rFonts w:asciiTheme="minorHAnsi" w:hAnsiTheme="minorHAnsi" w:cstheme="minorHAnsi"/>
                <w:b w:val="0"/>
              </w:rPr>
              <w:t xml:space="preserve">inancial </w:t>
            </w:r>
            <w:r w:rsidR="00A11D10">
              <w:rPr>
                <w:rFonts w:asciiTheme="minorHAnsi" w:hAnsiTheme="minorHAnsi" w:cstheme="minorHAnsi"/>
                <w:b w:val="0"/>
              </w:rPr>
              <w:t>p</w:t>
            </w:r>
            <w:r w:rsidRPr="00306BDC">
              <w:rPr>
                <w:rFonts w:asciiTheme="minorHAnsi" w:hAnsiTheme="minorHAnsi" w:cstheme="minorHAnsi"/>
                <w:b w:val="0"/>
              </w:rPr>
              <w:t xml:space="preserve">lan of the Union for 2024-2027. It also gives a preliminary analysis of the variances versus the 2020-2023 </w:t>
            </w:r>
            <w:r w:rsidR="00A11D10">
              <w:rPr>
                <w:rFonts w:asciiTheme="minorHAnsi" w:hAnsiTheme="minorHAnsi" w:cstheme="minorHAnsi"/>
                <w:b w:val="0"/>
              </w:rPr>
              <w:t>f</w:t>
            </w:r>
            <w:r w:rsidRPr="00306BDC">
              <w:rPr>
                <w:rFonts w:asciiTheme="minorHAnsi" w:hAnsiTheme="minorHAnsi" w:cstheme="minorHAnsi"/>
                <w:b w:val="0"/>
              </w:rPr>
              <w:t xml:space="preserve">inancial </w:t>
            </w:r>
            <w:r w:rsidR="00A11D10">
              <w:rPr>
                <w:rFonts w:asciiTheme="minorHAnsi" w:hAnsiTheme="minorHAnsi" w:cstheme="minorHAnsi"/>
                <w:b w:val="0"/>
              </w:rPr>
              <w:t>p</w:t>
            </w:r>
            <w:r w:rsidRPr="00306BDC">
              <w:rPr>
                <w:rFonts w:asciiTheme="minorHAnsi" w:hAnsiTheme="minorHAnsi" w:cstheme="minorHAnsi"/>
                <w:b w:val="0"/>
              </w:rPr>
              <w:t xml:space="preserve">lan and the 2020-2021 and 2022-2023 </w:t>
            </w:r>
            <w:r w:rsidR="00A11D10">
              <w:rPr>
                <w:rFonts w:asciiTheme="minorHAnsi" w:hAnsiTheme="minorHAnsi" w:cstheme="minorHAnsi"/>
                <w:b w:val="0"/>
              </w:rPr>
              <w:t>b</w:t>
            </w:r>
            <w:r w:rsidRPr="00306BDC">
              <w:rPr>
                <w:rFonts w:asciiTheme="minorHAnsi" w:hAnsiTheme="minorHAnsi" w:cstheme="minorHAnsi"/>
                <w:b w:val="0"/>
              </w:rPr>
              <w:t xml:space="preserve">udgets. This draft </w:t>
            </w:r>
            <w:r w:rsidR="00A11D10">
              <w:rPr>
                <w:rFonts w:asciiTheme="minorHAnsi" w:hAnsiTheme="minorHAnsi" w:cstheme="minorHAnsi"/>
                <w:b w:val="0"/>
              </w:rPr>
              <w:t>f</w:t>
            </w:r>
            <w:r w:rsidRPr="00306BDC">
              <w:rPr>
                <w:rFonts w:asciiTheme="minorHAnsi" w:hAnsiTheme="minorHAnsi" w:cstheme="minorHAnsi"/>
                <w:b w:val="0"/>
              </w:rPr>
              <w:t xml:space="preserve">inancial </w:t>
            </w:r>
            <w:r w:rsidR="00A11D10">
              <w:rPr>
                <w:rFonts w:asciiTheme="minorHAnsi" w:hAnsiTheme="minorHAnsi" w:cstheme="minorHAnsi"/>
                <w:b w:val="0"/>
              </w:rPr>
              <w:t>p</w:t>
            </w:r>
            <w:r w:rsidRPr="00306BDC">
              <w:rPr>
                <w:rFonts w:asciiTheme="minorHAnsi" w:hAnsiTheme="minorHAnsi" w:cstheme="minorHAnsi"/>
                <w:b w:val="0"/>
              </w:rPr>
              <w:t>lan for 2024-2027 is balanced (</w:t>
            </w:r>
            <w:r w:rsidR="00062262">
              <w:rPr>
                <w:rFonts w:asciiTheme="minorHAnsi" w:hAnsiTheme="minorHAnsi" w:cstheme="minorHAnsi"/>
                <w:b w:val="0"/>
              </w:rPr>
              <w:t>r</w:t>
            </w:r>
            <w:r w:rsidRPr="00306BDC">
              <w:rPr>
                <w:rFonts w:asciiTheme="minorHAnsi" w:hAnsiTheme="minorHAnsi" w:cstheme="minorHAnsi"/>
                <w:b w:val="0"/>
              </w:rPr>
              <w:t xml:space="preserve">evenue = </w:t>
            </w:r>
            <w:r w:rsidR="00062262">
              <w:rPr>
                <w:rFonts w:asciiTheme="minorHAnsi" w:hAnsiTheme="minorHAnsi" w:cstheme="minorHAnsi"/>
                <w:b w:val="0"/>
              </w:rPr>
              <w:t>e</w:t>
            </w:r>
            <w:r w:rsidRPr="00306BDC">
              <w:rPr>
                <w:rFonts w:asciiTheme="minorHAnsi" w:hAnsiTheme="minorHAnsi" w:cstheme="minorHAnsi"/>
                <w:b w:val="0"/>
              </w:rPr>
              <w:t>xpenses) and amounts to CHF</w:t>
            </w:r>
            <w:r w:rsidR="00A11D10">
              <w:rPr>
                <w:rFonts w:asciiTheme="minorHAnsi" w:hAnsiTheme="minorHAnsi" w:cstheme="minorHAnsi"/>
                <w:b w:val="0"/>
              </w:rPr>
              <w:t> </w:t>
            </w:r>
            <w:r w:rsidRPr="00306BDC">
              <w:rPr>
                <w:rFonts w:asciiTheme="minorHAnsi" w:hAnsiTheme="minorHAnsi" w:cstheme="minorHAnsi"/>
                <w:b w:val="0"/>
              </w:rPr>
              <w:t>639.85 million.</w:t>
            </w:r>
          </w:p>
          <w:p w14:paraId="17A30379" w14:textId="545F1763" w:rsidR="002A2188" w:rsidRPr="00306BDC" w:rsidRDefault="002A2188" w:rsidP="00C21D85">
            <w:pPr>
              <w:pStyle w:val="Headingb"/>
              <w:tabs>
                <w:tab w:val="clear" w:pos="567"/>
              </w:tabs>
              <w:spacing w:before="120" w:after="120"/>
              <w:ind w:left="0" w:firstLine="0"/>
              <w:rPr>
                <w:rFonts w:asciiTheme="minorHAnsi" w:hAnsiTheme="minorHAnsi" w:cstheme="minorHAnsi"/>
              </w:rPr>
            </w:pPr>
            <w:r w:rsidRPr="00306BDC">
              <w:rPr>
                <w:rFonts w:asciiTheme="minorHAnsi" w:hAnsiTheme="minorHAnsi" w:cstheme="minorHAnsi"/>
              </w:rPr>
              <w:t>Action required</w:t>
            </w:r>
          </w:p>
          <w:p w14:paraId="125CFD44" w14:textId="744145D7" w:rsidR="00F906BF" w:rsidRPr="00306BDC" w:rsidRDefault="00F906BF" w:rsidP="00C21D85">
            <w:pPr>
              <w:spacing w:before="120" w:after="120"/>
              <w:jc w:val="both"/>
              <w:rPr>
                <w:rFonts w:asciiTheme="minorHAnsi" w:hAnsiTheme="minorHAnsi" w:cstheme="minorHAnsi"/>
              </w:rPr>
            </w:pPr>
            <w:r w:rsidRPr="00306BDC">
              <w:rPr>
                <w:rFonts w:asciiTheme="minorHAnsi" w:hAnsiTheme="minorHAnsi" w:cstheme="minorHAnsi"/>
              </w:rPr>
              <w:t xml:space="preserve">The Council is invited </w:t>
            </w:r>
            <w:r w:rsidR="00306BDC" w:rsidRPr="00306BDC">
              <w:rPr>
                <w:rFonts w:asciiTheme="minorHAnsi" w:hAnsiTheme="minorHAnsi" w:cstheme="minorHAnsi"/>
              </w:rPr>
              <w:t xml:space="preserve">to examine the </w:t>
            </w:r>
            <w:r w:rsidR="00306BDC" w:rsidRPr="00306BDC">
              <w:rPr>
                <w:rFonts w:asciiTheme="minorHAnsi" w:eastAsia="SimSun" w:hAnsiTheme="minorHAnsi" w:cstheme="minorHAnsi"/>
              </w:rPr>
              <w:t xml:space="preserve">draft </w:t>
            </w:r>
            <w:r w:rsidR="009255D1">
              <w:rPr>
                <w:rFonts w:asciiTheme="minorHAnsi" w:eastAsia="SimSun" w:hAnsiTheme="minorHAnsi" w:cstheme="minorHAnsi"/>
              </w:rPr>
              <w:t>f</w:t>
            </w:r>
            <w:r w:rsidR="00306BDC" w:rsidRPr="00306BDC">
              <w:rPr>
                <w:rFonts w:asciiTheme="minorHAnsi" w:eastAsia="SimSun" w:hAnsiTheme="minorHAnsi" w:cstheme="minorHAnsi"/>
              </w:rPr>
              <w:t xml:space="preserve">inancial </w:t>
            </w:r>
            <w:r w:rsidR="009255D1">
              <w:rPr>
                <w:rFonts w:asciiTheme="minorHAnsi" w:eastAsia="SimSun" w:hAnsiTheme="minorHAnsi" w:cstheme="minorHAnsi"/>
              </w:rPr>
              <w:t>p</w:t>
            </w:r>
            <w:r w:rsidR="00306BDC" w:rsidRPr="00306BDC">
              <w:rPr>
                <w:rFonts w:asciiTheme="minorHAnsi" w:eastAsia="SimSun" w:hAnsiTheme="minorHAnsi" w:cstheme="minorHAnsi"/>
              </w:rPr>
              <w:t>lan for 2024-2027 and provide advice and guidance for subsequent transmittal of the latter to the 2022</w:t>
            </w:r>
            <w:r w:rsidR="009255D1">
              <w:rPr>
                <w:rFonts w:asciiTheme="minorHAnsi" w:eastAsia="SimSun" w:hAnsiTheme="minorHAnsi" w:cstheme="minorHAnsi"/>
              </w:rPr>
              <w:t> </w:t>
            </w:r>
            <w:r w:rsidR="00306BDC" w:rsidRPr="00306BDC">
              <w:rPr>
                <w:rFonts w:asciiTheme="minorHAnsi" w:eastAsia="SimSun" w:hAnsiTheme="minorHAnsi" w:cstheme="minorHAnsi"/>
              </w:rPr>
              <w:t>Plenipotentiary Conference.</w:t>
            </w:r>
          </w:p>
          <w:p w14:paraId="6D31B914" w14:textId="77777777" w:rsidR="002A2188" w:rsidRPr="00306BDC" w:rsidRDefault="002A2188" w:rsidP="00C21D85">
            <w:pPr>
              <w:pStyle w:val="Headingb"/>
              <w:spacing w:before="120" w:after="120"/>
              <w:rPr>
                <w:rFonts w:asciiTheme="minorHAnsi" w:hAnsiTheme="minorHAnsi" w:cstheme="minorHAnsi"/>
              </w:rPr>
            </w:pPr>
            <w:r w:rsidRPr="00306BDC">
              <w:rPr>
                <w:rFonts w:asciiTheme="minorHAnsi" w:hAnsiTheme="minorHAnsi" w:cstheme="minorHAnsi"/>
              </w:rPr>
              <w:t>References</w:t>
            </w:r>
          </w:p>
          <w:p w14:paraId="27962E2D" w14:textId="203E4100" w:rsidR="002A2188" w:rsidRPr="00306BDC" w:rsidRDefault="00961E5D" w:rsidP="00C21D85">
            <w:pPr>
              <w:rPr>
                <w:rStyle w:val="Hyperlink"/>
                <w:rFonts w:asciiTheme="minorHAnsi" w:hAnsiTheme="minorHAnsi" w:cstheme="minorHAnsi"/>
                <w:i/>
                <w:iCs/>
                <w:szCs w:val="28"/>
              </w:rPr>
            </w:pPr>
            <w:hyperlink r:id="rId9" w:history="1">
              <w:r w:rsidR="00F906BF" w:rsidRPr="00306BDC">
                <w:rPr>
                  <w:rStyle w:val="Hyperlink"/>
                  <w:rFonts w:asciiTheme="minorHAnsi" w:hAnsiTheme="minorHAnsi" w:cstheme="minorHAnsi"/>
                  <w:i/>
                  <w:iCs/>
                  <w:szCs w:val="28"/>
                </w:rPr>
                <w:t>Decision 5 (Rev. Dubai, 2018)</w:t>
              </w:r>
            </w:hyperlink>
          </w:p>
          <w:p w14:paraId="47763C34" w14:textId="1B45F722" w:rsidR="002A2188" w:rsidRPr="00813E5E" w:rsidRDefault="00306BDC" w:rsidP="00C21D85">
            <w:pPr>
              <w:spacing w:after="120"/>
              <w:rPr>
                <w:i/>
                <w:iCs/>
              </w:rPr>
            </w:pPr>
            <w:r w:rsidRPr="00306BDC">
              <w:rPr>
                <w:rStyle w:val="Hyperlink"/>
                <w:rFonts w:asciiTheme="minorHAnsi" w:hAnsiTheme="minorHAnsi" w:cstheme="minorHAnsi"/>
                <w:i/>
                <w:iCs/>
                <w:szCs w:val="28"/>
              </w:rPr>
              <w:t>Provision 51, Article 8 of the Constitution</w:t>
            </w:r>
          </w:p>
        </w:tc>
      </w:tr>
    </w:tbl>
    <w:p w14:paraId="2D3E1ACE" w14:textId="61FB12B5" w:rsidR="0014634F" w:rsidRDefault="0014634F" w:rsidP="00DB384B">
      <w:bookmarkStart w:id="9" w:name="dstart"/>
      <w:bookmarkStart w:id="10" w:name="dbreak"/>
      <w:bookmarkEnd w:id="9"/>
      <w:bookmarkEnd w:id="10"/>
      <w:r>
        <w:br w:type="page"/>
      </w:r>
    </w:p>
    <w:p w14:paraId="2328F85B" w14:textId="6E7BFE10" w:rsidR="00F906BF" w:rsidRPr="00C21D85" w:rsidRDefault="00F906BF" w:rsidP="00C21D85">
      <w:pPr>
        <w:numPr>
          <w:ilvl w:val="0"/>
          <w:numId w:val="2"/>
        </w:numPr>
        <w:snapToGrid w:val="0"/>
        <w:spacing w:before="160" w:after="160"/>
        <w:ind w:left="709" w:firstLine="0"/>
        <w:rPr>
          <w:rFonts w:asciiTheme="minorHAnsi" w:hAnsiTheme="minorHAnsi" w:cstheme="minorHAnsi"/>
          <w:b/>
          <w:bCs/>
          <w:lang w:val="en-AU"/>
        </w:rPr>
      </w:pPr>
      <w:r w:rsidRPr="00C21D85">
        <w:rPr>
          <w:rFonts w:asciiTheme="minorHAnsi" w:hAnsiTheme="minorHAnsi" w:cstheme="minorHAnsi"/>
          <w:b/>
          <w:bCs/>
          <w:lang w:val="en-AU"/>
        </w:rPr>
        <w:lastRenderedPageBreak/>
        <w:t>Introduction</w:t>
      </w:r>
    </w:p>
    <w:p w14:paraId="4CF793CD" w14:textId="72382E59" w:rsidR="00306BDC" w:rsidRPr="00C21D85" w:rsidRDefault="00306BDC" w:rsidP="001F4F21">
      <w:pPr>
        <w:snapToGrid w:val="0"/>
        <w:spacing w:before="200" w:after="160"/>
        <w:jc w:val="both"/>
        <w:rPr>
          <w:rFonts w:asciiTheme="minorHAnsi" w:hAnsiTheme="minorHAnsi" w:cstheme="minorHAnsi"/>
          <w:bCs/>
        </w:rPr>
      </w:pPr>
      <w:r w:rsidRPr="00C21D85">
        <w:rPr>
          <w:rFonts w:asciiTheme="minorHAnsi" w:hAnsiTheme="minorHAnsi" w:cstheme="minorHAnsi"/>
        </w:rPr>
        <w:t>1.1</w:t>
      </w:r>
      <w:r w:rsidRPr="00C21D85">
        <w:rPr>
          <w:rFonts w:asciiTheme="minorHAnsi" w:hAnsiTheme="minorHAnsi" w:cstheme="minorHAnsi"/>
        </w:rPr>
        <w:tab/>
      </w:r>
      <w:r w:rsidRPr="00C21D85">
        <w:rPr>
          <w:rFonts w:asciiTheme="minorHAnsi" w:hAnsiTheme="minorHAnsi" w:cstheme="minorHAnsi"/>
          <w:bCs/>
        </w:rPr>
        <w:t xml:space="preserve">The purpose of the draft </w:t>
      </w:r>
      <w:r w:rsidR="009255D1" w:rsidRPr="00C21D85">
        <w:rPr>
          <w:rFonts w:asciiTheme="minorHAnsi" w:hAnsiTheme="minorHAnsi" w:cstheme="minorHAnsi"/>
          <w:bCs/>
        </w:rPr>
        <w:t>f</w:t>
      </w:r>
      <w:r w:rsidRPr="00C21D85">
        <w:rPr>
          <w:rFonts w:asciiTheme="minorHAnsi" w:hAnsiTheme="minorHAnsi" w:cstheme="minorHAnsi"/>
          <w:bCs/>
        </w:rPr>
        <w:t xml:space="preserve">inancial </w:t>
      </w:r>
      <w:r w:rsidR="009255D1" w:rsidRPr="00C21D85">
        <w:rPr>
          <w:rFonts w:asciiTheme="minorHAnsi" w:hAnsiTheme="minorHAnsi" w:cstheme="minorHAnsi"/>
          <w:bCs/>
        </w:rPr>
        <w:t>p</w:t>
      </w:r>
      <w:r w:rsidRPr="00C21D85">
        <w:rPr>
          <w:rFonts w:asciiTheme="minorHAnsi" w:hAnsiTheme="minorHAnsi" w:cstheme="minorHAnsi"/>
          <w:bCs/>
        </w:rPr>
        <w:t xml:space="preserve">lan for 2024-2027 is to provide a tool for the 2022 Plenipotentiary Conference to establish the basis for the budget of the Union and determine related financial limits, until the next </w:t>
      </w:r>
      <w:r w:rsidR="009255D1" w:rsidRPr="00C21D85">
        <w:rPr>
          <w:rFonts w:asciiTheme="minorHAnsi" w:hAnsiTheme="minorHAnsi" w:cstheme="minorHAnsi"/>
          <w:bCs/>
        </w:rPr>
        <w:t>p</w:t>
      </w:r>
      <w:r w:rsidRPr="00C21D85">
        <w:rPr>
          <w:rFonts w:asciiTheme="minorHAnsi" w:hAnsiTheme="minorHAnsi" w:cstheme="minorHAnsi"/>
          <w:bCs/>
        </w:rPr>
        <w:t xml:space="preserve">lenipotentiary </w:t>
      </w:r>
      <w:r w:rsidR="009255D1" w:rsidRPr="00C21D85">
        <w:rPr>
          <w:rFonts w:asciiTheme="minorHAnsi" w:hAnsiTheme="minorHAnsi" w:cstheme="minorHAnsi"/>
          <w:bCs/>
        </w:rPr>
        <w:t>c</w:t>
      </w:r>
      <w:r w:rsidRPr="00C21D85">
        <w:rPr>
          <w:rFonts w:asciiTheme="minorHAnsi" w:hAnsiTheme="minorHAnsi" w:cstheme="minorHAnsi"/>
          <w:bCs/>
        </w:rPr>
        <w:t>onference, after considering all relevant aspects of the work of the Union in the period concerned (Article 8, No. 51 of the Constitution).</w:t>
      </w:r>
    </w:p>
    <w:p w14:paraId="50EDF4D1" w14:textId="3E9E4F8B" w:rsidR="00306BDC" w:rsidRPr="00C21D85" w:rsidRDefault="00306BDC" w:rsidP="001F4F21">
      <w:pPr>
        <w:snapToGrid w:val="0"/>
        <w:spacing w:before="200" w:after="160"/>
        <w:jc w:val="both"/>
        <w:rPr>
          <w:rFonts w:asciiTheme="minorHAnsi" w:hAnsiTheme="minorHAnsi" w:cstheme="minorHAnsi"/>
          <w:bCs/>
        </w:rPr>
      </w:pPr>
      <w:r w:rsidRPr="00C21D85">
        <w:rPr>
          <w:rFonts w:asciiTheme="minorHAnsi" w:hAnsiTheme="minorHAnsi" w:cstheme="minorHAnsi"/>
          <w:bCs/>
        </w:rPr>
        <w:t>1.2</w:t>
      </w:r>
      <w:r w:rsidRPr="00C21D85">
        <w:rPr>
          <w:rFonts w:asciiTheme="minorHAnsi" w:hAnsiTheme="minorHAnsi" w:cstheme="minorHAnsi"/>
          <w:bCs/>
        </w:rPr>
        <w:tab/>
        <w:t xml:space="preserve">The primary objective of the draft </w:t>
      </w:r>
      <w:r w:rsidR="009255D1" w:rsidRPr="00C21D85">
        <w:rPr>
          <w:rFonts w:asciiTheme="minorHAnsi" w:hAnsiTheme="minorHAnsi" w:cstheme="minorHAnsi"/>
          <w:bCs/>
        </w:rPr>
        <w:t>f</w:t>
      </w:r>
      <w:r w:rsidRPr="00C21D85">
        <w:rPr>
          <w:rFonts w:asciiTheme="minorHAnsi" w:hAnsiTheme="minorHAnsi" w:cstheme="minorHAnsi"/>
          <w:bCs/>
        </w:rPr>
        <w:t xml:space="preserve">inancial </w:t>
      </w:r>
      <w:r w:rsidR="009255D1" w:rsidRPr="00C21D85">
        <w:rPr>
          <w:rFonts w:asciiTheme="minorHAnsi" w:hAnsiTheme="minorHAnsi" w:cstheme="minorHAnsi"/>
          <w:bCs/>
        </w:rPr>
        <w:t>p</w:t>
      </w:r>
      <w:r w:rsidRPr="00C21D85">
        <w:rPr>
          <w:rFonts w:asciiTheme="minorHAnsi" w:hAnsiTheme="minorHAnsi" w:cstheme="minorHAnsi"/>
          <w:bCs/>
        </w:rPr>
        <w:t xml:space="preserve">lan is to allow Member States to know at the end of the </w:t>
      </w:r>
      <w:r w:rsidR="009255D1" w:rsidRPr="00C21D85">
        <w:rPr>
          <w:rFonts w:asciiTheme="minorHAnsi" w:hAnsiTheme="minorHAnsi" w:cstheme="minorHAnsi"/>
          <w:bCs/>
        </w:rPr>
        <w:t>p</w:t>
      </w:r>
      <w:r w:rsidRPr="00C21D85">
        <w:rPr>
          <w:rFonts w:asciiTheme="minorHAnsi" w:hAnsiTheme="minorHAnsi" w:cstheme="minorHAnsi"/>
          <w:bCs/>
        </w:rPr>
        <w:t xml:space="preserve">lenipotentiary </w:t>
      </w:r>
      <w:r w:rsidR="009255D1" w:rsidRPr="00C21D85">
        <w:rPr>
          <w:rFonts w:asciiTheme="minorHAnsi" w:hAnsiTheme="minorHAnsi" w:cstheme="minorHAnsi"/>
          <w:bCs/>
        </w:rPr>
        <w:t>c</w:t>
      </w:r>
      <w:r w:rsidRPr="00C21D85">
        <w:rPr>
          <w:rFonts w:asciiTheme="minorHAnsi" w:hAnsiTheme="minorHAnsi" w:cstheme="minorHAnsi"/>
          <w:bCs/>
        </w:rPr>
        <w:t>onference the framework of their financial commitments to the Union for the 2024-2027 period, based on the approved amount of the contributory unit.</w:t>
      </w:r>
    </w:p>
    <w:p w14:paraId="53D5CB7E" w14:textId="3B248D5C" w:rsidR="00306BDC" w:rsidRPr="00C21D85" w:rsidRDefault="00306BDC" w:rsidP="001F4F21">
      <w:pPr>
        <w:snapToGrid w:val="0"/>
        <w:spacing w:before="200" w:after="160"/>
        <w:jc w:val="both"/>
        <w:rPr>
          <w:rFonts w:asciiTheme="minorHAnsi" w:hAnsiTheme="minorHAnsi" w:cstheme="minorHAnsi"/>
          <w:bCs/>
        </w:rPr>
      </w:pPr>
      <w:r w:rsidRPr="00C21D85">
        <w:rPr>
          <w:rFonts w:asciiTheme="minorHAnsi" w:hAnsiTheme="minorHAnsi" w:cstheme="minorHAnsi"/>
          <w:bCs/>
        </w:rPr>
        <w:t>1.3</w:t>
      </w:r>
      <w:r w:rsidRPr="00C21D85">
        <w:rPr>
          <w:rFonts w:asciiTheme="minorHAnsi" w:hAnsiTheme="minorHAnsi" w:cstheme="minorHAnsi"/>
          <w:bCs/>
        </w:rPr>
        <w:tab/>
        <w:t xml:space="preserve">According to Article 28, No. 161B of the Constitution, and following the Secretary-General’s proposal, the Council has fixed the provisional amount of the contributory unit at CHF 318,000, based on the draft </w:t>
      </w:r>
      <w:r w:rsidR="009255D1" w:rsidRPr="00C21D85">
        <w:rPr>
          <w:rFonts w:asciiTheme="minorHAnsi" w:hAnsiTheme="minorHAnsi" w:cstheme="minorHAnsi"/>
          <w:bCs/>
        </w:rPr>
        <w:t>f</w:t>
      </w:r>
      <w:r w:rsidRPr="00C21D85">
        <w:rPr>
          <w:rFonts w:asciiTheme="minorHAnsi" w:hAnsiTheme="minorHAnsi" w:cstheme="minorHAnsi"/>
          <w:bCs/>
        </w:rPr>
        <w:t xml:space="preserve">inancial </w:t>
      </w:r>
      <w:r w:rsidR="009255D1" w:rsidRPr="00C21D85">
        <w:rPr>
          <w:rFonts w:asciiTheme="minorHAnsi" w:hAnsiTheme="minorHAnsi" w:cstheme="minorHAnsi"/>
          <w:bCs/>
        </w:rPr>
        <w:t>p</w:t>
      </w:r>
      <w:r w:rsidRPr="00C21D85">
        <w:rPr>
          <w:rFonts w:asciiTheme="minorHAnsi" w:hAnsiTheme="minorHAnsi" w:cstheme="minorHAnsi"/>
          <w:bCs/>
        </w:rPr>
        <w:t>lan and the total number of contributory units.</w:t>
      </w:r>
    </w:p>
    <w:p w14:paraId="4CA6CDFF" w14:textId="2BDED138" w:rsidR="00306BDC" w:rsidRPr="00C21D85" w:rsidRDefault="00306BDC" w:rsidP="001F4F21">
      <w:pPr>
        <w:snapToGrid w:val="0"/>
        <w:spacing w:before="200" w:after="160"/>
        <w:jc w:val="both"/>
        <w:rPr>
          <w:rFonts w:asciiTheme="minorHAnsi" w:hAnsiTheme="minorHAnsi" w:cstheme="minorHAnsi"/>
        </w:rPr>
      </w:pPr>
      <w:r w:rsidRPr="00C21D85">
        <w:rPr>
          <w:rFonts w:asciiTheme="minorHAnsi" w:hAnsiTheme="minorHAnsi" w:cstheme="minorHAnsi"/>
          <w:bCs/>
        </w:rPr>
        <w:t>1.4</w:t>
      </w:r>
      <w:r w:rsidRPr="00C21D85">
        <w:rPr>
          <w:rFonts w:asciiTheme="minorHAnsi" w:hAnsiTheme="minorHAnsi" w:cstheme="minorHAnsi"/>
          <w:bCs/>
        </w:rPr>
        <w:tab/>
      </w:r>
      <w:r w:rsidRPr="00C21D85">
        <w:rPr>
          <w:rFonts w:asciiTheme="minorHAnsi" w:hAnsiTheme="minorHAnsi" w:cstheme="minorHAnsi"/>
        </w:rPr>
        <w:t xml:space="preserve">By a revised Decision 5, on </w:t>
      </w:r>
      <w:r w:rsidR="00A54DBB" w:rsidRPr="00C21D85">
        <w:rPr>
          <w:rFonts w:asciiTheme="minorHAnsi" w:hAnsiTheme="minorHAnsi" w:cstheme="minorHAnsi"/>
        </w:rPr>
        <w:t>r</w:t>
      </w:r>
      <w:r w:rsidRPr="00C21D85">
        <w:rPr>
          <w:rFonts w:asciiTheme="minorHAnsi" w:hAnsiTheme="minorHAnsi" w:cstheme="minorHAnsi"/>
        </w:rPr>
        <w:t xml:space="preserve">evenue and </w:t>
      </w:r>
      <w:r w:rsidR="00A54DBB" w:rsidRPr="00C21D85">
        <w:rPr>
          <w:rFonts w:asciiTheme="minorHAnsi" w:hAnsiTheme="minorHAnsi" w:cstheme="minorHAnsi"/>
        </w:rPr>
        <w:t>e</w:t>
      </w:r>
      <w:r w:rsidRPr="00C21D85">
        <w:rPr>
          <w:rFonts w:asciiTheme="minorHAnsi" w:hAnsiTheme="minorHAnsi" w:cstheme="minorHAnsi"/>
        </w:rPr>
        <w:t>xpenses for the Union for the period 2024-2027, the 2022 Plenipotentiary Conference is expected to establish the framework and the directives under which the two biennial budgets for 2024-2025 and 202</w:t>
      </w:r>
      <w:r w:rsidR="001332CB" w:rsidRPr="00C21D85">
        <w:rPr>
          <w:rFonts w:asciiTheme="minorHAnsi" w:hAnsiTheme="minorHAnsi" w:cstheme="minorHAnsi"/>
        </w:rPr>
        <w:t>6</w:t>
      </w:r>
      <w:r w:rsidRPr="00C21D85">
        <w:rPr>
          <w:rFonts w:asciiTheme="minorHAnsi" w:hAnsiTheme="minorHAnsi" w:cstheme="minorHAnsi"/>
        </w:rPr>
        <w:t xml:space="preserve">-2027 shall be developed.  Annex 1 to Decision 5, as revised by </w:t>
      </w:r>
      <w:r w:rsidR="00A54DBB" w:rsidRPr="00C21D85">
        <w:rPr>
          <w:rFonts w:asciiTheme="minorHAnsi" w:hAnsiTheme="minorHAnsi" w:cstheme="minorHAnsi"/>
        </w:rPr>
        <w:t>the Plenipotentiary Conference 2022</w:t>
      </w:r>
      <w:r w:rsidRPr="00C21D85">
        <w:rPr>
          <w:rFonts w:asciiTheme="minorHAnsi" w:hAnsiTheme="minorHAnsi" w:cstheme="minorHAnsi"/>
        </w:rPr>
        <w:t xml:space="preserve">, will constitute the </w:t>
      </w:r>
      <w:r w:rsidR="00A54DBB" w:rsidRPr="00C21D85">
        <w:rPr>
          <w:rFonts w:asciiTheme="minorHAnsi" w:hAnsiTheme="minorHAnsi" w:cstheme="minorHAnsi"/>
        </w:rPr>
        <w:t>f</w:t>
      </w:r>
      <w:r w:rsidRPr="00C21D85">
        <w:rPr>
          <w:rFonts w:asciiTheme="minorHAnsi" w:hAnsiTheme="minorHAnsi" w:cstheme="minorHAnsi"/>
        </w:rPr>
        <w:t xml:space="preserve">inancial </w:t>
      </w:r>
      <w:r w:rsidR="00A54DBB" w:rsidRPr="00C21D85">
        <w:rPr>
          <w:rFonts w:asciiTheme="minorHAnsi" w:hAnsiTheme="minorHAnsi" w:cstheme="minorHAnsi"/>
        </w:rPr>
        <w:t>p</w:t>
      </w:r>
      <w:r w:rsidRPr="00C21D85">
        <w:rPr>
          <w:rFonts w:asciiTheme="minorHAnsi" w:hAnsiTheme="minorHAnsi" w:cstheme="minorHAnsi"/>
        </w:rPr>
        <w:t>lan for 2024-2027.</w:t>
      </w:r>
    </w:p>
    <w:p w14:paraId="36398EDF" w14:textId="0B42652B" w:rsidR="00306BDC" w:rsidRPr="00C21D85" w:rsidRDefault="00306BDC" w:rsidP="001F4F21">
      <w:pPr>
        <w:snapToGrid w:val="0"/>
        <w:spacing w:before="200" w:after="160"/>
        <w:jc w:val="both"/>
        <w:rPr>
          <w:rFonts w:asciiTheme="minorHAnsi" w:hAnsiTheme="minorHAnsi" w:cstheme="minorHAnsi"/>
        </w:rPr>
      </w:pPr>
      <w:r w:rsidRPr="00C21D85">
        <w:rPr>
          <w:rFonts w:asciiTheme="minorHAnsi" w:hAnsiTheme="minorHAnsi" w:cstheme="minorHAnsi"/>
        </w:rPr>
        <w:t>1.5</w:t>
      </w:r>
      <w:r w:rsidRPr="00C21D85">
        <w:rPr>
          <w:rFonts w:asciiTheme="minorHAnsi" w:hAnsiTheme="minorHAnsi" w:cstheme="minorHAnsi"/>
        </w:rPr>
        <w:tab/>
        <w:t xml:space="preserve">The draft </w:t>
      </w:r>
      <w:r w:rsidR="00A54DBB" w:rsidRPr="00C21D85">
        <w:rPr>
          <w:rFonts w:asciiTheme="minorHAnsi" w:hAnsiTheme="minorHAnsi" w:cstheme="minorHAnsi"/>
        </w:rPr>
        <w:t>f</w:t>
      </w:r>
      <w:r w:rsidRPr="00C21D85">
        <w:rPr>
          <w:rFonts w:asciiTheme="minorHAnsi" w:hAnsiTheme="minorHAnsi" w:cstheme="minorHAnsi"/>
        </w:rPr>
        <w:t xml:space="preserve">inancial </w:t>
      </w:r>
      <w:r w:rsidR="00A54DBB" w:rsidRPr="00C21D85">
        <w:rPr>
          <w:rFonts w:asciiTheme="minorHAnsi" w:hAnsiTheme="minorHAnsi" w:cstheme="minorHAnsi"/>
        </w:rPr>
        <w:t>p</w:t>
      </w:r>
      <w:r w:rsidRPr="00C21D85">
        <w:rPr>
          <w:rFonts w:asciiTheme="minorHAnsi" w:hAnsiTheme="minorHAnsi" w:cstheme="minorHAnsi"/>
        </w:rPr>
        <w:t xml:space="preserve">lan </w:t>
      </w:r>
      <w:r w:rsidR="00D20CC6" w:rsidRPr="00C21D85">
        <w:rPr>
          <w:rFonts w:asciiTheme="minorHAnsi" w:hAnsiTheme="minorHAnsi" w:cstheme="minorHAnsi"/>
        </w:rPr>
        <w:t xml:space="preserve">for </w:t>
      </w:r>
      <w:r w:rsidRPr="00C21D85">
        <w:rPr>
          <w:rFonts w:asciiTheme="minorHAnsi" w:hAnsiTheme="minorHAnsi" w:cstheme="minorHAnsi"/>
        </w:rPr>
        <w:t xml:space="preserve">2024-2027 was presented and discussed during the </w:t>
      </w:r>
      <w:r w:rsidR="00D20CC6" w:rsidRPr="00C21D85">
        <w:rPr>
          <w:rFonts w:asciiTheme="minorHAnsi" w:hAnsiTheme="minorHAnsi" w:cstheme="minorHAnsi"/>
        </w:rPr>
        <w:t>15</w:t>
      </w:r>
      <w:r w:rsidR="00D20CC6" w:rsidRPr="00C21D85">
        <w:rPr>
          <w:rFonts w:asciiTheme="minorHAnsi" w:hAnsiTheme="minorHAnsi" w:cstheme="minorHAnsi"/>
          <w:vertAlign w:val="superscript"/>
        </w:rPr>
        <w:t>th</w:t>
      </w:r>
      <w:r w:rsidR="00D20CC6" w:rsidRPr="00C21D85">
        <w:rPr>
          <w:rFonts w:asciiTheme="minorHAnsi" w:hAnsiTheme="minorHAnsi" w:cstheme="minorHAnsi"/>
        </w:rPr>
        <w:t xml:space="preserve"> meeting of the Council Working Group on Financial and Human Resources (</w:t>
      </w:r>
      <w:r w:rsidRPr="00C21D85">
        <w:rPr>
          <w:rFonts w:asciiTheme="minorHAnsi" w:hAnsiTheme="minorHAnsi" w:cstheme="minorHAnsi"/>
        </w:rPr>
        <w:t>CWG-FHR</w:t>
      </w:r>
      <w:r w:rsidR="00D20CC6" w:rsidRPr="00C21D85">
        <w:rPr>
          <w:rFonts w:asciiTheme="minorHAnsi" w:hAnsiTheme="minorHAnsi" w:cstheme="minorHAnsi"/>
        </w:rPr>
        <w:t>)</w:t>
      </w:r>
      <w:r w:rsidRPr="00C21D85">
        <w:rPr>
          <w:rFonts w:asciiTheme="minorHAnsi" w:hAnsiTheme="minorHAnsi" w:cstheme="minorHAnsi"/>
        </w:rPr>
        <w:t xml:space="preserve"> </w:t>
      </w:r>
      <w:r w:rsidR="00D20CC6" w:rsidRPr="00C21D85">
        <w:rPr>
          <w:rFonts w:asciiTheme="minorHAnsi" w:hAnsiTheme="minorHAnsi" w:cstheme="minorHAnsi"/>
        </w:rPr>
        <w:t xml:space="preserve">in January 2022 (see document </w:t>
      </w:r>
      <w:r w:rsidRPr="00C21D85">
        <w:rPr>
          <w:rFonts w:asciiTheme="minorHAnsi" w:hAnsiTheme="minorHAnsi" w:cstheme="minorHAnsi"/>
        </w:rPr>
        <w:t>CWG-FHR-15/10</w:t>
      </w:r>
      <w:r w:rsidR="00D20CC6" w:rsidRPr="00C21D85">
        <w:rPr>
          <w:rFonts w:asciiTheme="minorHAnsi" w:hAnsiTheme="minorHAnsi" w:cstheme="minorHAnsi"/>
        </w:rPr>
        <w:t>)</w:t>
      </w:r>
      <w:r w:rsidRPr="00C21D85">
        <w:rPr>
          <w:rFonts w:asciiTheme="minorHAnsi" w:hAnsiTheme="minorHAnsi" w:cstheme="minorHAnsi"/>
        </w:rPr>
        <w:t>.</w:t>
      </w:r>
    </w:p>
    <w:p w14:paraId="3318563C" w14:textId="0ACA27B4" w:rsidR="00306BDC" w:rsidRPr="00C21D85" w:rsidRDefault="00306BDC" w:rsidP="001F4F21">
      <w:pPr>
        <w:spacing w:before="200" w:after="160"/>
        <w:rPr>
          <w:rFonts w:asciiTheme="minorHAnsi" w:hAnsiTheme="minorHAnsi" w:cstheme="minorHAnsi"/>
        </w:rPr>
      </w:pPr>
      <w:r w:rsidRPr="00C21D85">
        <w:rPr>
          <w:rFonts w:asciiTheme="minorHAnsi" w:hAnsiTheme="minorHAnsi" w:cstheme="minorHAnsi"/>
        </w:rPr>
        <w:t>1.6</w:t>
      </w:r>
      <w:r w:rsidRPr="00C21D85">
        <w:rPr>
          <w:rFonts w:asciiTheme="minorHAnsi" w:hAnsiTheme="minorHAnsi" w:cstheme="minorHAnsi"/>
        </w:rPr>
        <w:tab/>
        <w:t xml:space="preserve">Once the draft </w:t>
      </w:r>
      <w:r w:rsidR="00D20CC6" w:rsidRPr="00C21D85">
        <w:rPr>
          <w:rFonts w:asciiTheme="minorHAnsi" w:hAnsiTheme="minorHAnsi" w:cstheme="minorHAnsi"/>
        </w:rPr>
        <w:t>s</w:t>
      </w:r>
      <w:r w:rsidRPr="00C21D85">
        <w:rPr>
          <w:rFonts w:asciiTheme="minorHAnsi" w:hAnsiTheme="minorHAnsi" w:cstheme="minorHAnsi"/>
        </w:rPr>
        <w:t xml:space="preserve">trategic </w:t>
      </w:r>
      <w:r w:rsidR="00D20CC6" w:rsidRPr="00C21D85">
        <w:rPr>
          <w:rFonts w:asciiTheme="minorHAnsi" w:hAnsiTheme="minorHAnsi" w:cstheme="minorHAnsi"/>
        </w:rPr>
        <w:t>p</w:t>
      </w:r>
      <w:r w:rsidRPr="00C21D85">
        <w:rPr>
          <w:rFonts w:asciiTheme="minorHAnsi" w:hAnsiTheme="minorHAnsi" w:cstheme="minorHAnsi"/>
        </w:rPr>
        <w:t xml:space="preserve">lan’s is sufficiently advanced, the draft </w:t>
      </w:r>
      <w:r w:rsidR="00D20CC6" w:rsidRPr="00C21D85">
        <w:rPr>
          <w:rFonts w:asciiTheme="minorHAnsi" w:hAnsiTheme="minorHAnsi" w:cstheme="minorHAnsi"/>
        </w:rPr>
        <w:t>f</w:t>
      </w:r>
      <w:r w:rsidRPr="00C21D85">
        <w:rPr>
          <w:rFonts w:asciiTheme="minorHAnsi" w:hAnsiTheme="minorHAnsi" w:cstheme="minorHAnsi"/>
        </w:rPr>
        <w:t xml:space="preserve">inancial </w:t>
      </w:r>
      <w:r w:rsidR="00D20CC6" w:rsidRPr="00C21D85">
        <w:rPr>
          <w:rFonts w:asciiTheme="minorHAnsi" w:hAnsiTheme="minorHAnsi" w:cstheme="minorHAnsi"/>
        </w:rPr>
        <w:t>p</w:t>
      </w:r>
      <w:r w:rsidRPr="00C21D85">
        <w:rPr>
          <w:rFonts w:asciiTheme="minorHAnsi" w:hAnsiTheme="minorHAnsi" w:cstheme="minorHAnsi"/>
        </w:rPr>
        <w:t>lan will be linked to the thematic priorities and goals identified within it.</w:t>
      </w:r>
    </w:p>
    <w:p w14:paraId="2FDFD893" w14:textId="4975EDF6" w:rsidR="00306BDC" w:rsidRPr="00C21D85" w:rsidRDefault="00306BDC" w:rsidP="001F4F21">
      <w:pPr>
        <w:spacing w:before="200" w:after="160"/>
        <w:rPr>
          <w:rFonts w:asciiTheme="minorHAnsi" w:hAnsiTheme="minorHAnsi" w:cstheme="minorHAnsi"/>
        </w:rPr>
      </w:pPr>
      <w:r w:rsidRPr="00C21D85">
        <w:rPr>
          <w:rFonts w:asciiTheme="minorHAnsi" w:hAnsiTheme="minorHAnsi" w:cstheme="minorHAnsi"/>
        </w:rPr>
        <w:t>1.7</w:t>
      </w:r>
      <w:r w:rsidRPr="00C21D85">
        <w:rPr>
          <w:rFonts w:asciiTheme="minorHAnsi" w:hAnsiTheme="minorHAnsi" w:cstheme="minorHAnsi"/>
        </w:rPr>
        <w:tab/>
        <w:t xml:space="preserve">The linkage between the draft </w:t>
      </w:r>
      <w:r w:rsidR="00D20CC6" w:rsidRPr="00C21D85">
        <w:rPr>
          <w:rFonts w:asciiTheme="minorHAnsi" w:hAnsiTheme="minorHAnsi" w:cstheme="minorHAnsi"/>
        </w:rPr>
        <w:t>f</w:t>
      </w:r>
      <w:r w:rsidRPr="00C21D85">
        <w:rPr>
          <w:rFonts w:asciiTheme="minorHAnsi" w:hAnsiTheme="minorHAnsi" w:cstheme="minorHAnsi"/>
        </w:rPr>
        <w:t xml:space="preserve">inancial </w:t>
      </w:r>
      <w:r w:rsidR="00D20CC6" w:rsidRPr="00C21D85">
        <w:rPr>
          <w:rFonts w:asciiTheme="minorHAnsi" w:hAnsiTheme="minorHAnsi" w:cstheme="minorHAnsi"/>
        </w:rPr>
        <w:t>p</w:t>
      </w:r>
      <w:r w:rsidRPr="00C21D85">
        <w:rPr>
          <w:rFonts w:asciiTheme="minorHAnsi" w:hAnsiTheme="minorHAnsi" w:cstheme="minorHAnsi"/>
        </w:rPr>
        <w:t xml:space="preserve">lan and the draft </w:t>
      </w:r>
      <w:r w:rsidR="00D20CC6" w:rsidRPr="00C21D85">
        <w:rPr>
          <w:rFonts w:asciiTheme="minorHAnsi" w:hAnsiTheme="minorHAnsi" w:cstheme="minorHAnsi"/>
        </w:rPr>
        <w:t>s</w:t>
      </w:r>
      <w:r w:rsidRPr="00C21D85">
        <w:rPr>
          <w:rFonts w:asciiTheme="minorHAnsi" w:hAnsiTheme="minorHAnsi" w:cstheme="minorHAnsi"/>
        </w:rPr>
        <w:t xml:space="preserve">trategic </w:t>
      </w:r>
      <w:r w:rsidR="00D20CC6" w:rsidRPr="00C21D85">
        <w:rPr>
          <w:rFonts w:asciiTheme="minorHAnsi" w:hAnsiTheme="minorHAnsi" w:cstheme="minorHAnsi"/>
        </w:rPr>
        <w:t>p</w:t>
      </w:r>
      <w:r w:rsidRPr="00C21D85">
        <w:rPr>
          <w:rFonts w:asciiTheme="minorHAnsi" w:hAnsiTheme="minorHAnsi" w:cstheme="minorHAnsi"/>
        </w:rPr>
        <w:t xml:space="preserve">lan is made through the reallocation of the resources of the draft </w:t>
      </w:r>
      <w:r w:rsidR="00D20CC6" w:rsidRPr="00C21D85">
        <w:rPr>
          <w:rFonts w:asciiTheme="minorHAnsi" w:hAnsiTheme="minorHAnsi" w:cstheme="minorHAnsi"/>
        </w:rPr>
        <w:t>f</w:t>
      </w:r>
      <w:r w:rsidRPr="00C21D85">
        <w:rPr>
          <w:rFonts w:asciiTheme="minorHAnsi" w:hAnsiTheme="minorHAnsi" w:cstheme="minorHAnsi"/>
        </w:rPr>
        <w:t xml:space="preserve">inancial </w:t>
      </w:r>
      <w:r w:rsidR="00D20CC6" w:rsidRPr="00C21D85">
        <w:rPr>
          <w:rFonts w:asciiTheme="minorHAnsi" w:hAnsiTheme="minorHAnsi" w:cstheme="minorHAnsi"/>
        </w:rPr>
        <w:t>p</w:t>
      </w:r>
      <w:r w:rsidRPr="00C21D85">
        <w:rPr>
          <w:rFonts w:asciiTheme="minorHAnsi" w:hAnsiTheme="minorHAnsi" w:cstheme="minorHAnsi"/>
        </w:rPr>
        <w:t xml:space="preserve">lan to the various </w:t>
      </w:r>
      <w:r w:rsidR="00D20CC6" w:rsidRPr="00C21D85">
        <w:rPr>
          <w:rFonts w:asciiTheme="minorHAnsi" w:hAnsiTheme="minorHAnsi" w:cstheme="minorHAnsi"/>
        </w:rPr>
        <w:t>d</w:t>
      </w:r>
      <w:r w:rsidRPr="00C21D85">
        <w:rPr>
          <w:rFonts w:asciiTheme="minorHAnsi" w:hAnsiTheme="minorHAnsi" w:cstheme="minorHAnsi"/>
        </w:rPr>
        <w:t xml:space="preserve">epartments and </w:t>
      </w:r>
      <w:proofErr w:type="spellStart"/>
      <w:r w:rsidR="00D20CC6" w:rsidRPr="00C21D85">
        <w:rPr>
          <w:rFonts w:asciiTheme="minorHAnsi" w:hAnsiTheme="minorHAnsi" w:cstheme="minorHAnsi"/>
        </w:rPr>
        <w:t>b</w:t>
      </w:r>
      <w:r w:rsidRPr="00C21D85">
        <w:rPr>
          <w:rFonts w:asciiTheme="minorHAnsi" w:hAnsiTheme="minorHAnsi" w:cstheme="minorHAnsi"/>
        </w:rPr>
        <w:t>ureaux</w:t>
      </w:r>
      <w:proofErr w:type="spellEnd"/>
      <w:r w:rsidRPr="00C21D85">
        <w:rPr>
          <w:rFonts w:asciiTheme="minorHAnsi" w:hAnsiTheme="minorHAnsi" w:cstheme="minorHAnsi"/>
        </w:rPr>
        <w:t xml:space="preserve">, and then to the different ITU thematic priorities and goals of the draft </w:t>
      </w:r>
      <w:r w:rsidR="00D20CC6" w:rsidRPr="00C21D85">
        <w:rPr>
          <w:rFonts w:asciiTheme="minorHAnsi" w:hAnsiTheme="minorHAnsi" w:cstheme="minorHAnsi"/>
        </w:rPr>
        <w:t>s</w:t>
      </w:r>
      <w:r w:rsidRPr="00C21D85">
        <w:rPr>
          <w:rFonts w:asciiTheme="minorHAnsi" w:hAnsiTheme="minorHAnsi" w:cstheme="minorHAnsi"/>
        </w:rPr>
        <w:t xml:space="preserve">trategic </w:t>
      </w:r>
      <w:r w:rsidR="00D20CC6" w:rsidRPr="00C21D85">
        <w:rPr>
          <w:rFonts w:asciiTheme="minorHAnsi" w:hAnsiTheme="minorHAnsi" w:cstheme="minorHAnsi"/>
        </w:rPr>
        <w:t>p</w:t>
      </w:r>
      <w:r w:rsidRPr="00C21D85">
        <w:rPr>
          <w:rFonts w:asciiTheme="minorHAnsi" w:hAnsiTheme="minorHAnsi" w:cstheme="minorHAnsi"/>
        </w:rPr>
        <w:t>lan.</w:t>
      </w:r>
    </w:p>
    <w:p w14:paraId="4CF5BEF0" w14:textId="2ECF5DE9" w:rsidR="00306BDC" w:rsidRPr="00C21D85" w:rsidRDefault="00306BDC" w:rsidP="001F4F21">
      <w:pPr>
        <w:spacing w:before="160" w:after="160"/>
        <w:rPr>
          <w:rFonts w:asciiTheme="minorHAnsi" w:hAnsiTheme="minorHAnsi" w:cstheme="minorHAnsi"/>
        </w:rPr>
      </w:pPr>
      <w:r w:rsidRPr="00C21D85">
        <w:rPr>
          <w:rFonts w:asciiTheme="minorHAnsi" w:hAnsiTheme="minorHAnsi" w:cstheme="minorHAnsi"/>
        </w:rPr>
        <w:t>1.8</w:t>
      </w:r>
      <w:r w:rsidRPr="00C21D85">
        <w:rPr>
          <w:rFonts w:asciiTheme="minorHAnsi" w:hAnsiTheme="minorHAnsi" w:cstheme="minorHAnsi"/>
        </w:rPr>
        <w:tab/>
        <w:t xml:space="preserve">The </w:t>
      </w:r>
      <w:r w:rsidR="00AA0C91" w:rsidRPr="00C21D85">
        <w:rPr>
          <w:rFonts w:asciiTheme="minorHAnsi" w:hAnsiTheme="minorHAnsi" w:cstheme="minorHAnsi"/>
        </w:rPr>
        <w:t>draft f</w:t>
      </w:r>
      <w:r w:rsidRPr="00C21D85">
        <w:rPr>
          <w:rFonts w:asciiTheme="minorHAnsi" w:hAnsiTheme="minorHAnsi" w:cstheme="minorHAnsi"/>
        </w:rPr>
        <w:t xml:space="preserve">inancial </w:t>
      </w:r>
      <w:r w:rsidR="00AA0C91" w:rsidRPr="00C21D85">
        <w:rPr>
          <w:rFonts w:asciiTheme="minorHAnsi" w:hAnsiTheme="minorHAnsi" w:cstheme="minorHAnsi"/>
        </w:rPr>
        <w:t>p</w:t>
      </w:r>
      <w:r w:rsidRPr="00C21D85">
        <w:rPr>
          <w:rFonts w:asciiTheme="minorHAnsi" w:hAnsiTheme="minorHAnsi" w:cstheme="minorHAnsi"/>
        </w:rPr>
        <w:t>lan has dual approaches and layouts:</w:t>
      </w:r>
    </w:p>
    <w:p w14:paraId="0AAAE8A3" w14:textId="00A850B9" w:rsidR="00306BDC" w:rsidRPr="00C21D85" w:rsidRDefault="00306BDC" w:rsidP="001F4F21">
      <w:pPr>
        <w:pStyle w:val="ListParagraph"/>
        <w:numPr>
          <w:ilvl w:val="0"/>
          <w:numId w:val="4"/>
        </w:numPr>
        <w:spacing w:before="160" w:after="160"/>
        <w:ind w:left="1134" w:hanging="425"/>
        <w:rPr>
          <w:rFonts w:cstheme="minorHAnsi"/>
        </w:rPr>
      </w:pPr>
      <w:r w:rsidRPr="00C21D85">
        <w:rPr>
          <w:rFonts w:cstheme="minorHAnsi"/>
        </w:rPr>
        <w:t>Financial (to follow the revenue/expenses structures laid down in the financial regulations)</w:t>
      </w:r>
      <w:r w:rsidR="001332CB" w:rsidRPr="00C21D85">
        <w:rPr>
          <w:rFonts w:cstheme="minorHAnsi"/>
        </w:rPr>
        <w:t>.</w:t>
      </w:r>
    </w:p>
    <w:p w14:paraId="59AB7AD2" w14:textId="542D82E7" w:rsidR="00306BDC" w:rsidRPr="00C21D85" w:rsidRDefault="00306BDC" w:rsidP="001F4F21">
      <w:pPr>
        <w:pStyle w:val="ListParagraph"/>
        <w:numPr>
          <w:ilvl w:val="0"/>
          <w:numId w:val="4"/>
        </w:numPr>
        <w:spacing w:before="160" w:after="160"/>
        <w:ind w:left="1134" w:hanging="425"/>
        <w:rPr>
          <w:rFonts w:cstheme="minorHAnsi"/>
        </w:rPr>
      </w:pPr>
      <w:r w:rsidRPr="00C21D85">
        <w:rPr>
          <w:rFonts w:cstheme="minorHAnsi"/>
        </w:rPr>
        <w:t>Result-based (to follow the structure of the strategic plan)</w:t>
      </w:r>
      <w:r w:rsidR="001332CB" w:rsidRPr="00C21D85">
        <w:rPr>
          <w:rFonts w:cstheme="minorHAnsi"/>
        </w:rPr>
        <w:t>.</w:t>
      </w:r>
    </w:p>
    <w:p w14:paraId="2293C0AE" w14:textId="01175534" w:rsidR="00306BDC" w:rsidRPr="00C21D85" w:rsidRDefault="00AA0C91" w:rsidP="001F4F21">
      <w:pPr>
        <w:spacing w:before="160" w:after="160"/>
        <w:rPr>
          <w:rFonts w:asciiTheme="minorHAnsi" w:hAnsiTheme="minorHAnsi" w:cstheme="minorHAnsi"/>
        </w:rPr>
      </w:pPr>
      <w:r w:rsidRPr="00C21D85">
        <w:rPr>
          <w:rFonts w:asciiTheme="minorHAnsi" w:hAnsiTheme="minorHAnsi" w:cstheme="minorHAnsi"/>
        </w:rPr>
        <w:t>1.9</w:t>
      </w:r>
      <w:r w:rsidRPr="00C21D85">
        <w:rPr>
          <w:rFonts w:asciiTheme="minorHAnsi" w:hAnsiTheme="minorHAnsi" w:cstheme="minorHAnsi"/>
        </w:rPr>
        <w:tab/>
      </w:r>
      <w:r w:rsidR="00306BDC" w:rsidRPr="00C21D85">
        <w:rPr>
          <w:rFonts w:asciiTheme="minorHAnsi" w:hAnsiTheme="minorHAnsi" w:cstheme="minorHAnsi"/>
        </w:rPr>
        <w:t xml:space="preserve">The key drivers/determinants for the preparation of the </w:t>
      </w:r>
      <w:r w:rsidRPr="00C21D85">
        <w:rPr>
          <w:rFonts w:asciiTheme="minorHAnsi" w:hAnsiTheme="minorHAnsi" w:cstheme="minorHAnsi"/>
        </w:rPr>
        <w:t>f</w:t>
      </w:r>
      <w:r w:rsidR="00306BDC" w:rsidRPr="00C21D85">
        <w:rPr>
          <w:rFonts w:asciiTheme="minorHAnsi" w:hAnsiTheme="minorHAnsi" w:cstheme="minorHAnsi"/>
        </w:rPr>
        <w:t xml:space="preserve">inancial </w:t>
      </w:r>
      <w:r w:rsidRPr="00C21D85">
        <w:rPr>
          <w:rFonts w:asciiTheme="minorHAnsi" w:hAnsiTheme="minorHAnsi" w:cstheme="minorHAnsi"/>
        </w:rPr>
        <w:t>p</w:t>
      </w:r>
      <w:r w:rsidR="00306BDC" w:rsidRPr="00C21D85">
        <w:rPr>
          <w:rFonts w:asciiTheme="minorHAnsi" w:hAnsiTheme="minorHAnsi" w:cstheme="minorHAnsi"/>
        </w:rPr>
        <w:t>lan are the following:</w:t>
      </w:r>
    </w:p>
    <w:p w14:paraId="19538664" w14:textId="6ED2915E" w:rsidR="00306BDC" w:rsidRPr="00C21D85" w:rsidRDefault="00306BDC" w:rsidP="001F4F21">
      <w:pPr>
        <w:pStyle w:val="ListParagraph"/>
        <w:numPr>
          <w:ilvl w:val="0"/>
          <w:numId w:val="5"/>
        </w:numPr>
        <w:spacing w:before="160" w:after="160"/>
        <w:ind w:left="1134" w:hanging="425"/>
        <w:rPr>
          <w:rFonts w:cstheme="minorHAnsi"/>
        </w:rPr>
      </w:pPr>
      <w:r w:rsidRPr="00C21D85">
        <w:rPr>
          <w:rFonts w:cstheme="minorHAnsi"/>
        </w:rPr>
        <w:t xml:space="preserve">The </w:t>
      </w:r>
      <w:r w:rsidR="00AA0C91" w:rsidRPr="00C21D85">
        <w:rPr>
          <w:rFonts w:cstheme="minorHAnsi"/>
        </w:rPr>
        <w:t>s</w:t>
      </w:r>
      <w:r w:rsidRPr="00C21D85">
        <w:rPr>
          <w:rFonts w:cstheme="minorHAnsi"/>
        </w:rPr>
        <w:t xml:space="preserve">trategic </w:t>
      </w:r>
      <w:r w:rsidR="00AA0C91" w:rsidRPr="00C21D85">
        <w:rPr>
          <w:rFonts w:cstheme="minorHAnsi"/>
        </w:rPr>
        <w:t>p</w:t>
      </w:r>
      <w:r w:rsidRPr="00C21D85">
        <w:rPr>
          <w:rFonts w:cstheme="minorHAnsi"/>
        </w:rPr>
        <w:t>lan</w:t>
      </w:r>
      <w:r w:rsidR="001332CB" w:rsidRPr="00C21D85">
        <w:rPr>
          <w:rFonts w:cstheme="minorHAnsi"/>
        </w:rPr>
        <w:t>.</w:t>
      </w:r>
    </w:p>
    <w:p w14:paraId="34576021" w14:textId="34FE05AB" w:rsidR="00306BDC" w:rsidRPr="00C21D85" w:rsidRDefault="00306BDC" w:rsidP="001F4F21">
      <w:pPr>
        <w:pStyle w:val="ListParagraph"/>
        <w:numPr>
          <w:ilvl w:val="0"/>
          <w:numId w:val="5"/>
        </w:numPr>
        <w:spacing w:before="160" w:after="160"/>
        <w:ind w:left="1134" w:hanging="425"/>
        <w:rPr>
          <w:rFonts w:cstheme="minorHAnsi"/>
        </w:rPr>
      </w:pPr>
      <w:r w:rsidRPr="00C21D85">
        <w:rPr>
          <w:rFonts w:cstheme="minorHAnsi"/>
        </w:rPr>
        <w:t>The amount of the contributory unit</w:t>
      </w:r>
      <w:r w:rsidR="001332CB" w:rsidRPr="00C21D85">
        <w:rPr>
          <w:rFonts w:cstheme="minorHAnsi"/>
        </w:rPr>
        <w:t>.</w:t>
      </w:r>
    </w:p>
    <w:p w14:paraId="170F9580" w14:textId="1E9EC024" w:rsidR="00306BDC" w:rsidRPr="00C21D85" w:rsidRDefault="00306BDC" w:rsidP="001F4F21">
      <w:pPr>
        <w:pStyle w:val="ListParagraph"/>
        <w:numPr>
          <w:ilvl w:val="0"/>
          <w:numId w:val="5"/>
        </w:numPr>
        <w:spacing w:before="160" w:after="160"/>
        <w:ind w:left="1134" w:hanging="425"/>
        <w:rPr>
          <w:rFonts w:cstheme="minorHAnsi"/>
        </w:rPr>
      </w:pPr>
      <w:r w:rsidRPr="00C21D85">
        <w:rPr>
          <w:rFonts w:cstheme="minorHAnsi"/>
        </w:rPr>
        <w:t>The overall revenue level for the timeframe (</w:t>
      </w:r>
      <w:r w:rsidR="00AA0C91" w:rsidRPr="00C21D85">
        <w:rPr>
          <w:rFonts w:cstheme="minorHAnsi"/>
        </w:rPr>
        <w:t>c</w:t>
      </w:r>
      <w:r w:rsidRPr="00C21D85">
        <w:rPr>
          <w:rFonts w:cstheme="minorHAnsi"/>
        </w:rPr>
        <w:t>eiling of expenses)</w:t>
      </w:r>
      <w:r w:rsidR="001332CB" w:rsidRPr="00C21D85">
        <w:rPr>
          <w:rFonts w:cstheme="minorHAnsi"/>
        </w:rPr>
        <w:t>.</w:t>
      </w:r>
    </w:p>
    <w:p w14:paraId="4BE71C3A" w14:textId="5E601555" w:rsidR="00306BDC" w:rsidRPr="00C21D85" w:rsidRDefault="00306BDC" w:rsidP="001F4F21">
      <w:pPr>
        <w:pStyle w:val="ListParagraph"/>
        <w:numPr>
          <w:ilvl w:val="0"/>
          <w:numId w:val="5"/>
        </w:numPr>
        <w:spacing w:before="160" w:after="160"/>
        <w:ind w:left="1134" w:hanging="425"/>
        <w:rPr>
          <w:rFonts w:cstheme="minorHAnsi"/>
        </w:rPr>
      </w:pPr>
      <w:r w:rsidRPr="00C21D85">
        <w:rPr>
          <w:rFonts w:cstheme="minorHAnsi"/>
        </w:rPr>
        <w:t xml:space="preserve">The work </w:t>
      </w:r>
      <w:proofErr w:type="spellStart"/>
      <w:r w:rsidRPr="00C21D85">
        <w:rPr>
          <w:rFonts w:cstheme="minorHAnsi"/>
        </w:rPr>
        <w:t>program</w:t>
      </w:r>
      <w:r w:rsidR="00AA0C91" w:rsidRPr="00C21D85">
        <w:rPr>
          <w:rFonts w:cstheme="minorHAnsi"/>
        </w:rPr>
        <w:t>me</w:t>
      </w:r>
      <w:proofErr w:type="spellEnd"/>
      <w:r w:rsidR="001332CB" w:rsidRPr="00C21D85">
        <w:rPr>
          <w:rFonts w:cstheme="minorHAnsi"/>
        </w:rPr>
        <w:t>.</w:t>
      </w:r>
    </w:p>
    <w:p w14:paraId="5D7C75B5" w14:textId="2859F403" w:rsidR="00AA0C91" w:rsidRPr="00C21D85" w:rsidRDefault="00222A87" w:rsidP="001F4F21">
      <w:pPr>
        <w:spacing w:before="200" w:after="160"/>
        <w:rPr>
          <w:rFonts w:asciiTheme="minorHAnsi" w:hAnsiTheme="minorHAnsi" w:cstheme="minorHAnsi"/>
          <w:b/>
          <w:bCs/>
        </w:rPr>
      </w:pPr>
      <w:r w:rsidRPr="00C21D85">
        <w:rPr>
          <w:rFonts w:asciiTheme="minorHAnsi" w:hAnsiTheme="minorHAnsi" w:cstheme="minorHAnsi"/>
        </w:rPr>
        <w:t>1.10</w:t>
      </w:r>
      <w:r w:rsidRPr="00C21D85">
        <w:rPr>
          <w:rFonts w:asciiTheme="minorHAnsi" w:hAnsiTheme="minorHAnsi" w:cstheme="minorHAnsi"/>
        </w:rPr>
        <w:tab/>
      </w:r>
      <w:r w:rsidR="008B519B" w:rsidRPr="00C21D85">
        <w:rPr>
          <w:rFonts w:asciiTheme="minorHAnsi" w:hAnsiTheme="minorHAnsi" w:cstheme="minorHAnsi"/>
          <w:color w:val="000000"/>
        </w:rPr>
        <w:t xml:space="preserve">ITU management decided that a staff “World Cafe” should be organized to come up with ideas on revenue generation and cost </w:t>
      </w:r>
      <w:r w:rsidR="000B058C">
        <w:rPr>
          <w:rFonts w:asciiTheme="minorHAnsi" w:hAnsiTheme="minorHAnsi" w:cstheme="minorHAnsi"/>
          <w:color w:val="000000"/>
        </w:rPr>
        <w:t>reduction</w:t>
      </w:r>
      <w:r w:rsidR="008B519B" w:rsidRPr="00C21D85">
        <w:rPr>
          <w:rFonts w:asciiTheme="minorHAnsi" w:hAnsiTheme="minorHAnsi" w:cstheme="minorHAnsi"/>
          <w:color w:val="000000"/>
        </w:rPr>
        <w:t xml:space="preserve">. Management identified many innovative ideas that could be taken into consideration in the preparation of the budgets to implement this Financial Plan. You will find a presentation of the World Cafe through </w:t>
      </w:r>
      <w:hyperlink r:id="rId10" w:history="1">
        <w:r w:rsidR="008B519B" w:rsidRPr="003340FD">
          <w:rPr>
            <w:rStyle w:val="Hyperlink"/>
            <w:rFonts w:asciiTheme="minorHAnsi" w:hAnsiTheme="minorHAnsi" w:cstheme="minorHAnsi"/>
          </w:rPr>
          <w:t>this link</w:t>
        </w:r>
      </w:hyperlink>
      <w:r w:rsidR="003340FD">
        <w:rPr>
          <w:rFonts w:asciiTheme="minorHAnsi" w:hAnsiTheme="minorHAnsi" w:cstheme="minorHAnsi"/>
          <w:color w:val="000000"/>
        </w:rPr>
        <w:t>.</w:t>
      </w:r>
    </w:p>
    <w:p w14:paraId="409FDA51" w14:textId="0BE35E6F" w:rsidR="00306BDC" w:rsidRDefault="00306BDC" w:rsidP="00C21D85">
      <w:pPr>
        <w:keepNext/>
        <w:spacing w:before="160" w:after="160"/>
        <w:rPr>
          <w:rFonts w:asciiTheme="minorHAnsi" w:hAnsiTheme="minorHAnsi" w:cstheme="minorHAnsi"/>
          <w:b/>
          <w:bCs/>
        </w:rPr>
      </w:pPr>
      <w:r w:rsidRPr="00306BDC">
        <w:rPr>
          <w:rFonts w:asciiTheme="minorHAnsi" w:hAnsiTheme="minorHAnsi" w:cstheme="minorHAnsi"/>
          <w:b/>
          <w:bCs/>
        </w:rPr>
        <w:lastRenderedPageBreak/>
        <w:t>2</w:t>
      </w:r>
      <w:r w:rsidRPr="00306BDC">
        <w:rPr>
          <w:rFonts w:asciiTheme="minorHAnsi" w:hAnsiTheme="minorHAnsi" w:cstheme="minorHAnsi"/>
          <w:b/>
          <w:bCs/>
        </w:rPr>
        <w:tab/>
        <w:t>Bases and assumptions</w:t>
      </w:r>
    </w:p>
    <w:p w14:paraId="169BA78B" w14:textId="46F47BF8" w:rsidR="00306BDC" w:rsidRDefault="00306BDC" w:rsidP="00C21D85">
      <w:pPr>
        <w:keepNext/>
        <w:spacing w:before="200" w:after="160"/>
        <w:rPr>
          <w:rFonts w:asciiTheme="minorHAnsi" w:hAnsiTheme="minorHAnsi" w:cstheme="minorHAnsi"/>
        </w:rPr>
      </w:pPr>
      <w:r w:rsidRPr="00306BDC">
        <w:rPr>
          <w:rFonts w:asciiTheme="minorHAnsi" w:hAnsiTheme="minorHAnsi" w:cstheme="minorHAnsi"/>
        </w:rPr>
        <w:t>2.1</w:t>
      </w:r>
      <w:r w:rsidRPr="00306BDC">
        <w:rPr>
          <w:rFonts w:asciiTheme="minorHAnsi" w:hAnsiTheme="minorHAnsi" w:cstheme="minorHAnsi"/>
        </w:rPr>
        <w:tab/>
        <w:t xml:space="preserve">The 2022-2023 </w:t>
      </w:r>
      <w:r w:rsidR="00AA0C91">
        <w:rPr>
          <w:rFonts w:asciiTheme="minorHAnsi" w:hAnsiTheme="minorHAnsi" w:cstheme="minorHAnsi"/>
        </w:rPr>
        <w:t>b</w:t>
      </w:r>
      <w:r w:rsidRPr="00306BDC">
        <w:rPr>
          <w:rFonts w:asciiTheme="minorHAnsi" w:hAnsiTheme="minorHAnsi" w:cstheme="minorHAnsi"/>
        </w:rPr>
        <w:t xml:space="preserve">udget has served as the primary basis for preparing the draft </w:t>
      </w:r>
      <w:r w:rsidR="00AA0C91">
        <w:rPr>
          <w:rFonts w:asciiTheme="minorHAnsi" w:hAnsiTheme="minorHAnsi" w:cstheme="minorHAnsi"/>
        </w:rPr>
        <w:t>f</w:t>
      </w:r>
      <w:r w:rsidRPr="00306BDC">
        <w:rPr>
          <w:rFonts w:asciiTheme="minorHAnsi" w:hAnsiTheme="minorHAnsi" w:cstheme="minorHAnsi"/>
        </w:rPr>
        <w:t xml:space="preserve">inancial </w:t>
      </w:r>
      <w:r w:rsidR="00AA0C91">
        <w:rPr>
          <w:rFonts w:asciiTheme="minorHAnsi" w:hAnsiTheme="minorHAnsi" w:cstheme="minorHAnsi"/>
        </w:rPr>
        <w:t>p</w:t>
      </w:r>
      <w:r w:rsidRPr="00306BDC">
        <w:rPr>
          <w:rFonts w:asciiTheme="minorHAnsi" w:hAnsiTheme="minorHAnsi" w:cstheme="minorHAnsi"/>
        </w:rPr>
        <w:t>lan for 2024-2027.</w:t>
      </w:r>
    </w:p>
    <w:p w14:paraId="25B45AF0" w14:textId="2696A076" w:rsidR="00306BDC" w:rsidRDefault="00306BDC" w:rsidP="00C21D85">
      <w:pPr>
        <w:keepNext/>
        <w:spacing w:before="200" w:after="160"/>
        <w:rPr>
          <w:rFonts w:asciiTheme="minorHAnsi" w:hAnsiTheme="minorHAnsi" w:cstheme="minorHAnsi"/>
        </w:rPr>
      </w:pPr>
      <w:r w:rsidRPr="00306BDC">
        <w:rPr>
          <w:rFonts w:asciiTheme="minorHAnsi" w:hAnsiTheme="minorHAnsi" w:cstheme="minorHAnsi"/>
        </w:rPr>
        <w:t>2.2</w:t>
      </w:r>
      <w:r w:rsidRPr="00306BDC">
        <w:rPr>
          <w:rFonts w:asciiTheme="minorHAnsi" w:hAnsiTheme="minorHAnsi" w:cstheme="minorHAnsi"/>
        </w:rPr>
        <w:tab/>
        <w:t xml:space="preserve">The revenue level reflects the situation prevailing as of 1 </w:t>
      </w:r>
      <w:r w:rsidR="004C4102">
        <w:rPr>
          <w:rFonts w:asciiTheme="minorHAnsi" w:hAnsiTheme="minorHAnsi" w:cstheme="minorHAnsi"/>
        </w:rPr>
        <w:t>January 2022</w:t>
      </w:r>
      <w:r w:rsidRPr="00306BDC">
        <w:rPr>
          <w:rFonts w:asciiTheme="minorHAnsi" w:hAnsiTheme="minorHAnsi" w:cstheme="minorHAnsi"/>
        </w:rPr>
        <w:t xml:space="preserve"> for the assessed contributions (Member States, Sector Members, Associates and Academia).</w:t>
      </w:r>
    </w:p>
    <w:p w14:paraId="31D12112" w14:textId="19C9E478" w:rsidR="004C4102" w:rsidRPr="004C4102" w:rsidRDefault="004C4102" w:rsidP="00C21D85">
      <w:pPr>
        <w:spacing w:before="200" w:after="160"/>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4C4102">
        <w:rPr>
          <w:rFonts w:asciiTheme="minorHAnsi" w:hAnsiTheme="minorHAnsi" w:cstheme="minorHAnsi"/>
        </w:rPr>
        <w:t xml:space="preserve">It is essential to remember that the </w:t>
      </w:r>
      <w:r w:rsidR="00AA0C91">
        <w:rPr>
          <w:rFonts w:asciiTheme="minorHAnsi" w:hAnsiTheme="minorHAnsi" w:cstheme="minorHAnsi"/>
        </w:rPr>
        <w:t>f</w:t>
      </w:r>
      <w:r w:rsidRPr="004C4102">
        <w:rPr>
          <w:rFonts w:asciiTheme="minorHAnsi" w:hAnsiTheme="minorHAnsi" w:cstheme="minorHAnsi"/>
        </w:rPr>
        <w:t xml:space="preserve">inancial </w:t>
      </w:r>
      <w:r w:rsidR="00AA0C91">
        <w:rPr>
          <w:rFonts w:asciiTheme="minorHAnsi" w:hAnsiTheme="minorHAnsi" w:cstheme="minorHAnsi"/>
        </w:rPr>
        <w:t>p</w:t>
      </w:r>
      <w:r w:rsidRPr="004C4102">
        <w:rPr>
          <w:rFonts w:asciiTheme="minorHAnsi" w:hAnsiTheme="minorHAnsi" w:cstheme="minorHAnsi"/>
        </w:rPr>
        <w:t xml:space="preserve">lan is </w:t>
      </w:r>
      <w:proofErr w:type="gramStart"/>
      <w:r w:rsidRPr="004C4102">
        <w:rPr>
          <w:rFonts w:asciiTheme="minorHAnsi" w:hAnsiTheme="minorHAnsi" w:cstheme="minorHAnsi"/>
        </w:rPr>
        <w:t>revenue-driven</w:t>
      </w:r>
      <w:proofErr w:type="gramEnd"/>
      <w:r w:rsidRPr="004C4102">
        <w:rPr>
          <w:rFonts w:asciiTheme="minorHAnsi" w:hAnsiTheme="minorHAnsi" w:cstheme="minorHAnsi"/>
        </w:rPr>
        <w:t xml:space="preserve">. The level of revenue is a crucial parameter for the preparation of the </w:t>
      </w:r>
      <w:r w:rsidR="00AA0C91">
        <w:rPr>
          <w:rFonts w:asciiTheme="minorHAnsi" w:hAnsiTheme="minorHAnsi" w:cstheme="minorHAnsi"/>
        </w:rPr>
        <w:t>f</w:t>
      </w:r>
      <w:r w:rsidRPr="004C4102">
        <w:rPr>
          <w:rFonts w:asciiTheme="minorHAnsi" w:hAnsiTheme="minorHAnsi" w:cstheme="minorHAnsi"/>
        </w:rPr>
        <w:t xml:space="preserve">inancial </w:t>
      </w:r>
      <w:r w:rsidR="00AA0C91">
        <w:rPr>
          <w:rFonts w:asciiTheme="minorHAnsi" w:hAnsiTheme="minorHAnsi" w:cstheme="minorHAnsi"/>
        </w:rPr>
        <w:t>p</w:t>
      </w:r>
      <w:r w:rsidRPr="004C4102">
        <w:rPr>
          <w:rFonts w:asciiTheme="minorHAnsi" w:hAnsiTheme="minorHAnsi" w:cstheme="minorHAnsi"/>
        </w:rPr>
        <w:t xml:space="preserve">lan. The draft 2024-2027 </w:t>
      </w:r>
      <w:r w:rsidR="00AA0C91">
        <w:rPr>
          <w:rFonts w:asciiTheme="minorHAnsi" w:hAnsiTheme="minorHAnsi" w:cstheme="minorHAnsi"/>
        </w:rPr>
        <w:t>f</w:t>
      </w:r>
      <w:r w:rsidRPr="004C4102">
        <w:rPr>
          <w:rFonts w:asciiTheme="minorHAnsi" w:hAnsiTheme="minorHAnsi" w:cstheme="minorHAnsi"/>
        </w:rPr>
        <w:t xml:space="preserve">inancial </w:t>
      </w:r>
      <w:r w:rsidR="00AA0C91">
        <w:rPr>
          <w:rFonts w:asciiTheme="minorHAnsi" w:hAnsiTheme="minorHAnsi" w:cstheme="minorHAnsi"/>
        </w:rPr>
        <w:t>p</w:t>
      </w:r>
      <w:r w:rsidRPr="004C4102">
        <w:rPr>
          <w:rFonts w:asciiTheme="minorHAnsi" w:hAnsiTheme="minorHAnsi" w:cstheme="minorHAnsi"/>
        </w:rPr>
        <w:t>lan is based on the revenue available for the 2024-2027 timeframe. Assessed contributions represent more than three-quarters of the Union’s revenue. Any change in the number of contributory units will impact the 2024-2027 revenue forecast, and thus the expenses forecast will have to be adjusted accordingly.</w:t>
      </w:r>
    </w:p>
    <w:p w14:paraId="225EFBB8" w14:textId="05B0CF9E" w:rsidR="004C4102" w:rsidRPr="004C4102" w:rsidRDefault="004C4102" w:rsidP="00C21D85">
      <w:pPr>
        <w:spacing w:before="200" w:after="160"/>
        <w:rPr>
          <w:rFonts w:asciiTheme="minorHAnsi" w:hAnsiTheme="minorHAnsi" w:cstheme="minorHAnsi"/>
        </w:rPr>
      </w:pPr>
      <w:r>
        <w:rPr>
          <w:rFonts w:asciiTheme="minorHAnsi" w:hAnsiTheme="minorHAnsi" w:cstheme="minorHAnsi"/>
        </w:rPr>
        <w:t>2.4</w:t>
      </w:r>
      <w:r>
        <w:rPr>
          <w:rFonts w:asciiTheme="minorHAnsi" w:hAnsiTheme="minorHAnsi" w:cstheme="minorHAnsi"/>
        </w:rPr>
        <w:tab/>
      </w:r>
      <w:r w:rsidRPr="004C4102">
        <w:rPr>
          <w:rFonts w:asciiTheme="minorHAnsi" w:hAnsiTheme="minorHAnsi" w:cstheme="minorHAnsi"/>
        </w:rPr>
        <w:t xml:space="preserve">The amount of the contributory unit has remained unchanged since 2006 at </w:t>
      </w:r>
      <w:r w:rsidR="00407E1E">
        <w:rPr>
          <w:rFonts w:asciiTheme="minorHAnsi" w:hAnsiTheme="minorHAnsi" w:cstheme="minorHAnsi"/>
        </w:rPr>
        <w:t>CHF </w:t>
      </w:r>
      <w:r w:rsidRPr="004C4102">
        <w:rPr>
          <w:rFonts w:asciiTheme="minorHAnsi" w:hAnsiTheme="minorHAnsi" w:cstheme="minorHAnsi"/>
        </w:rPr>
        <w:t>318</w:t>
      </w:r>
      <w:r w:rsidR="00806383">
        <w:rPr>
          <w:rFonts w:asciiTheme="minorHAnsi" w:hAnsiTheme="minorHAnsi" w:cstheme="minorHAnsi"/>
        </w:rPr>
        <w:t>,000</w:t>
      </w:r>
      <w:r w:rsidRPr="004C4102">
        <w:rPr>
          <w:rFonts w:asciiTheme="minorHAnsi" w:hAnsiTheme="minorHAnsi" w:cstheme="minorHAnsi"/>
        </w:rPr>
        <w:t xml:space="preserve"> per unit, which corresponds to a zero-nominal growth. During the period January 2006 until November 2021</w:t>
      </w:r>
      <w:r w:rsidR="00FC52FD">
        <w:rPr>
          <w:rFonts w:asciiTheme="minorHAnsi" w:hAnsiTheme="minorHAnsi" w:cstheme="minorHAnsi"/>
        </w:rPr>
        <w:t>,</w:t>
      </w:r>
      <w:r w:rsidRPr="004C4102">
        <w:rPr>
          <w:rFonts w:asciiTheme="minorHAnsi" w:hAnsiTheme="minorHAnsi" w:cstheme="minorHAnsi"/>
        </w:rPr>
        <w:t xml:space="preserve"> the Geneva Consumer Price Index (CPI) has increased by 5.3</w:t>
      </w:r>
      <w:r w:rsidR="00407E1E">
        <w:rPr>
          <w:rFonts w:asciiTheme="minorHAnsi" w:hAnsiTheme="minorHAnsi" w:cstheme="minorHAnsi"/>
        </w:rPr>
        <w:t xml:space="preserve"> per cent</w:t>
      </w:r>
      <w:r w:rsidRPr="004C4102">
        <w:rPr>
          <w:rFonts w:asciiTheme="minorHAnsi" w:hAnsiTheme="minorHAnsi" w:cstheme="minorHAnsi"/>
        </w:rPr>
        <w:t xml:space="preserve">. Had the contributory unit be indexed to the Geneva CPI, the amount of the contributory unit would now amount to </w:t>
      </w:r>
      <w:r w:rsidR="00407E1E">
        <w:rPr>
          <w:rFonts w:asciiTheme="minorHAnsi" w:hAnsiTheme="minorHAnsi" w:cstheme="minorHAnsi"/>
        </w:rPr>
        <w:t>CHF </w:t>
      </w:r>
      <w:r w:rsidRPr="004C4102">
        <w:rPr>
          <w:rFonts w:asciiTheme="minorHAnsi" w:hAnsiTheme="minorHAnsi" w:cstheme="minorHAnsi"/>
        </w:rPr>
        <w:t>335,</w:t>
      </w:r>
      <w:r w:rsidR="00806383">
        <w:rPr>
          <w:rFonts w:asciiTheme="minorHAnsi" w:hAnsiTheme="minorHAnsi" w:cstheme="minorHAnsi"/>
        </w:rPr>
        <w:t>000,</w:t>
      </w:r>
      <w:r w:rsidRPr="004C4102">
        <w:rPr>
          <w:rFonts w:asciiTheme="minorHAnsi" w:hAnsiTheme="minorHAnsi" w:cstheme="minorHAnsi"/>
        </w:rPr>
        <w:t xml:space="preserve"> an increase of </w:t>
      </w:r>
      <w:r w:rsidR="00407E1E">
        <w:rPr>
          <w:rFonts w:asciiTheme="minorHAnsi" w:hAnsiTheme="minorHAnsi" w:cstheme="minorHAnsi"/>
        </w:rPr>
        <w:t>CHF </w:t>
      </w:r>
      <w:r w:rsidRPr="004C4102">
        <w:rPr>
          <w:rFonts w:asciiTheme="minorHAnsi" w:hAnsiTheme="minorHAnsi" w:cstheme="minorHAnsi"/>
        </w:rPr>
        <w:t>17</w:t>
      </w:r>
      <w:r w:rsidR="00806383">
        <w:rPr>
          <w:rFonts w:asciiTheme="minorHAnsi" w:hAnsiTheme="minorHAnsi" w:cstheme="minorHAnsi"/>
        </w:rPr>
        <w:t>,000</w:t>
      </w:r>
      <w:r w:rsidRPr="004C4102">
        <w:rPr>
          <w:rFonts w:asciiTheme="minorHAnsi" w:hAnsiTheme="minorHAnsi" w:cstheme="minorHAnsi"/>
        </w:rPr>
        <w:t xml:space="preserve"> (zero-real growth). The increase on the assessed contributions would amount to </w:t>
      </w:r>
      <w:r w:rsidR="00407E1E">
        <w:rPr>
          <w:rFonts w:asciiTheme="minorHAnsi" w:hAnsiTheme="minorHAnsi" w:cstheme="minorHAnsi"/>
        </w:rPr>
        <w:t>CHF </w:t>
      </w:r>
      <w:r w:rsidRPr="004C4102">
        <w:rPr>
          <w:rFonts w:asciiTheme="minorHAnsi" w:hAnsiTheme="minorHAnsi" w:cstheme="minorHAnsi"/>
        </w:rPr>
        <w:t>26.9</w:t>
      </w:r>
      <w:r w:rsidR="00806383">
        <w:rPr>
          <w:rFonts w:asciiTheme="minorHAnsi" w:hAnsiTheme="minorHAnsi" w:cstheme="minorHAnsi"/>
        </w:rPr>
        <w:t xml:space="preserve"> million</w:t>
      </w:r>
      <w:r w:rsidRPr="004C4102">
        <w:rPr>
          <w:rFonts w:asciiTheme="minorHAnsi" w:hAnsiTheme="minorHAnsi" w:cstheme="minorHAnsi"/>
        </w:rPr>
        <w:t xml:space="preserve">, </w:t>
      </w:r>
      <w:r>
        <w:rPr>
          <w:rFonts w:asciiTheme="minorHAnsi" w:hAnsiTheme="minorHAnsi" w:cstheme="minorHAnsi"/>
        </w:rPr>
        <w:t>almost the funding required for the UMACs</w:t>
      </w:r>
      <w:r w:rsidRPr="004C4102">
        <w:rPr>
          <w:rFonts w:asciiTheme="minorHAnsi" w:hAnsiTheme="minorHAnsi" w:cstheme="minorHAnsi"/>
        </w:rPr>
        <w:t xml:space="preserve">. A minor increase in the amount of the contributory unit of </w:t>
      </w:r>
      <w:r w:rsidR="00407E1E">
        <w:rPr>
          <w:rFonts w:asciiTheme="minorHAnsi" w:hAnsiTheme="minorHAnsi" w:cstheme="minorHAnsi"/>
        </w:rPr>
        <w:t>CHF </w:t>
      </w:r>
      <w:r w:rsidRPr="004C4102">
        <w:rPr>
          <w:rFonts w:asciiTheme="minorHAnsi" w:hAnsiTheme="minorHAnsi" w:cstheme="minorHAnsi"/>
        </w:rPr>
        <w:t xml:space="preserve">1000 to </w:t>
      </w:r>
      <w:r w:rsidR="00407E1E">
        <w:rPr>
          <w:rFonts w:asciiTheme="minorHAnsi" w:hAnsiTheme="minorHAnsi" w:cstheme="minorHAnsi"/>
        </w:rPr>
        <w:t xml:space="preserve">CHF </w:t>
      </w:r>
      <w:r w:rsidRPr="004C4102">
        <w:rPr>
          <w:rFonts w:asciiTheme="minorHAnsi" w:hAnsiTheme="minorHAnsi" w:cstheme="minorHAnsi"/>
        </w:rPr>
        <w:t>319</w:t>
      </w:r>
      <w:r w:rsidR="00806383">
        <w:rPr>
          <w:rFonts w:asciiTheme="minorHAnsi" w:hAnsiTheme="minorHAnsi" w:cstheme="minorHAnsi"/>
        </w:rPr>
        <w:t>,000</w:t>
      </w:r>
      <w:r w:rsidRPr="004C4102">
        <w:rPr>
          <w:rFonts w:asciiTheme="minorHAnsi" w:hAnsiTheme="minorHAnsi" w:cstheme="minorHAnsi"/>
        </w:rPr>
        <w:t xml:space="preserve"> would increase the assessed contributions for 2024-2027 by </w:t>
      </w:r>
      <w:r w:rsidR="00F26A59">
        <w:rPr>
          <w:rFonts w:asciiTheme="minorHAnsi" w:hAnsiTheme="minorHAnsi" w:cstheme="minorHAnsi"/>
        </w:rPr>
        <w:t>CHF </w:t>
      </w:r>
      <w:r w:rsidRPr="004C4102">
        <w:rPr>
          <w:rFonts w:asciiTheme="minorHAnsi" w:hAnsiTheme="minorHAnsi" w:cstheme="minorHAnsi"/>
        </w:rPr>
        <w:t>1.6</w:t>
      </w:r>
      <w:r w:rsidR="00806383">
        <w:rPr>
          <w:rFonts w:asciiTheme="minorHAnsi" w:hAnsiTheme="minorHAnsi" w:cstheme="minorHAnsi"/>
        </w:rPr>
        <w:t xml:space="preserve"> million</w:t>
      </w:r>
      <w:r w:rsidRPr="004C4102">
        <w:rPr>
          <w:rFonts w:asciiTheme="minorHAnsi" w:hAnsiTheme="minorHAnsi" w:cstheme="minorHAnsi"/>
        </w:rPr>
        <w:t>.</w:t>
      </w:r>
    </w:p>
    <w:p w14:paraId="56156E09" w14:textId="3AE9E097" w:rsidR="00306BDC" w:rsidRPr="00306BDC" w:rsidRDefault="00306BDC" w:rsidP="00C21D85">
      <w:pPr>
        <w:spacing w:before="200" w:after="160"/>
        <w:rPr>
          <w:rFonts w:asciiTheme="minorHAnsi" w:hAnsiTheme="minorHAnsi" w:cstheme="minorHAnsi"/>
        </w:rPr>
      </w:pPr>
      <w:r w:rsidRPr="00306BDC">
        <w:rPr>
          <w:rFonts w:asciiTheme="minorHAnsi" w:hAnsiTheme="minorHAnsi" w:cstheme="minorHAnsi"/>
        </w:rPr>
        <w:t>2.</w:t>
      </w:r>
      <w:r w:rsidR="004C4102">
        <w:rPr>
          <w:rFonts w:asciiTheme="minorHAnsi" w:hAnsiTheme="minorHAnsi" w:cstheme="minorHAnsi"/>
        </w:rPr>
        <w:t>5</w:t>
      </w:r>
      <w:r w:rsidRPr="00306BDC">
        <w:rPr>
          <w:rFonts w:asciiTheme="minorHAnsi" w:hAnsiTheme="minorHAnsi" w:cstheme="minorHAnsi"/>
        </w:rPr>
        <w:tab/>
        <w:t xml:space="preserve">This plan has been established with the standard costs used for the 2022-2023 </w:t>
      </w:r>
      <w:r w:rsidR="00366A6F">
        <w:rPr>
          <w:rFonts w:asciiTheme="minorHAnsi" w:hAnsiTheme="minorHAnsi" w:cstheme="minorHAnsi"/>
        </w:rPr>
        <w:t>b</w:t>
      </w:r>
      <w:r w:rsidRPr="00306BDC">
        <w:rPr>
          <w:rFonts w:asciiTheme="minorHAnsi" w:hAnsiTheme="minorHAnsi" w:cstheme="minorHAnsi"/>
        </w:rPr>
        <w:t xml:space="preserve">udget. It </w:t>
      </w:r>
      <w:r w:rsidRPr="00306BDC">
        <w:rPr>
          <w:rFonts w:asciiTheme="minorHAnsi" w:hAnsiTheme="minorHAnsi" w:cstheme="minorHAnsi"/>
          <w:color w:val="000000" w:themeColor="text1"/>
        </w:rPr>
        <w:t>does not include any vacancy rate</w:t>
      </w:r>
      <w:r w:rsidRPr="00306BDC">
        <w:rPr>
          <w:rFonts w:asciiTheme="minorHAnsi" w:hAnsiTheme="minorHAnsi" w:cstheme="minorHAnsi"/>
        </w:rPr>
        <w:t>. The 5</w:t>
      </w:r>
      <w:r w:rsidR="00366A6F">
        <w:rPr>
          <w:rFonts w:asciiTheme="minorHAnsi" w:hAnsiTheme="minorHAnsi" w:cstheme="minorHAnsi"/>
        </w:rPr>
        <w:t> per cent</w:t>
      </w:r>
      <w:r w:rsidRPr="00306BDC">
        <w:rPr>
          <w:rFonts w:asciiTheme="minorHAnsi" w:hAnsiTheme="minorHAnsi" w:cstheme="minorHAnsi"/>
        </w:rPr>
        <w:t xml:space="preserve"> vacancy rate included in the current </w:t>
      </w:r>
      <w:r w:rsidR="00366A6F">
        <w:rPr>
          <w:rFonts w:asciiTheme="minorHAnsi" w:hAnsiTheme="minorHAnsi" w:cstheme="minorHAnsi"/>
        </w:rPr>
        <w:t>f</w:t>
      </w:r>
      <w:r w:rsidRPr="00306BDC">
        <w:rPr>
          <w:rFonts w:asciiTheme="minorHAnsi" w:hAnsiTheme="minorHAnsi" w:cstheme="minorHAnsi"/>
        </w:rPr>
        <w:t xml:space="preserve">inancial </w:t>
      </w:r>
      <w:r w:rsidR="00366A6F">
        <w:rPr>
          <w:rFonts w:asciiTheme="minorHAnsi" w:hAnsiTheme="minorHAnsi" w:cstheme="minorHAnsi"/>
        </w:rPr>
        <w:t>p</w:t>
      </w:r>
      <w:r w:rsidRPr="00306BDC">
        <w:rPr>
          <w:rFonts w:asciiTheme="minorHAnsi" w:hAnsiTheme="minorHAnsi" w:cstheme="minorHAnsi"/>
        </w:rPr>
        <w:t xml:space="preserve">lan for 2020-2023 no longer reflects the reality and puts the budget implementation at risk. Indeed, there are fewer and fewer vacant positions, and the recruitment delays have been reduced in recent years. Therefore, it has been decided to eliminate the vacancy rate in the draft </w:t>
      </w:r>
      <w:r w:rsidR="00366A6F">
        <w:rPr>
          <w:rFonts w:asciiTheme="minorHAnsi" w:hAnsiTheme="minorHAnsi" w:cstheme="minorHAnsi"/>
        </w:rPr>
        <w:t>f</w:t>
      </w:r>
      <w:r w:rsidRPr="00306BDC">
        <w:rPr>
          <w:rFonts w:asciiTheme="minorHAnsi" w:hAnsiTheme="minorHAnsi" w:cstheme="minorHAnsi"/>
        </w:rPr>
        <w:t xml:space="preserve">inancial </w:t>
      </w:r>
      <w:r w:rsidR="00366A6F">
        <w:rPr>
          <w:rFonts w:asciiTheme="minorHAnsi" w:hAnsiTheme="minorHAnsi" w:cstheme="minorHAnsi"/>
        </w:rPr>
        <w:t>p</w:t>
      </w:r>
      <w:r w:rsidRPr="00306BDC">
        <w:rPr>
          <w:rFonts w:asciiTheme="minorHAnsi" w:hAnsiTheme="minorHAnsi" w:cstheme="minorHAnsi"/>
        </w:rPr>
        <w:t xml:space="preserve">lan for 2024-2027 and replace it by a theoretical </w:t>
      </w:r>
      <w:r w:rsidR="001332CB">
        <w:rPr>
          <w:rFonts w:asciiTheme="minorHAnsi" w:hAnsiTheme="minorHAnsi" w:cstheme="minorHAnsi"/>
        </w:rPr>
        <w:t xml:space="preserve">but </w:t>
      </w:r>
      <w:r w:rsidRPr="00306BDC">
        <w:rPr>
          <w:rFonts w:asciiTheme="minorHAnsi" w:hAnsiTheme="minorHAnsi" w:cstheme="minorHAnsi"/>
        </w:rPr>
        <w:t>realistic recruitment delay.</w:t>
      </w:r>
    </w:p>
    <w:p w14:paraId="41B2E3BD" w14:textId="0C543B0C" w:rsidR="00306BDC" w:rsidRPr="00306BDC" w:rsidRDefault="00306BDC" w:rsidP="00C21D85">
      <w:pPr>
        <w:spacing w:before="200" w:after="160"/>
        <w:rPr>
          <w:rFonts w:asciiTheme="minorHAnsi" w:hAnsiTheme="minorHAnsi" w:cstheme="minorHAnsi"/>
        </w:rPr>
      </w:pPr>
      <w:r w:rsidRPr="00306BDC">
        <w:rPr>
          <w:rFonts w:asciiTheme="minorHAnsi" w:hAnsiTheme="minorHAnsi" w:cstheme="minorHAnsi"/>
        </w:rPr>
        <w:t>2.</w:t>
      </w:r>
      <w:r w:rsidR="004C4102">
        <w:rPr>
          <w:rFonts w:asciiTheme="minorHAnsi" w:hAnsiTheme="minorHAnsi" w:cstheme="minorHAnsi"/>
        </w:rPr>
        <w:t>6</w:t>
      </w:r>
      <w:r w:rsidRPr="00306BDC">
        <w:rPr>
          <w:rFonts w:asciiTheme="minorHAnsi" w:hAnsiTheme="minorHAnsi" w:cstheme="minorHAnsi"/>
        </w:rPr>
        <w:tab/>
        <w:t xml:space="preserve">Possible future cost increases/decreases for 2024-2027 (such as inflation, salary increase, rising health care cost, etc.) have not been reflected in this draft </w:t>
      </w:r>
      <w:r w:rsidR="00366A6F">
        <w:rPr>
          <w:rFonts w:asciiTheme="minorHAnsi" w:hAnsiTheme="minorHAnsi" w:cstheme="minorHAnsi"/>
        </w:rPr>
        <w:t>f</w:t>
      </w:r>
      <w:r w:rsidRPr="00306BDC">
        <w:rPr>
          <w:rFonts w:asciiTheme="minorHAnsi" w:hAnsiTheme="minorHAnsi" w:cstheme="minorHAnsi"/>
        </w:rPr>
        <w:t xml:space="preserve">inancial </w:t>
      </w:r>
      <w:r w:rsidR="00366A6F">
        <w:rPr>
          <w:rFonts w:asciiTheme="minorHAnsi" w:hAnsiTheme="minorHAnsi" w:cstheme="minorHAnsi"/>
        </w:rPr>
        <w:t>p</w:t>
      </w:r>
      <w:r w:rsidRPr="00306BDC">
        <w:rPr>
          <w:rFonts w:asciiTheme="minorHAnsi" w:hAnsiTheme="minorHAnsi" w:cstheme="minorHAnsi"/>
        </w:rPr>
        <w:t xml:space="preserve">lan and will be taken into consideration, if need be, during the preparation of the 2024-2025 and 2026-2027 </w:t>
      </w:r>
      <w:r w:rsidR="00366A6F">
        <w:rPr>
          <w:rFonts w:asciiTheme="minorHAnsi" w:hAnsiTheme="minorHAnsi" w:cstheme="minorHAnsi"/>
        </w:rPr>
        <w:t>b</w:t>
      </w:r>
      <w:r w:rsidRPr="00306BDC">
        <w:rPr>
          <w:rFonts w:asciiTheme="minorHAnsi" w:hAnsiTheme="minorHAnsi" w:cstheme="minorHAnsi"/>
        </w:rPr>
        <w:t>udgets.</w:t>
      </w:r>
    </w:p>
    <w:p w14:paraId="2B2BD668" w14:textId="67F6DBC3" w:rsidR="00306BDC" w:rsidRPr="00306BDC" w:rsidRDefault="00306BDC" w:rsidP="00C21D85">
      <w:pPr>
        <w:spacing w:before="480" w:after="160"/>
        <w:rPr>
          <w:rFonts w:asciiTheme="minorHAnsi" w:hAnsiTheme="minorHAnsi" w:cstheme="minorHAnsi"/>
          <w:b/>
          <w:bCs/>
        </w:rPr>
      </w:pPr>
      <w:r w:rsidRPr="00306BDC">
        <w:rPr>
          <w:rFonts w:asciiTheme="minorHAnsi" w:hAnsiTheme="minorHAnsi" w:cstheme="minorHAnsi"/>
          <w:b/>
          <w:bCs/>
        </w:rPr>
        <w:t>3</w:t>
      </w:r>
      <w:r w:rsidRPr="00306BDC">
        <w:rPr>
          <w:rFonts w:asciiTheme="minorHAnsi" w:hAnsiTheme="minorHAnsi" w:cstheme="minorHAnsi"/>
          <w:b/>
          <w:bCs/>
        </w:rPr>
        <w:tab/>
        <w:t>Planned revenue and expenses</w:t>
      </w:r>
    </w:p>
    <w:p w14:paraId="060F03DF" w14:textId="206E7A08" w:rsidR="00306BDC" w:rsidRPr="00306BDC" w:rsidRDefault="00306BDC" w:rsidP="00C21D85">
      <w:pPr>
        <w:spacing w:before="200" w:after="160"/>
        <w:rPr>
          <w:rFonts w:asciiTheme="minorHAnsi" w:hAnsiTheme="minorHAnsi" w:cstheme="minorHAnsi"/>
        </w:rPr>
      </w:pPr>
      <w:r w:rsidRPr="00306BDC">
        <w:rPr>
          <w:rFonts w:asciiTheme="minorHAnsi" w:hAnsiTheme="minorHAnsi" w:cstheme="minorHAnsi"/>
        </w:rPr>
        <w:t>3.1</w:t>
      </w:r>
      <w:r w:rsidRPr="00306BDC">
        <w:rPr>
          <w:rFonts w:asciiTheme="minorHAnsi" w:hAnsiTheme="minorHAnsi" w:cstheme="minorHAnsi"/>
        </w:rPr>
        <w:tab/>
        <w:t xml:space="preserve">The initial deficit after the first consolidation of the draft </w:t>
      </w:r>
      <w:r w:rsidR="00DC34DB">
        <w:rPr>
          <w:rFonts w:asciiTheme="minorHAnsi" w:hAnsiTheme="minorHAnsi" w:cstheme="minorHAnsi"/>
        </w:rPr>
        <w:t>f</w:t>
      </w:r>
      <w:r w:rsidRPr="00306BDC">
        <w:rPr>
          <w:rFonts w:asciiTheme="minorHAnsi" w:hAnsiTheme="minorHAnsi" w:cstheme="minorHAnsi"/>
        </w:rPr>
        <w:t xml:space="preserve">inancial </w:t>
      </w:r>
      <w:r w:rsidR="00DC34DB">
        <w:rPr>
          <w:rFonts w:asciiTheme="minorHAnsi" w:hAnsiTheme="minorHAnsi" w:cstheme="minorHAnsi"/>
        </w:rPr>
        <w:t>p</w:t>
      </w:r>
      <w:r w:rsidRPr="00306BDC">
        <w:rPr>
          <w:rFonts w:asciiTheme="minorHAnsi" w:hAnsiTheme="minorHAnsi" w:cstheme="minorHAnsi"/>
        </w:rPr>
        <w:t xml:space="preserve">lan for 2024-2027 was in the magnitude of </w:t>
      </w:r>
      <w:r w:rsidR="00DC34DB">
        <w:rPr>
          <w:rFonts w:asciiTheme="minorHAnsi" w:hAnsiTheme="minorHAnsi" w:cstheme="minorHAnsi"/>
        </w:rPr>
        <w:t>CHF </w:t>
      </w:r>
      <w:r w:rsidRPr="00306BDC">
        <w:rPr>
          <w:rFonts w:asciiTheme="minorHAnsi" w:hAnsiTheme="minorHAnsi" w:cstheme="minorHAnsi"/>
        </w:rPr>
        <w:t>74</w:t>
      </w:r>
      <w:r w:rsidR="00FC52FD">
        <w:rPr>
          <w:rFonts w:asciiTheme="minorHAnsi" w:hAnsiTheme="minorHAnsi" w:cstheme="minorHAnsi"/>
        </w:rPr>
        <w:t xml:space="preserve"> million</w:t>
      </w:r>
      <w:r w:rsidRPr="00306BDC">
        <w:rPr>
          <w:rFonts w:asciiTheme="minorHAnsi" w:hAnsiTheme="minorHAnsi" w:cstheme="minorHAnsi"/>
        </w:rPr>
        <w:t xml:space="preserve"> (including the elimination of the 5</w:t>
      </w:r>
      <w:r w:rsidR="00DC34DB">
        <w:rPr>
          <w:rFonts w:asciiTheme="minorHAnsi" w:hAnsiTheme="minorHAnsi" w:cstheme="minorHAnsi"/>
        </w:rPr>
        <w:t xml:space="preserve"> per cent</w:t>
      </w:r>
      <w:r w:rsidRPr="00306BDC">
        <w:rPr>
          <w:rFonts w:asciiTheme="minorHAnsi" w:hAnsiTheme="minorHAnsi" w:cstheme="minorHAnsi"/>
        </w:rPr>
        <w:t xml:space="preserve"> vacancy rate). The deficit was subsequently reduced to </w:t>
      </w:r>
      <w:r w:rsidR="00DC34DB">
        <w:rPr>
          <w:rFonts w:asciiTheme="minorHAnsi" w:hAnsiTheme="minorHAnsi" w:cstheme="minorHAnsi"/>
        </w:rPr>
        <w:t>CHF </w:t>
      </w:r>
      <w:r w:rsidRPr="00306BDC">
        <w:rPr>
          <w:rFonts w:asciiTheme="minorHAnsi" w:hAnsiTheme="minorHAnsi" w:cstheme="minorHAnsi"/>
        </w:rPr>
        <w:t>25.4</w:t>
      </w:r>
      <w:r w:rsidR="00FC52FD">
        <w:rPr>
          <w:rFonts w:asciiTheme="minorHAnsi" w:hAnsiTheme="minorHAnsi" w:cstheme="minorHAnsi"/>
        </w:rPr>
        <w:t xml:space="preserve"> million</w:t>
      </w:r>
      <w:r w:rsidRPr="00306BDC">
        <w:rPr>
          <w:rFonts w:asciiTheme="minorHAnsi" w:hAnsiTheme="minorHAnsi" w:cstheme="minorHAnsi"/>
        </w:rPr>
        <w:t xml:space="preserve"> as presented to the Council Working Group </w:t>
      </w:r>
      <w:r w:rsidR="00DC34DB">
        <w:rPr>
          <w:rFonts w:asciiTheme="minorHAnsi" w:hAnsiTheme="minorHAnsi" w:cstheme="minorHAnsi"/>
        </w:rPr>
        <w:t xml:space="preserve">on Financial and Human Resources (CWG-FHR) </w:t>
      </w:r>
      <w:r w:rsidRPr="00306BDC">
        <w:rPr>
          <w:rFonts w:asciiTheme="minorHAnsi" w:hAnsiTheme="minorHAnsi" w:cstheme="minorHAnsi"/>
        </w:rPr>
        <w:t>in January 2022.</w:t>
      </w:r>
    </w:p>
    <w:p w14:paraId="6ECA9266" w14:textId="514FA589" w:rsidR="00306BDC" w:rsidRPr="00306BDC" w:rsidRDefault="00306BDC" w:rsidP="00C21D85">
      <w:pPr>
        <w:spacing w:before="200" w:after="160"/>
        <w:rPr>
          <w:rFonts w:asciiTheme="minorHAnsi" w:hAnsiTheme="minorHAnsi" w:cstheme="minorHAnsi"/>
        </w:rPr>
      </w:pPr>
      <w:r w:rsidRPr="00306BDC">
        <w:rPr>
          <w:rFonts w:asciiTheme="minorHAnsi" w:hAnsiTheme="minorHAnsi" w:cstheme="minorHAnsi"/>
        </w:rPr>
        <w:t>3.2</w:t>
      </w:r>
      <w:r w:rsidRPr="00306BDC">
        <w:rPr>
          <w:rFonts w:asciiTheme="minorHAnsi" w:hAnsiTheme="minorHAnsi" w:cstheme="minorHAnsi"/>
        </w:rPr>
        <w:tab/>
        <w:t xml:space="preserve">The implementation of the following efficiency measures has permitted to balance the draft </w:t>
      </w:r>
      <w:r w:rsidR="008925D7">
        <w:rPr>
          <w:rFonts w:asciiTheme="minorHAnsi" w:hAnsiTheme="minorHAnsi" w:cstheme="minorHAnsi"/>
        </w:rPr>
        <w:t>f</w:t>
      </w:r>
      <w:r w:rsidRPr="00306BDC">
        <w:rPr>
          <w:rFonts w:asciiTheme="minorHAnsi" w:hAnsiTheme="minorHAnsi" w:cstheme="minorHAnsi"/>
        </w:rPr>
        <w:t xml:space="preserve">inancial </w:t>
      </w:r>
      <w:r w:rsidR="008925D7">
        <w:rPr>
          <w:rFonts w:asciiTheme="minorHAnsi" w:hAnsiTheme="minorHAnsi" w:cstheme="minorHAnsi"/>
        </w:rPr>
        <w:t>p</w:t>
      </w:r>
      <w:r w:rsidRPr="00306BDC">
        <w:rPr>
          <w:rFonts w:asciiTheme="minorHAnsi" w:hAnsiTheme="minorHAnsi" w:cstheme="minorHAnsi"/>
        </w:rPr>
        <w:t>lan for 2024-2027.</w:t>
      </w:r>
    </w:p>
    <w:p w14:paraId="24286D8E" w14:textId="11A215F0" w:rsidR="00306BDC" w:rsidRDefault="00306BDC" w:rsidP="00C21D85">
      <w:pPr>
        <w:keepNext/>
        <w:spacing w:before="160" w:after="160"/>
        <w:rPr>
          <w:rFonts w:asciiTheme="minorHAnsi" w:hAnsiTheme="minorHAnsi" w:cstheme="minorHAnsi"/>
          <w:u w:val="single"/>
        </w:rPr>
      </w:pPr>
      <w:r w:rsidRPr="00306BDC">
        <w:rPr>
          <w:rFonts w:asciiTheme="minorHAnsi" w:hAnsiTheme="minorHAnsi" w:cstheme="minorHAnsi"/>
          <w:u w:val="single"/>
        </w:rPr>
        <w:lastRenderedPageBreak/>
        <w:t>Expenses:</w:t>
      </w:r>
    </w:p>
    <w:p w14:paraId="23C5D996" w14:textId="0516ABA3" w:rsidR="00306BDC" w:rsidRPr="00306BDC" w:rsidRDefault="00455A4F" w:rsidP="001F4F21">
      <w:pPr>
        <w:pStyle w:val="ListParagraph"/>
        <w:keepNext/>
        <w:numPr>
          <w:ilvl w:val="0"/>
          <w:numId w:val="8"/>
        </w:numPr>
        <w:spacing w:before="160" w:after="160"/>
        <w:ind w:left="1134" w:hanging="425"/>
        <w:rPr>
          <w:rFonts w:cstheme="minorHAnsi"/>
        </w:rPr>
      </w:pPr>
      <w:r>
        <w:rPr>
          <w:rFonts w:cstheme="minorHAnsi"/>
        </w:rPr>
        <w:t>25</w:t>
      </w:r>
      <w:r w:rsidR="008925D7">
        <w:rPr>
          <w:rFonts w:cstheme="minorHAnsi"/>
        </w:rPr>
        <w:t xml:space="preserve"> per cent</w:t>
      </w:r>
      <w:r w:rsidR="00306BDC" w:rsidRPr="00306BDC">
        <w:rPr>
          <w:rFonts w:cstheme="minorHAnsi"/>
        </w:rPr>
        <w:t xml:space="preserve"> </w:t>
      </w:r>
      <w:r>
        <w:rPr>
          <w:rFonts w:cstheme="minorHAnsi"/>
        </w:rPr>
        <w:t xml:space="preserve">average </w:t>
      </w:r>
      <w:r w:rsidR="00306BDC" w:rsidRPr="00306BDC">
        <w:rPr>
          <w:rFonts w:cstheme="minorHAnsi"/>
        </w:rPr>
        <w:t>reduction in Special Service Agreements (SSA)</w:t>
      </w:r>
      <w:r w:rsidR="001332CB">
        <w:rPr>
          <w:rFonts w:cstheme="minorHAnsi"/>
        </w:rPr>
        <w:t>.</w:t>
      </w:r>
    </w:p>
    <w:p w14:paraId="783906A3" w14:textId="21E25499" w:rsidR="00306BDC" w:rsidRPr="00306BDC" w:rsidRDefault="00455A4F" w:rsidP="001F4F21">
      <w:pPr>
        <w:pStyle w:val="ListParagraph"/>
        <w:keepNext/>
        <w:numPr>
          <w:ilvl w:val="0"/>
          <w:numId w:val="8"/>
        </w:numPr>
        <w:spacing w:before="160" w:after="160"/>
        <w:ind w:left="1134" w:hanging="425"/>
        <w:rPr>
          <w:rFonts w:cstheme="minorHAnsi"/>
        </w:rPr>
      </w:pPr>
      <w:r>
        <w:rPr>
          <w:rFonts w:cstheme="minorHAnsi"/>
        </w:rPr>
        <w:t>25</w:t>
      </w:r>
      <w:r w:rsidR="008925D7">
        <w:rPr>
          <w:rFonts w:cstheme="minorHAnsi"/>
        </w:rPr>
        <w:t xml:space="preserve"> per cent</w:t>
      </w:r>
      <w:r w:rsidR="00306BDC" w:rsidRPr="00306BDC">
        <w:rPr>
          <w:rFonts w:cstheme="minorHAnsi"/>
        </w:rPr>
        <w:t xml:space="preserve"> </w:t>
      </w:r>
      <w:r>
        <w:rPr>
          <w:rFonts w:cstheme="minorHAnsi"/>
        </w:rPr>
        <w:t>average</w:t>
      </w:r>
      <w:r w:rsidR="00306BDC" w:rsidRPr="00306BDC">
        <w:rPr>
          <w:rFonts w:cstheme="minorHAnsi"/>
        </w:rPr>
        <w:t xml:space="preserve"> reduction in travel costs</w:t>
      </w:r>
      <w:r w:rsidR="001332CB">
        <w:rPr>
          <w:rFonts w:cstheme="minorHAnsi"/>
        </w:rPr>
        <w:t>.</w:t>
      </w:r>
    </w:p>
    <w:p w14:paraId="66A9E037" w14:textId="570A8395" w:rsidR="00306BDC" w:rsidRPr="00306BDC" w:rsidRDefault="00306BDC" w:rsidP="001F4F21">
      <w:pPr>
        <w:pStyle w:val="ListParagraph"/>
        <w:keepNext/>
        <w:numPr>
          <w:ilvl w:val="0"/>
          <w:numId w:val="8"/>
        </w:numPr>
        <w:spacing w:before="160" w:after="160"/>
        <w:ind w:left="1134" w:hanging="425"/>
        <w:rPr>
          <w:rFonts w:cstheme="minorHAnsi"/>
        </w:rPr>
      </w:pPr>
      <w:r w:rsidRPr="00306BDC">
        <w:rPr>
          <w:rFonts w:cstheme="minorHAnsi"/>
        </w:rPr>
        <w:t>20</w:t>
      </w:r>
      <w:r w:rsidR="008925D7">
        <w:rPr>
          <w:rFonts w:cstheme="minorHAnsi"/>
        </w:rPr>
        <w:t xml:space="preserve"> percent</w:t>
      </w:r>
      <w:r w:rsidRPr="00306BDC">
        <w:rPr>
          <w:rFonts w:cstheme="minorHAnsi"/>
        </w:rPr>
        <w:t xml:space="preserve"> reduction in the cost/volume of documentation</w:t>
      </w:r>
      <w:r w:rsidR="001332CB">
        <w:rPr>
          <w:rFonts w:cstheme="minorHAnsi"/>
        </w:rPr>
        <w:t>.</w:t>
      </w:r>
    </w:p>
    <w:p w14:paraId="3EC08F6E" w14:textId="50AFB1EB" w:rsidR="00306BDC" w:rsidRPr="00306BDC" w:rsidRDefault="00306BDC" w:rsidP="001F4F21">
      <w:pPr>
        <w:pStyle w:val="ListParagraph"/>
        <w:keepNext/>
        <w:numPr>
          <w:ilvl w:val="0"/>
          <w:numId w:val="8"/>
        </w:numPr>
        <w:spacing w:before="160" w:after="160"/>
        <w:ind w:left="1134" w:hanging="425"/>
        <w:rPr>
          <w:rFonts w:cstheme="minorHAnsi"/>
        </w:rPr>
      </w:pPr>
      <w:r w:rsidRPr="00306BDC">
        <w:rPr>
          <w:rFonts w:cstheme="minorHAnsi"/>
        </w:rPr>
        <w:t xml:space="preserve">Reduction </w:t>
      </w:r>
      <w:r w:rsidR="008925D7">
        <w:rPr>
          <w:rFonts w:cstheme="minorHAnsi"/>
        </w:rPr>
        <w:t xml:space="preserve">in </w:t>
      </w:r>
      <w:r w:rsidRPr="00306BDC">
        <w:rPr>
          <w:rFonts w:cstheme="minorHAnsi"/>
        </w:rPr>
        <w:t>the number of printers at ITU and move to a managed printer service</w:t>
      </w:r>
      <w:r w:rsidR="001332CB">
        <w:rPr>
          <w:rFonts w:cstheme="minorHAnsi"/>
        </w:rPr>
        <w:t>.</w:t>
      </w:r>
    </w:p>
    <w:p w14:paraId="7C4B3E4F" w14:textId="17DA62D9" w:rsidR="00306BDC" w:rsidRPr="00306BDC" w:rsidRDefault="00306BDC" w:rsidP="001F4F21">
      <w:pPr>
        <w:pStyle w:val="ListParagraph"/>
        <w:keepNext/>
        <w:numPr>
          <w:ilvl w:val="0"/>
          <w:numId w:val="8"/>
        </w:numPr>
        <w:spacing w:before="160" w:after="160"/>
        <w:ind w:left="1134" w:hanging="425"/>
        <w:rPr>
          <w:rFonts w:cstheme="minorHAnsi"/>
        </w:rPr>
      </w:pPr>
      <w:r w:rsidRPr="00306BDC">
        <w:rPr>
          <w:rFonts w:cstheme="minorHAnsi"/>
        </w:rPr>
        <w:t>Elimination of desk phones by continuing to use Microsoft Teams as Softphones</w:t>
      </w:r>
      <w:r w:rsidR="001332CB">
        <w:rPr>
          <w:rFonts w:cstheme="minorHAnsi"/>
        </w:rPr>
        <w:t>.</w:t>
      </w:r>
    </w:p>
    <w:p w14:paraId="5DA5976D" w14:textId="550418FA" w:rsidR="00306BDC" w:rsidRPr="00306BDC" w:rsidRDefault="00306BDC" w:rsidP="001F4F21">
      <w:pPr>
        <w:pStyle w:val="NormalWeb"/>
        <w:keepNext/>
        <w:numPr>
          <w:ilvl w:val="0"/>
          <w:numId w:val="8"/>
        </w:numPr>
        <w:spacing w:before="160" w:beforeAutospacing="0" w:after="160" w:afterAutospacing="0"/>
        <w:ind w:left="1134" w:hanging="425"/>
        <w:jc w:val="both"/>
        <w:rPr>
          <w:rFonts w:asciiTheme="minorHAnsi" w:hAnsiTheme="minorHAnsi" w:cstheme="minorHAnsi"/>
          <w:color w:val="auto"/>
          <w:lang w:val="en-US"/>
        </w:rPr>
      </w:pPr>
      <w:r w:rsidRPr="00306BDC">
        <w:rPr>
          <w:rFonts w:asciiTheme="minorHAnsi" w:hAnsiTheme="minorHAnsi" w:cstheme="minorHAnsi"/>
          <w:color w:val="auto"/>
          <w:lang w:val="en-US"/>
        </w:rPr>
        <w:t xml:space="preserve">Introduction of a progressive global reduction of </w:t>
      </w:r>
      <w:r w:rsidR="008925D7">
        <w:rPr>
          <w:rFonts w:asciiTheme="minorHAnsi" w:hAnsiTheme="minorHAnsi" w:cstheme="minorHAnsi"/>
          <w:color w:val="auto"/>
          <w:lang w:val="en-US"/>
        </w:rPr>
        <w:t>CHF </w:t>
      </w:r>
      <w:r w:rsidRPr="00306BDC">
        <w:rPr>
          <w:rFonts w:asciiTheme="minorHAnsi" w:hAnsiTheme="minorHAnsi" w:cstheme="minorHAnsi"/>
          <w:color w:val="auto"/>
          <w:lang w:val="en-US"/>
        </w:rPr>
        <w:t>1</w:t>
      </w:r>
      <w:r w:rsidR="0070485B">
        <w:rPr>
          <w:rFonts w:asciiTheme="minorHAnsi" w:hAnsiTheme="minorHAnsi" w:cstheme="minorHAnsi"/>
          <w:color w:val="auto"/>
          <w:lang w:val="en-US"/>
        </w:rPr>
        <w:t>7</w:t>
      </w:r>
      <w:r w:rsidR="00FC52FD">
        <w:rPr>
          <w:rFonts w:asciiTheme="minorHAnsi" w:hAnsiTheme="minorHAnsi" w:cstheme="minorHAnsi"/>
          <w:color w:val="auto"/>
          <w:lang w:val="en-US"/>
        </w:rPr>
        <w:t xml:space="preserve"> million</w:t>
      </w:r>
      <w:r w:rsidRPr="00306BDC">
        <w:rPr>
          <w:rFonts w:asciiTheme="minorHAnsi" w:hAnsiTheme="minorHAnsi" w:cstheme="minorHAnsi"/>
          <w:color w:val="auto"/>
          <w:lang w:val="en-US"/>
        </w:rPr>
        <w:t xml:space="preserve"> over the 2024-2027 period that will be implemented through the introduction of manifold measures such as review of skills necessary to support the fast-coming digital transformation, optimization, rationalization, and possible centralization of services (conference management, communication, HR management, …), elimination of shadow IT, de-emphasis or even suppression of low priority activities, relocation of some services/activities, etc.</w:t>
      </w:r>
    </w:p>
    <w:p w14:paraId="310021A3" w14:textId="39707977" w:rsidR="00306BDC" w:rsidRDefault="00306BDC" w:rsidP="00C21D85">
      <w:pPr>
        <w:spacing w:before="240" w:after="160"/>
        <w:rPr>
          <w:rFonts w:asciiTheme="minorHAnsi" w:hAnsiTheme="minorHAnsi" w:cstheme="minorHAnsi"/>
          <w:u w:val="single"/>
        </w:rPr>
      </w:pPr>
      <w:r w:rsidRPr="00306BDC">
        <w:rPr>
          <w:rFonts w:asciiTheme="minorHAnsi" w:hAnsiTheme="minorHAnsi" w:cstheme="minorHAnsi"/>
          <w:u w:val="single"/>
        </w:rPr>
        <w:t>Revenue:</w:t>
      </w:r>
    </w:p>
    <w:p w14:paraId="1697855C" w14:textId="300ED502" w:rsidR="00306BDC" w:rsidRPr="00306BDC" w:rsidRDefault="00306BDC" w:rsidP="001F4F21">
      <w:pPr>
        <w:pStyle w:val="NormalWeb"/>
        <w:numPr>
          <w:ilvl w:val="0"/>
          <w:numId w:val="9"/>
        </w:numPr>
        <w:spacing w:before="160" w:beforeAutospacing="0" w:after="160" w:afterAutospacing="0"/>
        <w:ind w:left="1134" w:hanging="425"/>
        <w:jc w:val="both"/>
        <w:rPr>
          <w:rFonts w:asciiTheme="minorHAnsi" w:hAnsiTheme="minorHAnsi" w:cstheme="minorHAnsi"/>
          <w:color w:val="auto"/>
          <w:lang w:val="en-US"/>
        </w:rPr>
      </w:pPr>
      <w:r w:rsidRPr="00306BDC">
        <w:rPr>
          <w:rFonts w:asciiTheme="minorHAnsi" w:hAnsiTheme="minorHAnsi" w:cstheme="minorHAnsi"/>
          <w:color w:val="auto"/>
          <w:lang w:val="en-US"/>
        </w:rPr>
        <w:t>Increase in the sales of publication revenue on account of new format, contents, and media for ITU publications</w:t>
      </w:r>
      <w:r w:rsidR="001332CB">
        <w:rPr>
          <w:rFonts w:asciiTheme="minorHAnsi" w:hAnsiTheme="minorHAnsi" w:cstheme="minorHAnsi"/>
          <w:color w:val="auto"/>
          <w:lang w:val="en-US"/>
        </w:rPr>
        <w:t>.</w:t>
      </w:r>
    </w:p>
    <w:p w14:paraId="4DE3D743" w14:textId="5DAD03DC" w:rsidR="00306BDC" w:rsidRPr="00306BDC" w:rsidRDefault="009F07F8" w:rsidP="001F4F21">
      <w:pPr>
        <w:pStyle w:val="NormalWeb"/>
        <w:numPr>
          <w:ilvl w:val="0"/>
          <w:numId w:val="9"/>
        </w:numPr>
        <w:spacing w:before="160" w:beforeAutospacing="0" w:after="160" w:afterAutospacing="0"/>
        <w:ind w:left="1134" w:hanging="425"/>
        <w:jc w:val="both"/>
        <w:rPr>
          <w:rFonts w:asciiTheme="minorHAnsi" w:hAnsiTheme="minorHAnsi" w:cstheme="minorHAnsi"/>
          <w:color w:val="auto"/>
          <w:lang w:val="en-US"/>
        </w:rPr>
      </w:pPr>
      <w:r>
        <w:rPr>
          <w:rFonts w:asciiTheme="minorHAnsi" w:hAnsiTheme="minorHAnsi" w:cstheme="minorHAnsi"/>
          <w:color w:val="auto"/>
          <w:lang w:val="en-US"/>
        </w:rPr>
        <w:t>Progressive</w:t>
      </w:r>
      <w:r w:rsidR="00306BDC" w:rsidRPr="00306BDC">
        <w:rPr>
          <w:rFonts w:asciiTheme="minorHAnsi" w:hAnsiTheme="minorHAnsi" w:cstheme="minorHAnsi"/>
          <w:color w:val="auto"/>
          <w:lang w:val="en-US"/>
        </w:rPr>
        <w:t xml:space="preserve"> resource mobilization to co-fund some regular activities</w:t>
      </w:r>
      <w:r>
        <w:rPr>
          <w:rFonts w:asciiTheme="minorHAnsi" w:hAnsiTheme="minorHAnsi" w:cstheme="minorHAnsi"/>
          <w:color w:val="auto"/>
          <w:lang w:val="en-US"/>
        </w:rPr>
        <w:t xml:space="preserve"> a</w:t>
      </w:r>
      <w:r w:rsidRPr="009F07F8">
        <w:rPr>
          <w:rFonts w:asciiTheme="minorHAnsi" w:hAnsiTheme="minorHAnsi" w:cstheme="minorHAnsi"/>
          <w:color w:val="auto"/>
          <w:lang w:val="en-US"/>
        </w:rPr>
        <w:t xml:space="preserve">nd review and modernize cost recovery for publications, </w:t>
      </w:r>
      <w:r w:rsidR="000441D1" w:rsidRPr="009F07F8">
        <w:rPr>
          <w:rFonts w:asciiTheme="minorHAnsi" w:hAnsiTheme="minorHAnsi" w:cstheme="minorHAnsi"/>
          <w:color w:val="auto"/>
          <w:lang w:val="en-US"/>
        </w:rPr>
        <w:t>software,</w:t>
      </w:r>
      <w:r w:rsidRPr="009F07F8">
        <w:rPr>
          <w:rFonts w:asciiTheme="minorHAnsi" w:hAnsiTheme="minorHAnsi" w:cstheme="minorHAnsi"/>
          <w:color w:val="auto"/>
          <w:lang w:val="en-US"/>
        </w:rPr>
        <w:t xml:space="preserve"> and databases</w:t>
      </w:r>
      <w:r w:rsidR="001332CB">
        <w:rPr>
          <w:rFonts w:asciiTheme="minorHAnsi" w:hAnsiTheme="minorHAnsi" w:cstheme="minorHAnsi"/>
          <w:color w:val="auto"/>
          <w:lang w:val="en-US"/>
        </w:rPr>
        <w:t>.</w:t>
      </w:r>
    </w:p>
    <w:p w14:paraId="050C04C0" w14:textId="4909BFBA" w:rsidR="00306BDC" w:rsidRPr="00306BDC" w:rsidRDefault="00306BDC" w:rsidP="00C21D85">
      <w:pPr>
        <w:pStyle w:val="NormalWeb"/>
        <w:spacing w:before="240" w:beforeAutospacing="0" w:after="360" w:afterAutospacing="0"/>
        <w:jc w:val="both"/>
        <w:rPr>
          <w:rFonts w:asciiTheme="minorHAnsi" w:hAnsiTheme="minorHAnsi" w:cstheme="minorHAnsi"/>
          <w:color w:val="auto"/>
          <w:lang w:val="en-US"/>
        </w:rPr>
      </w:pPr>
      <w:r w:rsidRPr="00306BDC">
        <w:rPr>
          <w:rFonts w:asciiTheme="minorHAnsi" w:hAnsiTheme="minorHAnsi" w:cstheme="minorHAnsi"/>
          <w:color w:val="auto"/>
          <w:lang w:val="en-US"/>
        </w:rPr>
        <w:t>3.3</w:t>
      </w:r>
      <w:r w:rsidRPr="00306BDC">
        <w:rPr>
          <w:rFonts w:asciiTheme="minorHAnsi" w:hAnsiTheme="minorHAnsi" w:cstheme="minorHAnsi"/>
          <w:color w:val="auto"/>
          <w:lang w:val="en-US"/>
        </w:rPr>
        <w:tab/>
        <w:t xml:space="preserve">Table 1 below provides </w:t>
      </w:r>
      <w:r>
        <w:rPr>
          <w:rFonts w:asciiTheme="minorHAnsi" w:hAnsiTheme="minorHAnsi" w:cstheme="minorHAnsi"/>
          <w:color w:val="auto"/>
          <w:lang w:val="en-US"/>
        </w:rPr>
        <w:t xml:space="preserve">the planned expenses for 2024-2027 by </w:t>
      </w:r>
      <w:r w:rsidR="00FD1F93">
        <w:rPr>
          <w:rFonts w:asciiTheme="minorHAnsi" w:hAnsiTheme="minorHAnsi" w:cstheme="minorHAnsi"/>
          <w:color w:val="auto"/>
          <w:lang w:val="en-US"/>
        </w:rPr>
        <w:t>s</w:t>
      </w:r>
      <w:r>
        <w:rPr>
          <w:rFonts w:asciiTheme="minorHAnsi" w:hAnsiTheme="minorHAnsi" w:cstheme="minorHAnsi"/>
          <w:color w:val="auto"/>
          <w:lang w:val="en-US"/>
        </w:rPr>
        <w:t xml:space="preserve">ector together with </w:t>
      </w:r>
      <w:r w:rsidRPr="00306BDC">
        <w:rPr>
          <w:rFonts w:asciiTheme="minorHAnsi" w:hAnsiTheme="minorHAnsi" w:cstheme="minorHAnsi"/>
          <w:color w:val="auto"/>
          <w:lang w:val="en-US"/>
        </w:rPr>
        <w:t xml:space="preserve">the comparison with the 2020-2023 </w:t>
      </w:r>
      <w:r w:rsidR="00FD1F93">
        <w:rPr>
          <w:rFonts w:asciiTheme="minorHAnsi" w:hAnsiTheme="minorHAnsi" w:cstheme="minorHAnsi"/>
          <w:color w:val="auto"/>
          <w:lang w:val="en-US"/>
        </w:rPr>
        <w:t>b</w:t>
      </w:r>
      <w:r w:rsidRPr="00306BDC">
        <w:rPr>
          <w:rFonts w:asciiTheme="minorHAnsi" w:hAnsiTheme="minorHAnsi" w:cstheme="minorHAnsi"/>
          <w:color w:val="auto"/>
          <w:lang w:val="en-US"/>
        </w:rPr>
        <w:t xml:space="preserve">udgets and </w:t>
      </w:r>
      <w:r w:rsidR="00FD1F93">
        <w:rPr>
          <w:rFonts w:asciiTheme="minorHAnsi" w:hAnsiTheme="minorHAnsi" w:cstheme="minorHAnsi"/>
          <w:color w:val="auto"/>
          <w:lang w:val="en-US"/>
        </w:rPr>
        <w:t>f</w:t>
      </w:r>
      <w:r w:rsidRPr="00306BDC">
        <w:rPr>
          <w:rFonts w:asciiTheme="minorHAnsi" w:hAnsiTheme="minorHAnsi" w:cstheme="minorHAnsi"/>
          <w:color w:val="auto"/>
          <w:lang w:val="en-US"/>
        </w:rPr>
        <w:t xml:space="preserve">inancial </w:t>
      </w:r>
      <w:r w:rsidR="00FD1F93">
        <w:rPr>
          <w:rFonts w:asciiTheme="minorHAnsi" w:hAnsiTheme="minorHAnsi" w:cstheme="minorHAnsi"/>
          <w:color w:val="auto"/>
          <w:lang w:val="en-US"/>
        </w:rPr>
        <w:t>p</w:t>
      </w:r>
      <w:r w:rsidRPr="00306BDC">
        <w:rPr>
          <w:rFonts w:asciiTheme="minorHAnsi" w:hAnsiTheme="minorHAnsi" w:cstheme="minorHAnsi"/>
          <w:color w:val="auto"/>
          <w:lang w:val="en-US"/>
        </w:rPr>
        <w:t>lan</w:t>
      </w:r>
      <w:r w:rsidR="001332CB">
        <w:rPr>
          <w:rFonts w:asciiTheme="minorHAnsi" w:hAnsiTheme="minorHAnsi" w:cstheme="minorHAnsi"/>
          <w:color w:val="auto"/>
          <w:lang w:val="en-US"/>
        </w:rPr>
        <w:t>.</w:t>
      </w:r>
    </w:p>
    <w:p w14:paraId="4B9C5512" w14:textId="77D92ABE" w:rsidR="00FD1F93" w:rsidRDefault="000B058C" w:rsidP="00C21D85">
      <w:pPr>
        <w:snapToGrid w:val="0"/>
        <w:spacing w:before="240" w:after="120"/>
        <w:jc w:val="center"/>
        <w:rPr>
          <w:rFonts w:asciiTheme="minorHAnsi" w:hAnsiTheme="minorHAnsi" w:cstheme="minorHAnsi"/>
          <w:lang w:val="en-AU"/>
        </w:rPr>
      </w:pPr>
      <w:r w:rsidRPr="009D4809">
        <w:rPr>
          <w:noProof/>
        </w:rPr>
        <w:drawing>
          <wp:inline distT="0" distB="0" distL="0" distR="0" wp14:anchorId="6149A472" wp14:editId="310984DD">
            <wp:extent cx="6120765" cy="39585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958590"/>
                    </a:xfrm>
                    <a:prstGeom prst="rect">
                      <a:avLst/>
                    </a:prstGeom>
                    <a:noFill/>
                    <a:ln>
                      <a:noFill/>
                    </a:ln>
                  </pic:spPr>
                </pic:pic>
              </a:graphicData>
            </a:graphic>
          </wp:inline>
        </w:drawing>
      </w:r>
      <w:r w:rsidR="00FD1F93">
        <w:rPr>
          <w:rFonts w:asciiTheme="minorHAnsi" w:hAnsiTheme="minorHAnsi" w:cstheme="minorHAnsi"/>
          <w:lang w:val="en-AU"/>
        </w:rPr>
        <w:br w:type="page"/>
      </w:r>
    </w:p>
    <w:p w14:paraId="7809A502" w14:textId="7D0F3620" w:rsidR="004A1B8B" w:rsidRPr="00306BDC" w:rsidRDefault="00306BDC" w:rsidP="00DB384B">
      <w:pPr>
        <w:rPr>
          <w:rFonts w:asciiTheme="minorHAnsi" w:hAnsiTheme="minorHAnsi" w:cstheme="minorHAnsi"/>
          <w:lang w:val="en-AU"/>
        </w:rPr>
      </w:pPr>
      <w:r w:rsidRPr="00306BDC">
        <w:rPr>
          <w:rFonts w:asciiTheme="minorHAnsi" w:hAnsiTheme="minorHAnsi" w:cstheme="minorHAnsi"/>
          <w:lang w:val="en-AU"/>
        </w:rPr>
        <w:lastRenderedPageBreak/>
        <w:t>3.4</w:t>
      </w:r>
      <w:r w:rsidRPr="00306BDC">
        <w:rPr>
          <w:rFonts w:asciiTheme="minorHAnsi" w:hAnsiTheme="minorHAnsi" w:cstheme="minorHAnsi"/>
          <w:lang w:val="en-AU"/>
        </w:rPr>
        <w:tab/>
        <w:t>On the expenses side, the main element</w:t>
      </w:r>
      <w:r>
        <w:rPr>
          <w:rFonts w:asciiTheme="minorHAnsi" w:hAnsiTheme="minorHAnsi" w:cstheme="minorHAnsi"/>
          <w:lang w:val="en-AU"/>
        </w:rPr>
        <w:t>s</w:t>
      </w:r>
      <w:r w:rsidRPr="00306BDC">
        <w:rPr>
          <w:rFonts w:asciiTheme="minorHAnsi" w:hAnsiTheme="minorHAnsi" w:cstheme="minorHAnsi"/>
          <w:lang w:val="en-AU"/>
        </w:rPr>
        <w:t xml:space="preserve"> of the variance by </w:t>
      </w:r>
      <w:r w:rsidR="00FD1F93">
        <w:rPr>
          <w:rFonts w:asciiTheme="minorHAnsi" w:hAnsiTheme="minorHAnsi" w:cstheme="minorHAnsi"/>
          <w:lang w:val="en-AU"/>
        </w:rPr>
        <w:t>s</w:t>
      </w:r>
      <w:r w:rsidRPr="00306BDC">
        <w:rPr>
          <w:rFonts w:asciiTheme="minorHAnsi" w:hAnsiTheme="minorHAnsi" w:cstheme="minorHAnsi"/>
          <w:lang w:val="en-AU"/>
        </w:rPr>
        <w:t>ector are the following:</w:t>
      </w:r>
    </w:p>
    <w:p w14:paraId="596B6E63" w14:textId="70969F81" w:rsidR="00306BDC" w:rsidRPr="00306BDC" w:rsidRDefault="00306BDC" w:rsidP="00C21D85">
      <w:pPr>
        <w:spacing w:before="360" w:after="60"/>
        <w:rPr>
          <w:rFonts w:asciiTheme="minorHAnsi" w:hAnsiTheme="minorHAnsi" w:cstheme="minorHAnsi"/>
          <w:lang w:val="en-AU"/>
        </w:rPr>
      </w:pPr>
      <w:r w:rsidRPr="00306BDC">
        <w:rPr>
          <w:rFonts w:asciiTheme="minorHAnsi" w:hAnsiTheme="minorHAnsi" w:cstheme="minorHAnsi"/>
          <w:lang w:val="en-AU"/>
        </w:rPr>
        <w:t>Table 1.1</w:t>
      </w:r>
    </w:p>
    <w:tbl>
      <w:tblPr>
        <w:tblW w:w="7536" w:type="dxa"/>
        <w:tblLook w:val="04A0" w:firstRow="1" w:lastRow="0" w:firstColumn="1" w:lastColumn="0" w:noHBand="0" w:noVBand="1"/>
      </w:tblPr>
      <w:tblGrid>
        <w:gridCol w:w="6076"/>
        <w:gridCol w:w="1460"/>
      </w:tblGrid>
      <w:tr w:rsidR="00306BDC" w:rsidRPr="00306BDC" w14:paraId="72344726" w14:textId="77777777" w:rsidTr="00306BDC">
        <w:trPr>
          <w:trHeight w:val="280"/>
        </w:trPr>
        <w:tc>
          <w:tcPr>
            <w:tcW w:w="6076" w:type="dxa"/>
            <w:tcBorders>
              <w:top w:val="single" w:sz="4" w:space="0" w:color="auto"/>
              <w:left w:val="nil"/>
              <w:bottom w:val="nil"/>
              <w:right w:val="nil"/>
            </w:tcBorders>
            <w:shd w:val="clear" w:color="auto" w:fill="auto"/>
            <w:noWrap/>
            <w:vAlign w:val="center"/>
            <w:hideMark/>
          </w:tcPr>
          <w:p w14:paraId="2ACBB1B5" w14:textId="779EF85A" w:rsidR="00306BDC" w:rsidRPr="00306BDC" w:rsidRDefault="00306BDC">
            <w:pPr>
              <w:rPr>
                <w:rFonts w:asciiTheme="minorHAnsi" w:hAnsiTheme="minorHAnsi" w:cstheme="minorHAnsi"/>
                <w:color w:val="FF0000"/>
                <w:sz w:val="20"/>
                <w:szCs w:val="20"/>
              </w:rPr>
            </w:pPr>
            <w:proofErr w:type="spellStart"/>
            <w:r w:rsidRPr="00306BDC">
              <w:rPr>
                <w:rFonts w:asciiTheme="minorHAnsi" w:hAnsiTheme="minorHAnsi" w:cstheme="minorHAnsi"/>
                <w:color w:val="FF0000"/>
                <w:sz w:val="20"/>
                <w:szCs w:val="20"/>
              </w:rPr>
              <w:t>Program</w:t>
            </w:r>
            <w:r w:rsidR="00FD1F93">
              <w:rPr>
                <w:rFonts w:asciiTheme="minorHAnsi" w:hAnsiTheme="minorHAnsi" w:cstheme="minorHAnsi"/>
                <w:color w:val="FF0000"/>
                <w:sz w:val="20"/>
                <w:szCs w:val="20"/>
              </w:rPr>
              <w:t>me</w:t>
            </w:r>
            <w:proofErr w:type="spellEnd"/>
            <w:r w:rsidRPr="00306BDC">
              <w:rPr>
                <w:rFonts w:asciiTheme="minorHAnsi" w:hAnsiTheme="minorHAnsi" w:cstheme="minorHAnsi"/>
                <w:color w:val="FF0000"/>
                <w:sz w:val="20"/>
                <w:szCs w:val="20"/>
              </w:rPr>
              <w:t xml:space="preserve"> variation - General Secretariat</w:t>
            </w:r>
          </w:p>
        </w:tc>
        <w:tc>
          <w:tcPr>
            <w:tcW w:w="1460" w:type="dxa"/>
            <w:tcBorders>
              <w:top w:val="single" w:sz="4" w:space="0" w:color="auto"/>
              <w:left w:val="nil"/>
              <w:bottom w:val="nil"/>
              <w:right w:val="nil"/>
            </w:tcBorders>
            <w:shd w:val="clear" w:color="auto" w:fill="auto"/>
            <w:noWrap/>
            <w:vAlign w:val="center"/>
            <w:hideMark/>
          </w:tcPr>
          <w:p w14:paraId="636D4671" w14:textId="77777777" w:rsidR="00306BDC" w:rsidRPr="00306BDC" w:rsidRDefault="00306BDC">
            <w:pPr>
              <w:jc w:val="center"/>
              <w:rPr>
                <w:rFonts w:asciiTheme="minorHAnsi" w:hAnsiTheme="minorHAnsi" w:cstheme="minorHAnsi"/>
                <w:i/>
                <w:iCs/>
                <w:color w:val="002060"/>
                <w:sz w:val="18"/>
                <w:szCs w:val="18"/>
              </w:rPr>
            </w:pPr>
            <w:proofErr w:type="gramStart"/>
            <w:r w:rsidRPr="00306BDC">
              <w:rPr>
                <w:rFonts w:asciiTheme="minorHAnsi" w:hAnsiTheme="minorHAnsi" w:cstheme="minorHAnsi"/>
                <w:i/>
                <w:iCs/>
                <w:color w:val="002060"/>
                <w:sz w:val="18"/>
                <w:szCs w:val="18"/>
              </w:rPr>
              <w:t>CHF(</w:t>
            </w:r>
            <w:proofErr w:type="gramEnd"/>
            <w:r w:rsidRPr="00306BDC">
              <w:rPr>
                <w:rFonts w:asciiTheme="minorHAnsi" w:hAnsiTheme="minorHAnsi" w:cstheme="minorHAnsi"/>
                <w:i/>
                <w:iCs/>
                <w:color w:val="002060"/>
                <w:sz w:val="18"/>
                <w:szCs w:val="18"/>
              </w:rPr>
              <w:t>000)</w:t>
            </w:r>
          </w:p>
        </w:tc>
      </w:tr>
      <w:tr w:rsidR="00306BDC" w:rsidRPr="00306BDC" w14:paraId="2BBE312E" w14:textId="77777777" w:rsidTr="00306BDC">
        <w:trPr>
          <w:trHeight w:val="280"/>
        </w:trPr>
        <w:tc>
          <w:tcPr>
            <w:tcW w:w="6076" w:type="dxa"/>
            <w:tcBorders>
              <w:top w:val="nil"/>
              <w:left w:val="nil"/>
              <w:bottom w:val="nil"/>
              <w:right w:val="nil"/>
            </w:tcBorders>
            <w:shd w:val="clear" w:color="auto" w:fill="auto"/>
            <w:noWrap/>
            <w:vAlign w:val="center"/>
            <w:hideMark/>
          </w:tcPr>
          <w:p w14:paraId="1A27D3F4" w14:textId="7803D57C" w:rsidR="00306BDC" w:rsidRPr="00306BDC" w:rsidRDefault="00306BDC">
            <w:pPr>
              <w:rPr>
                <w:rFonts w:asciiTheme="minorHAnsi" w:hAnsiTheme="minorHAnsi" w:cstheme="minorHAnsi"/>
                <w:sz w:val="20"/>
                <w:szCs w:val="20"/>
              </w:rPr>
            </w:pPr>
            <w:r w:rsidRPr="00306BDC">
              <w:rPr>
                <w:rFonts w:asciiTheme="minorHAnsi" w:hAnsiTheme="minorHAnsi" w:cstheme="minorHAnsi"/>
                <w:sz w:val="20"/>
                <w:szCs w:val="20"/>
              </w:rPr>
              <w:t>Accessibility (</w:t>
            </w:r>
            <w:r w:rsidR="00DA6032">
              <w:rPr>
                <w:rFonts w:asciiTheme="minorHAnsi" w:hAnsiTheme="minorHAnsi" w:cstheme="minorHAnsi"/>
                <w:sz w:val="20"/>
                <w:szCs w:val="20"/>
              </w:rPr>
              <w:t>KCHF </w:t>
            </w:r>
            <w:r w:rsidRPr="00306BDC">
              <w:rPr>
                <w:rFonts w:asciiTheme="minorHAnsi" w:hAnsiTheme="minorHAnsi" w:cstheme="minorHAnsi"/>
                <w:sz w:val="20"/>
                <w:szCs w:val="20"/>
              </w:rPr>
              <w:t>100 per year)</w:t>
            </w:r>
          </w:p>
        </w:tc>
        <w:tc>
          <w:tcPr>
            <w:tcW w:w="1460" w:type="dxa"/>
            <w:tcBorders>
              <w:top w:val="nil"/>
              <w:left w:val="nil"/>
              <w:bottom w:val="nil"/>
              <w:right w:val="nil"/>
            </w:tcBorders>
            <w:shd w:val="clear" w:color="auto" w:fill="auto"/>
            <w:noWrap/>
            <w:vAlign w:val="center"/>
            <w:hideMark/>
          </w:tcPr>
          <w:p w14:paraId="04FAFCBA"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400</w:t>
            </w:r>
          </w:p>
        </w:tc>
      </w:tr>
      <w:tr w:rsidR="00306BDC" w:rsidRPr="00306BDC" w14:paraId="7E2D07E7" w14:textId="77777777" w:rsidTr="00306BDC">
        <w:trPr>
          <w:trHeight w:val="280"/>
        </w:trPr>
        <w:tc>
          <w:tcPr>
            <w:tcW w:w="6076" w:type="dxa"/>
            <w:tcBorders>
              <w:top w:val="nil"/>
              <w:left w:val="nil"/>
              <w:bottom w:val="nil"/>
              <w:right w:val="nil"/>
            </w:tcBorders>
            <w:shd w:val="clear" w:color="auto" w:fill="auto"/>
            <w:noWrap/>
            <w:vAlign w:val="center"/>
            <w:hideMark/>
          </w:tcPr>
          <w:p w14:paraId="3A7181BC" w14:textId="77777777" w:rsidR="00306BDC" w:rsidRPr="00306BDC" w:rsidRDefault="00306BDC">
            <w:pPr>
              <w:rPr>
                <w:rFonts w:asciiTheme="minorHAnsi" w:hAnsiTheme="minorHAnsi" w:cstheme="minorHAnsi"/>
                <w:sz w:val="20"/>
                <w:szCs w:val="20"/>
              </w:rPr>
            </w:pPr>
            <w:r w:rsidRPr="00306BDC">
              <w:rPr>
                <w:rFonts w:asciiTheme="minorHAnsi" w:hAnsiTheme="minorHAnsi" w:cstheme="minorHAnsi"/>
                <w:sz w:val="20"/>
                <w:szCs w:val="20"/>
              </w:rPr>
              <w:t>Payments to UNSMIS</w:t>
            </w:r>
          </w:p>
        </w:tc>
        <w:tc>
          <w:tcPr>
            <w:tcW w:w="1460" w:type="dxa"/>
            <w:tcBorders>
              <w:top w:val="nil"/>
              <w:left w:val="nil"/>
              <w:bottom w:val="nil"/>
              <w:right w:val="nil"/>
            </w:tcBorders>
            <w:shd w:val="clear" w:color="auto" w:fill="auto"/>
            <w:noWrap/>
            <w:vAlign w:val="center"/>
            <w:hideMark/>
          </w:tcPr>
          <w:p w14:paraId="2F8AE2D6"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5'600</w:t>
            </w:r>
          </w:p>
        </w:tc>
      </w:tr>
      <w:tr w:rsidR="00306BDC" w:rsidRPr="00306BDC" w14:paraId="757A55AA" w14:textId="77777777" w:rsidTr="00306BDC">
        <w:trPr>
          <w:trHeight w:val="280"/>
        </w:trPr>
        <w:tc>
          <w:tcPr>
            <w:tcW w:w="6076" w:type="dxa"/>
            <w:tcBorders>
              <w:top w:val="nil"/>
              <w:left w:val="nil"/>
              <w:bottom w:val="nil"/>
              <w:right w:val="nil"/>
            </w:tcBorders>
            <w:shd w:val="clear" w:color="auto" w:fill="auto"/>
            <w:noWrap/>
            <w:vAlign w:val="center"/>
            <w:hideMark/>
          </w:tcPr>
          <w:p w14:paraId="209512CB" w14:textId="77777777" w:rsidR="00306BDC" w:rsidRPr="00306BDC" w:rsidRDefault="00306BDC">
            <w:pPr>
              <w:rPr>
                <w:rFonts w:asciiTheme="minorHAnsi" w:hAnsiTheme="minorHAnsi" w:cstheme="minorHAnsi"/>
                <w:sz w:val="20"/>
                <w:szCs w:val="20"/>
              </w:rPr>
            </w:pPr>
            <w:r w:rsidRPr="00306BDC">
              <w:rPr>
                <w:rFonts w:asciiTheme="minorHAnsi" w:hAnsiTheme="minorHAnsi" w:cstheme="minorHAnsi"/>
                <w:sz w:val="20"/>
                <w:szCs w:val="20"/>
              </w:rPr>
              <w:t>First annuity for the new building in 2027</w:t>
            </w:r>
          </w:p>
        </w:tc>
        <w:tc>
          <w:tcPr>
            <w:tcW w:w="1460" w:type="dxa"/>
            <w:tcBorders>
              <w:top w:val="nil"/>
              <w:left w:val="nil"/>
              <w:bottom w:val="nil"/>
              <w:right w:val="nil"/>
            </w:tcBorders>
            <w:shd w:val="clear" w:color="auto" w:fill="auto"/>
            <w:noWrap/>
            <w:vAlign w:val="center"/>
            <w:hideMark/>
          </w:tcPr>
          <w:p w14:paraId="11FEC28D"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3'000</w:t>
            </w:r>
          </w:p>
        </w:tc>
      </w:tr>
      <w:tr w:rsidR="00306BDC" w:rsidRPr="00306BDC" w14:paraId="23519FE7" w14:textId="77777777" w:rsidTr="00306BDC">
        <w:trPr>
          <w:trHeight w:val="280"/>
        </w:trPr>
        <w:tc>
          <w:tcPr>
            <w:tcW w:w="6076" w:type="dxa"/>
            <w:tcBorders>
              <w:top w:val="nil"/>
              <w:left w:val="nil"/>
              <w:bottom w:val="nil"/>
              <w:right w:val="nil"/>
            </w:tcBorders>
            <w:shd w:val="clear" w:color="auto" w:fill="auto"/>
            <w:noWrap/>
            <w:vAlign w:val="center"/>
            <w:hideMark/>
          </w:tcPr>
          <w:p w14:paraId="71354EAB" w14:textId="77777777" w:rsidR="00306BDC" w:rsidRPr="00306BDC" w:rsidRDefault="00306BDC">
            <w:pPr>
              <w:rPr>
                <w:rFonts w:asciiTheme="minorHAnsi" w:hAnsiTheme="minorHAnsi" w:cstheme="minorHAnsi"/>
                <w:sz w:val="20"/>
                <w:szCs w:val="20"/>
              </w:rPr>
            </w:pPr>
            <w:r w:rsidRPr="00306BDC">
              <w:rPr>
                <w:rFonts w:asciiTheme="minorHAnsi" w:hAnsiTheme="minorHAnsi" w:cstheme="minorHAnsi"/>
                <w:sz w:val="20"/>
                <w:szCs w:val="20"/>
              </w:rPr>
              <w:t>Additional maintenance costs for buildings</w:t>
            </w:r>
          </w:p>
        </w:tc>
        <w:tc>
          <w:tcPr>
            <w:tcW w:w="1460" w:type="dxa"/>
            <w:tcBorders>
              <w:top w:val="nil"/>
              <w:left w:val="nil"/>
              <w:bottom w:val="nil"/>
              <w:right w:val="nil"/>
            </w:tcBorders>
            <w:shd w:val="clear" w:color="auto" w:fill="auto"/>
            <w:noWrap/>
            <w:vAlign w:val="center"/>
            <w:hideMark/>
          </w:tcPr>
          <w:p w14:paraId="2517F653"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1'200</w:t>
            </w:r>
          </w:p>
        </w:tc>
      </w:tr>
      <w:tr w:rsidR="00306BDC" w:rsidRPr="00306BDC" w14:paraId="4C2C1DA9" w14:textId="77777777" w:rsidTr="00306BDC">
        <w:trPr>
          <w:trHeight w:val="280"/>
        </w:trPr>
        <w:tc>
          <w:tcPr>
            <w:tcW w:w="6076" w:type="dxa"/>
            <w:tcBorders>
              <w:top w:val="nil"/>
              <w:left w:val="nil"/>
              <w:bottom w:val="nil"/>
              <w:right w:val="nil"/>
            </w:tcBorders>
            <w:shd w:val="clear" w:color="auto" w:fill="auto"/>
            <w:noWrap/>
            <w:vAlign w:val="center"/>
            <w:hideMark/>
          </w:tcPr>
          <w:p w14:paraId="0D701AEA" w14:textId="77777777" w:rsidR="00306BDC" w:rsidRPr="00306BDC" w:rsidRDefault="00306BDC">
            <w:pPr>
              <w:rPr>
                <w:rFonts w:asciiTheme="minorHAnsi" w:hAnsiTheme="minorHAnsi" w:cstheme="minorHAnsi"/>
                <w:sz w:val="20"/>
                <w:szCs w:val="20"/>
              </w:rPr>
            </w:pPr>
            <w:r w:rsidRPr="00306BDC">
              <w:rPr>
                <w:rFonts w:asciiTheme="minorHAnsi" w:hAnsiTheme="minorHAnsi" w:cstheme="minorHAnsi"/>
                <w:sz w:val="20"/>
                <w:szCs w:val="20"/>
              </w:rPr>
              <w:t>Suppression of the 5% vacancy rate and replacement by recruitment delay</w:t>
            </w:r>
          </w:p>
        </w:tc>
        <w:tc>
          <w:tcPr>
            <w:tcW w:w="1460" w:type="dxa"/>
            <w:tcBorders>
              <w:top w:val="nil"/>
              <w:left w:val="nil"/>
              <w:bottom w:val="nil"/>
              <w:right w:val="nil"/>
            </w:tcBorders>
            <w:shd w:val="clear" w:color="auto" w:fill="auto"/>
            <w:noWrap/>
            <w:vAlign w:val="center"/>
            <w:hideMark/>
          </w:tcPr>
          <w:p w14:paraId="20C54D1D"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6'000</w:t>
            </w:r>
          </w:p>
        </w:tc>
      </w:tr>
      <w:tr w:rsidR="00306BDC" w:rsidRPr="00306BDC" w14:paraId="397FBF5F" w14:textId="77777777" w:rsidTr="00306BDC">
        <w:trPr>
          <w:trHeight w:val="280"/>
        </w:trPr>
        <w:tc>
          <w:tcPr>
            <w:tcW w:w="6076" w:type="dxa"/>
            <w:tcBorders>
              <w:top w:val="nil"/>
              <w:left w:val="nil"/>
              <w:bottom w:val="nil"/>
              <w:right w:val="nil"/>
            </w:tcBorders>
            <w:shd w:val="clear" w:color="auto" w:fill="auto"/>
            <w:noWrap/>
            <w:vAlign w:val="center"/>
            <w:hideMark/>
          </w:tcPr>
          <w:p w14:paraId="537ACB36" w14:textId="77777777" w:rsidR="00306BDC" w:rsidRPr="00306BDC" w:rsidRDefault="00306BDC">
            <w:pPr>
              <w:rPr>
                <w:rFonts w:asciiTheme="minorHAnsi" w:hAnsiTheme="minorHAnsi" w:cstheme="minorHAnsi"/>
                <w:sz w:val="20"/>
                <w:szCs w:val="20"/>
              </w:rPr>
            </w:pPr>
            <w:r w:rsidRPr="00306BDC">
              <w:rPr>
                <w:rFonts w:asciiTheme="minorHAnsi" w:hAnsiTheme="minorHAnsi" w:cstheme="minorHAnsi"/>
                <w:sz w:val="20"/>
                <w:szCs w:val="20"/>
              </w:rPr>
              <w:t>Reduction in travel costs and SSA</w:t>
            </w:r>
          </w:p>
        </w:tc>
        <w:tc>
          <w:tcPr>
            <w:tcW w:w="1460" w:type="dxa"/>
            <w:tcBorders>
              <w:top w:val="nil"/>
              <w:left w:val="nil"/>
              <w:bottom w:val="nil"/>
              <w:right w:val="nil"/>
            </w:tcBorders>
            <w:shd w:val="clear" w:color="auto" w:fill="auto"/>
            <w:noWrap/>
            <w:vAlign w:val="center"/>
            <w:hideMark/>
          </w:tcPr>
          <w:p w14:paraId="28D2C942"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-5'100</w:t>
            </w:r>
          </w:p>
        </w:tc>
      </w:tr>
      <w:tr w:rsidR="00306BDC" w:rsidRPr="00306BDC" w14:paraId="0C6BE86F" w14:textId="77777777" w:rsidTr="00306BDC">
        <w:trPr>
          <w:trHeight w:val="280"/>
        </w:trPr>
        <w:tc>
          <w:tcPr>
            <w:tcW w:w="6076" w:type="dxa"/>
            <w:tcBorders>
              <w:top w:val="nil"/>
              <w:left w:val="nil"/>
              <w:bottom w:val="nil"/>
              <w:right w:val="nil"/>
            </w:tcBorders>
            <w:shd w:val="clear" w:color="auto" w:fill="auto"/>
            <w:noWrap/>
            <w:vAlign w:val="center"/>
            <w:hideMark/>
          </w:tcPr>
          <w:p w14:paraId="74DD638B" w14:textId="1D27E712" w:rsidR="00306BDC" w:rsidRPr="00306BDC" w:rsidRDefault="00306BDC">
            <w:pPr>
              <w:rPr>
                <w:rFonts w:asciiTheme="minorHAnsi" w:hAnsiTheme="minorHAnsi" w:cstheme="minorHAnsi"/>
                <w:sz w:val="20"/>
                <w:szCs w:val="20"/>
              </w:rPr>
            </w:pPr>
            <w:r w:rsidRPr="00306BDC">
              <w:rPr>
                <w:rFonts w:asciiTheme="minorHAnsi" w:hAnsiTheme="minorHAnsi" w:cstheme="minorHAnsi"/>
                <w:sz w:val="20"/>
                <w:szCs w:val="20"/>
              </w:rPr>
              <w:t>Reduction in the cost and volume of documentation (</w:t>
            </w:r>
            <w:r w:rsidR="00DA6032">
              <w:rPr>
                <w:rFonts w:asciiTheme="minorHAnsi" w:hAnsiTheme="minorHAnsi" w:cstheme="minorHAnsi"/>
                <w:sz w:val="20"/>
                <w:szCs w:val="20"/>
              </w:rPr>
              <w:t>v</w:t>
            </w:r>
            <w:r w:rsidRPr="00306BDC">
              <w:rPr>
                <w:rFonts w:asciiTheme="minorHAnsi" w:hAnsiTheme="minorHAnsi" w:cstheme="minorHAnsi"/>
                <w:sz w:val="20"/>
                <w:szCs w:val="20"/>
              </w:rPr>
              <w:t>ariable costs C&amp;P)</w:t>
            </w:r>
          </w:p>
        </w:tc>
        <w:tc>
          <w:tcPr>
            <w:tcW w:w="1460" w:type="dxa"/>
            <w:tcBorders>
              <w:top w:val="nil"/>
              <w:left w:val="nil"/>
              <w:bottom w:val="nil"/>
              <w:right w:val="nil"/>
            </w:tcBorders>
            <w:shd w:val="clear" w:color="auto" w:fill="auto"/>
            <w:noWrap/>
            <w:vAlign w:val="center"/>
            <w:hideMark/>
          </w:tcPr>
          <w:p w14:paraId="6C40C900"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-4'000</w:t>
            </w:r>
          </w:p>
        </w:tc>
      </w:tr>
      <w:tr w:rsidR="00306BDC" w:rsidRPr="00306BDC" w14:paraId="2E0411A5" w14:textId="77777777" w:rsidTr="00306BDC">
        <w:trPr>
          <w:trHeight w:val="280"/>
        </w:trPr>
        <w:tc>
          <w:tcPr>
            <w:tcW w:w="6076" w:type="dxa"/>
            <w:tcBorders>
              <w:top w:val="nil"/>
              <w:left w:val="nil"/>
              <w:bottom w:val="nil"/>
              <w:right w:val="nil"/>
            </w:tcBorders>
            <w:shd w:val="clear" w:color="auto" w:fill="auto"/>
            <w:noWrap/>
            <w:vAlign w:val="center"/>
            <w:hideMark/>
          </w:tcPr>
          <w:p w14:paraId="22C09F4D" w14:textId="77777777" w:rsidR="00306BDC" w:rsidRPr="00306BDC" w:rsidRDefault="00306BDC">
            <w:pPr>
              <w:rPr>
                <w:rFonts w:asciiTheme="minorHAnsi" w:hAnsiTheme="minorHAnsi" w:cstheme="minorHAnsi"/>
                <w:sz w:val="20"/>
                <w:szCs w:val="20"/>
              </w:rPr>
            </w:pPr>
            <w:r w:rsidRPr="00306BDC">
              <w:rPr>
                <w:rFonts w:asciiTheme="minorHAnsi" w:hAnsiTheme="minorHAnsi" w:cstheme="minorHAnsi"/>
                <w:sz w:val="20"/>
                <w:szCs w:val="20"/>
              </w:rPr>
              <w:t>Other variances</w:t>
            </w:r>
          </w:p>
        </w:tc>
        <w:tc>
          <w:tcPr>
            <w:tcW w:w="1460" w:type="dxa"/>
            <w:tcBorders>
              <w:top w:val="nil"/>
              <w:left w:val="nil"/>
              <w:bottom w:val="nil"/>
              <w:right w:val="nil"/>
            </w:tcBorders>
            <w:shd w:val="clear" w:color="auto" w:fill="auto"/>
            <w:noWrap/>
            <w:vAlign w:val="center"/>
            <w:hideMark/>
          </w:tcPr>
          <w:p w14:paraId="52AC108F"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518</w:t>
            </w:r>
          </w:p>
        </w:tc>
      </w:tr>
      <w:tr w:rsidR="00306BDC" w:rsidRPr="00306BDC" w14:paraId="682BFE40" w14:textId="77777777" w:rsidTr="00306BDC">
        <w:trPr>
          <w:trHeight w:val="280"/>
        </w:trPr>
        <w:tc>
          <w:tcPr>
            <w:tcW w:w="6076" w:type="dxa"/>
            <w:tcBorders>
              <w:top w:val="single" w:sz="4" w:space="0" w:color="auto"/>
              <w:left w:val="nil"/>
              <w:bottom w:val="single" w:sz="4" w:space="0" w:color="auto"/>
              <w:right w:val="nil"/>
            </w:tcBorders>
            <w:shd w:val="clear" w:color="auto" w:fill="auto"/>
            <w:noWrap/>
            <w:vAlign w:val="center"/>
            <w:hideMark/>
          </w:tcPr>
          <w:p w14:paraId="05FBE43B" w14:textId="7154BD12" w:rsidR="00306BDC" w:rsidRPr="00306BDC" w:rsidRDefault="00306BDC">
            <w:pPr>
              <w:rPr>
                <w:rFonts w:asciiTheme="minorHAnsi" w:hAnsiTheme="minorHAnsi" w:cstheme="minorHAnsi"/>
                <w:color w:val="FF0000"/>
                <w:sz w:val="20"/>
                <w:szCs w:val="20"/>
              </w:rPr>
            </w:pPr>
            <w:r w:rsidRPr="00306BDC">
              <w:rPr>
                <w:rFonts w:asciiTheme="minorHAnsi" w:hAnsiTheme="minorHAnsi" w:cstheme="minorHAnsi"/>
                <w:color w:val="FF0000"/>
                <w:sz w:val="20"/>
                <w:szCs w:val="20"/>
              </w:rPr>
              <w:t xml:space="preserve">Total </w:t>
            </w:r>
            <w:proofErr w:type="spellStart"/>
            <w:r w:rsidR="00DA6032">
              <w:rPr>
                <w:rFonts w:asciiTheme="minorHAnsi" w:hAnsiTheme="minorHAnsi" w:cstheme="minorHAnsi"/>
                <w:color w:val="FF0000"/>
                <w:sz w:val="20"/>
                <w:szCs w:val="20"/>
              </w:rPr>
              <w:t>p</w:t>
            </w:r>
            <w:r w:rsidRPr="00306BDC">
              <w:rPr>
                <w:rFonts w:asciiTheme="minorHAnsi" w:hAnsiTheme="minorHAnsi" w:cstheme="minorHAnsi"/>
                <w:color w:val="FF0000"/>
                <w:sz w:val="20"/>
                <w:szCs w:val="20"/>
              </w:rPr>
              <w:t>rogram</w:t>
            </w:r>
            <w:r w:rsidR="00DA6032">
              <w:rPr>
                <w:rFonts w:asciiTheme="minorHAnsi" w:hAnsiTheme="minorHAnsi" w:cstheme="minorHAnsi"/>
                <w:color w:val="FF0000"/>
                <w:sz w:val="20"/>
                <w:szCs w:val="20"/>
              </w:rPr>
              <w:t>me</w:t>
            </w:r>
            <w:proofErr w:type="spellEnd"/>
            <w:r w:rsidRPr="00306BDC">
              <w:rPr>
                <w:rFonts w:asciiTheme="minorHAnsi" w:hAnsiTheme="minorHAnsi" w:cstheme="minorHAnsi"/>
                <w:color w:val="FF0000"/>
                <w:sz w:val="20"/>
                <w:szCs w:val="20"/>
              </w:rPr>
              <w:t xml:space="preserve"> variation </w:t>
            </w:r>
            <w:r w:rsidR="007D7717">
              <w:rPr>
                <w:rFonts w:asciiTheme="minorHAnsi" w:hAnsiTheme="minorHAnsi" w:cstheme="minorHAnsi"/>
                <w:color w:val="FF0000"/>
                <w:sz w:val="20"/>
                <w:szCs w:val="20"/>
              </w:rPr>
              <w:t xml:space="preserve">- </w:t>
            </w:r>
            <w:r w:rsidRPr="00306BDC">
              <w:rPr>
                <w:rFonts w:asciiTheme="minorHAnsi" w:hAnsiTheme="minorHAnsi" w:cstheme="minorHAnsi"/>
                <w:color w:val="FF0000"/>
                <w:sz w:val="20"/>
                <w:szCs w:val="20"/>
              </w:rPr>
              <w:t>General Secretariat</w:t>
            </w:r>
          </w:p>
        </w:tc>
        <w:tc>
          <w:tcPr>
            <w:tcW w:w="1460" w:type="dxa"/>
            <w:tcBorders>
              <w:top w:val="single" w:sz="4" w:space="0" w:color="auto"/>
              <w:left w:val="nil"/>
              <w:bottom w:val="single" w:sz="4" w:space="0" w:color="auto"/>
              <w:right w:val="nil"/>
            </w:tcBorders>
            <w:shd w:val="clear" w:color="auto" w:fill="auto"/>
            <w:noWrap/>
            <w:vAlign w:val="center"/>
            <w:hideMark/>
          </w:tcPr>
          <w:p w14:paraId="2B6F4EBA"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7'618</w:t>
            </w:r>
          </w:p>
        </w:tc>
      </w:tr>
    </w:tbl>
    <w:p w14:paraId="3AA39DDA" w14:textId="5E016BAD" w:rsidR="00306BDC" w:rsidRPr="00306BDC" w:rsidRDefault="00306BDC" w:rsidP="00C21D85">
      <w:pPr>
        <w:spacing w:before="360" w:after="60"/>
        <w:rPr>
          <w:rFonts w:asciiTheme="minorHAnsi" w:hAnsiTheme="minorHAnsi" w:cstheme="minorHAnsi"/>
          <w:lang w:val="en-AU"/>
        </w:rPr>
      </w:pPr>
      <w:r w:rsidRPr="00306BDC">
        <w:rPr>
          <w:rFonts w:asciiTheme="minorHAnsi" w:hAnsiTheme="minorHAnsi" w:cstheme="minorHAnsi"/>
          <w:lang w:val="en-AU"/>
        </w:rPr>
        <w:t>Table 1.2</w:t>
      </w:r>
    </w:p>
    <w:tbl>
      <w:tblPr>
        <w:tblW w:w="6880" w:type="dxa"/>
        <w:tblLook w:val="04A0" w:firstRow="1" w:lastRow="0" w:firstColumn="1" w:lastColumn="0" w:noHBand="0" w:noVBand="1"/>
      </w:tblPr>
      <w:tblGrid>
        <w:gridCol w:w="5420"/>
        <w:gridCol w:w="1460"/>
      </w:tblGrid>
      <w:tr w:rsidR="001332CB" w14:paraId="717404BA" w14:textId="77777777" w:rsidTr="001332CB">
        <w:trPr>
          <w:trHeight w:val="280"/>
        </w:trPr>
        <w:tc>
          <w:tcPr>
            <w:tcW w:w="5420" w:type="dxa"/>
            <w:tcBorders>
              <w:top w:val="single" w:sz="4" w:space="0" w:color="auto"/>
              <w:left w:val="nil"/>
              <w:bottom w:val="nil"/>
              <w:right w:val="nil"/>
            </w:tcBorders>
            <w:shd w:val="clear" w:color="auto" w:fill="auto"/>
            <w:noWrap/>
            <w:vAlign w:val="center"/>
            <w:hideMark/>
          </w:tcPr>
          <w:p w14:paraId="1A0CC4F5" w14:textId="6AF82064" w:rsidR="001332CB" w:rsidRDefault="001332CB">
            <w:pPr>
              <w:rPr>
                <w:rFonts w:ascii="Calibri" w:hAnsi="Calibri" w:cs="Calibri"/>
                <w:color w:val="FF0000"/>
                <w:sz w:val="20"/>
                <w:szCs w:val="20"/>
              </w:rPr>
            </w:pPr>
            <w:proofErr w:type="spellStart"/>
            <w:r>
              <w:rPr>
                <w:rFonts w:ascii="Calibri" w:hAnsi="Calibri" w:cs="Calibri"/>
                <w:color w:val="FF0000"/>
                <w:sz w:val="20"/>
                <w:szCs w:val="20"/>
              </w:rPr>
              <w:t>Program</w:t>
            </w:r>
            <w:r w:rsidR="00E560A5">
              <w:rPr>
                <w:rFonts w:ascii="Calibri" w:hAnsi="Calibri" w:cs="Calibri"/>
                <w:color w:val="FF0000"/>
                <w:sz w:val="20"/>
                <w:szCs w:val="20"/>
              </w:rPr>
              <w:t>me</w:t>
            </w:r>
            <w:proofErr w:type="spellEnd"/>
            <w:r>
              <w:rPr>
                <w:rFonts w:ascii="Calibri" w:hAnsi="Calibri" w:cs="Calibri"/>
                <w:color w:val="FF0000"/>
                <w:sz w:val="20"/>
                <w:szCs w:val="20"/>
              </w:rPr>
              <w:t xml:space="preserve"> variation - ITU-R</w:t>
            </w:r>
          </w:p>
        </w:tc>
        <w:tc>
          <w:tcPr>
            <w:tcW w:w="1460" w:type="dxa"/>
            <w:tcBorders>
              <w:top w:val="single" w:sz="4" w:space="0" w:color="auto"/>
              <w:left w:val="nil"/>
              <w:bottom w:val="nil"/>
              <w:right w:val="nil"/>
            </w:tcBorders>
            <w:shd w:val="clear" w:color="auto" w:fill="auto"/>
            <w:noWrap/>
            <w:vAlign w:val="center"/>
            <w:hideMark/>
          </w:tcPr>
          <w:p w14:paraId="76ECB1F5" w14:textId="77777777" w:rsidR="001332CB" w:rsidRDefault="001332CB">
            <w:pPr>
              <w:jc w:val="center"/>
              <w:rPr>
                <w:rFonts w:ascii="Calibri" w:hAnsi="Calibri" w:cs="Calibri"/>
                <w:i/>
                <w:iCs/>
                <w:color w:val="002060"/>
                <w:sz w:val="18"/>
                <w:szCs w:val="18"/>
              </w:rPr>
            </w:pPr>
            <w:proofErr w:type="gramStart"/>
            <w:r>
              <w:rPr>
                <w:rFonts w:ascii="Calibri" w:hAnsi="Calibri" w:cs="Calibri"/>
                <w:i/>
                <w:iCs/>
                <w:color w:val="002060"/>
                <w:sz w:val="18"/>
                <w:szCs w:val="18"/>
              </w:rPr>
              <w:t>CHF(</w:t>
            </w:r>
            <w:proofErr w:type="gramEnd"/>
            <w:r>
              <w:rPr>
                <w:rFonts w:ascii="Calibri" w:hAnsi="Calibri" w:cs="Calibri"/>
                <w:i/>
                <w:iCs/>
                <w:color w:val="002060"/>
                <w:sz w:val="18"/>
                <w:szCs w:val="18"/>
              </w:rPr>
              <w:t>000)</w:t>
            </w:r>
          </w:p>
        </w:tc>
      </w:tr>
      <w:tr w:rsidR="001332CB" w14:paraId="180F9DB6" w14:textId="77777777" w:rsidTr="001332CB">
        <w:trPr>
          <w:trHeight w:val="280"/>
        </w:trPr>
        <w:tc>
          <w:tcPr>
            <w:tcW w:w="5420" w:type="dxa"/>
            <w:tcBorders>
              <w:top w:val="nil"/>
              <w:left w:val="nil"/>
              <w:bottom w:val="nil"/>
              <w:right w:val="nil"/>
            </w:tcBorders>
            <w:shd w:val="clear" w:color="auto" w:fill="auto"/>
            <w:noWrap/>
            <w:vAlign w:val="center"/>
            <w:hideMark/>
          </w:tcPr>
          <w:p w14:paraId="0AE6562D" w14:textId="77777777" w:rsidR="001332CB" w:rsidRDefault="001332CB">
            <w:pPr>
              <w:jc w:val="center"/>
              <w:rPr>
                <w:rFonts w:ascii="Calibri" w:hAnsi="Calibri" w:cs="Calibri"/>
                <w:i/>
                <w:iCs/>
                <w:color w:val="002060"/>
                <w:sz w:val="18"/>
                <w:szCs w:val="18"/>
              </w:rPr>
            </w:pPr>
          </w:p>
        </w:tc>
        <w:tc>
          <w:tcPr>
            <w:tcW w:w="1460" w:type="dxa"/>
            <w:tcBorders>
              <w:top w:val="nil"/>
              <w:left w:val="nil"/>
              <w:bottom w:val="nil"/>
              <w:right w:val="nil"/>
            </w:tcBorders>
            <w:shd w:val="clear" w:color="auto" w:fill="auto"/>
            <w:noWrap/>
            <w:vAlign w:val="center"/>
            <w:hideMark/>
          </w:tcPr>
          <w:p w14:paraId="4184A08A" w14:textId="77777777" w:rsidR="001332CB" w:rsidRDefault="001332CB">
            <w:pPr>
              <w:rPr>
                <w:sz w:val="20"/>
                <w:szCs w:val="20"/>
              </w:rPr>
            </w:pPr>
          </w:p>
        </w:tc>
      </w:tr>
      <w:tr w:rsidR="001332CB" w14:paraId="641A1FAF" w14:textId="77777777" w:rsidTr="001332CB">
        <w:trPr>
          <w:trHeight w:val="280"/>
        </w:trPr>
        <w:tc>
          <w:tcPr>
            <w:tcW w:w="5420" w:type="dxa"/>
            <w:tcBorders>
              <w:top w:val="nil"/>
              <w:left w:val="nil"/>
              <w:bottom w:val="nil"/>
              <w:right w:val="nil"/>
            </w:tcBorders>
            <w:shd w:val="clear" w:color="auto" w:fill="auto"/>
            <w:noWrap/>
            <w:vAlign w:val="center"/>
            <w:hideMark/>
          </w:tcPr>
          <w:p w14:paraId="2A21FED9" w14:textId="77777777" w:rsidR="001332CB" w:rsidRDefault="001332CB">
            <w:pPr>
              <w:rPr>
                <w:rFonts w:ascii="Calibri" w:hAnsi="Calibri" w:cs="Calibri"/>
                <w:sz w:val="20"/>
                <w:szCs w:val="20"/>
              </w:rPr>
            </w:pPr>
            <w:r>
              <w:rPr>
                <w:rFonts w:ascii="Calibri" w:hAnsi="Calibri" w:cs="Calibri"/>
                <w:sz w:val="20"/>
                <w:szCs w:val="20"/>
              </w:rPr>
              <w:t>Reduction travel costs and SSA</w:t>
            </w:r>
          </w:p>
        </w:tc>
        <w:tc>
          <w:tcPr>
            <w:tcW w:w="1460" w:type="dxa"/>
            <w:tcBorders>
              <w:top w:val="nil"/>
              <w:left w:val="nil"/>
              <w:bottom w:val="nil"/>
              <w:right w:val="nil"/>
            </w:tcBorders>
            <w:shd w:val="clear" w:color="auto" w:fill="auto"/>
            <w:noWrap/>
            <w:vAlign w:val="center"/>
            <w:hideMark/>
          </w:tcPr>
          <w:p w14:paraId="753A995B" w14:textId="77777777" w:rsidR="001332CB" w:rsidRDefault="001332CB">
            <w:pPr>
              <w:jc w:val="right"/>
              <w:rPr>
                <w:rFonts w:ascii="Calibri" w:hAnsi="Calibri" w:cs="Calibri"/>
                <w:sz w:val="20"/>
                <w:szCs w:val="20"/>
              </w:rPr>
            </w:pPr>
            <w:r>
              <w:rPr>
                <w:rFonts w:ascii="Calibri" w:hAnsi="Calibri" w:cs="Calibri"/>
                <w:sz w:val="20"/>
                <w:szCs w:val="20"/>
              </w:rPr>
              <w:t>-1'800</w:t>
            </w:r>
          </w:p>
        </w:tc>
      </w:tr>
      <w:tr w:rsidR="001332CB" w14:paraId="7E5D544A" w14:textId="77777777" w:rsidTr="001332CB">
        <w:trPr>
          <w:trHeight w:val="660"/>
        </w:trPr>
        <w:tc>
          <w:tcPr>
            <w:tcW w:w="5420" w:type="dxa"/>
            <w:tcBorders>
              <w:top w:val="nil"/>
              <w:left w:val="nil"/>
              <w:bottom w:val="nil"/>
              <w:right w:val="nil"/>
            </w:tcBorders>
            <w:shd w:val="clear" w:color="auto" w:fill="auto"/>
            <w:vAlign w:val="center"/>
            <w:hideMark/>
          </w:tcPr>
          <w:p w14:paraId="593E5E81" w14:textId="77777777" w:rsidR="001332CB" w:rsidRDefault="001332CB">
            <w:pPr>
              <w:rPr>
                <w:rFonts w:ascii="Calibri" w:hAnsi="Calibri" w:cs="Calibri"/>
                <w:sz w:val="20"/>
                <w:szCs w:val="20"/>
              </w:rPr>
            </w:pPr>
            <w:r>
              <w:rPr>
                <w:rFonts w:ascii="Calibri" w:hAnsi="Calibri" w:cs="Calibri"/>
                <w:sz w:val="20"/>
                <w:szCs w:val="20"/>
              </w:rPr>
              <w:t>Suppression of the 5% vacancy rate and replacement by recruitment delay</w:t>
            </w:r>
          </w:p>
        </w:tc>
        <w:tc>
          <w:tcPr>
            <w:tcW w:w="1460" w:type="dxa"/>
            <w:tcBorders>
              <w:top w:val="nil"/>
              <w:left w:val="nil"/>
              <w:bottom w:val="nil"/>
              <w:right w:val="nil"/>
            </w:tcBorders>
            <w:shd w:val="clear" w:color="auto" w:fill="auto"/>
            <w:noWrap/>
            <w:vAlign w:val="center"/>
            <w:hideMark/>
          </w:tcPr>
          <w:p w14:paraId="48BC6436" w14:textId="77777777" w:rsidR="001332CB" w:rsidRDefault="001332CB">
            <w:pPr>
              <w:jc w:val="right"/>
              <w:rPr>
                <w:rFonts w:ascii="Calibri" w:hAnsi="Calibri" w:cs="Calibri"/>
                <w:sz w:val="20"/>
                <w:szCs w:val="20"/>
              </w:rPr>
            </w:pPr>
            <w:r>
              <w:rPr>
                <w:rFonts w:ascii="Calibri" w:hAnsi="Calibri" w:cs="Calibri"/>
                <w:sz w:val="20"/>
                <w:szCs w:val="20"/>
              </w:rPr>
              <w:t>2'800</w:t>
            </w:r>
          </w:p>
        </w:tc>
      </w:tr>
      <w:tr w:rsidR="001332CB" w14:paraId="74B80708" w14:textId="77777777" w:rsidTr="001332CB">
        <w:trPr>
          <w:trHeight w:val="280"/>
        </w:trPr>
        <w:tc>
          <w:tcPr>
            <w:tcW w:w="5420" w:type="dxa"/>
            <w:tcBorders>
              <w:top w:val="nil"/>
              <w:left w:val="nil"/>
              <w:bottom w:val="nil"/>
              <w:right w:val="nil"/>
            </w:tcBorders>
            <w:shd w:val="clear" w:color="auto" w:fill="auto"/>
            <w:noWrap/>
            <w:vAlign w:val="center"/>
            <w:hideMark/>
          </w:tcPr>
          <w:p w14:paraId="5D779191" w14:textId="77777777" w:rsidR="001332CB" w:rsidRDefault="001332CB">
            <w:pPr>
              <w:rPr>
                <w:rFonts w:ascii="Calibri" w:hAnsi="Calibri" w:cs="Calibri"/>
                <w:sz w:val="20"/>
                <w:szCs w:val="20"/>
              </w:rPr>
            </w:pPr>
            <w:r>
              <w:rPr>
                <w:rFonts w:ascii="Calibri" w:hAnsi="Calibri" w:cs="Calibri"/>
                <w:sz w:val="20"/>
                <w:szCs w:val="20"/>
              </w:rPr>
              <w:t>Other variances</w:t>
            </w:r>
          </w:p>
        </w:tc>
        <w:tc>
          <w:tcPr>
            <w:tcW w:w="1460" w:type="dxa"/>
            <w:tcBorders>
              <w:top w:val="nil"/>
              <w:left w:val="nil"/>
              <w:bottom w:val="nil"/>
              <w:right w:val="nil"/>
            </w:tcBorders>
            <w:shd w:val="clear" w:color="auto" w:fill="auto"/>
            <w:noWrap/>
            <w:vAlign w:val="center"/>
            <w:hideMark/>
          </w:tcPr>
          <w:p w14:paraId="4F185D16" w14:textId="77777777" w:rsidR="001332CB" w:rsidRDefault="001332CB">
            <w:pPr>
              <w:jc w:val="right"/>
              <w:rPr>
                <w:rFonts w:ascii="Calibri" w:hAnsi="Calibri" w:cs="Calibri"/>
                <w:sz w:val="20"/>
                <w:szCs w:val="20"/>
              </w:rPr>
            </w:pPr>
            <w:r>
              <w:rPr>
                <w:rFonts w:ascii="Calibri" w:hAnsi="Calibri" w:cs="Calibri"/>
                <w:sz w:val="20"/>
                <w:szCs w:val="20"/>
              </w:rPr>
              <w:t>-368</w:t>
            </w:r>
          </w:p>
        </w:tc>
      </w:tr>
      <w:tr w:rsidR="001332CB" w14:paraId="4F365F20" w14:textId="77777777" w:rsidTr="001332CB">
        <w:trPr>
          <w:trHeight w:val="280"/>
        </w:trPr>
        <w:tc>
          <w:tcPr>
            <w:tcW w:w="5420" w:type="dxa"/>
            <w:tcBorders>
              <w:top w:val="nil"/>
              <w:left w:val="nil"/>
              <w:bottom w:val="nil"/>
              <w:right w:val="nil"/>
            </w:tcBorders>
            <w:shd w:val="clear" w:color="auto" w:fill="auto"/>
            <w:noWrap/>
            <w:vAlign w:val="center"/>
            <w:hideMark/>
          </w:tcPr>
          <w:p w14:paraId="52F2A947" w14:textId="77777777" w:rsidR="001332CB" w:rsidRDefault="001332CB">
            <w:pPr>
              <w:jc w:val="right"/>
              <w:rPr>
                <w:rFonts w:ascii="Calibri" w:hAnsi="Calibri" w:cs="Calibri"/>
                <w:sz w:val="20"/>
                <w:szCs w:val="20"/>
              </w:rPr>
            </w:pPr>
          </w:p>
        </w:tc>
        <w:tc>
          <w:tcPr>
            <w:tcW w:w="1460" w:type="dxa"/>
            <w:tcBorders>
              <w:top w:val="nil"/>
              <w:left w:val="nil"/>
              <w:bottom w:val="nil"/>
              <w:right w:val="nil"/>
            </w:tcBorders>
            <w:shd w:val="clear" w:color="auto" w:fill="auto"/>
            <w:noWrap/>
            <w:vAlign w:val="center"/>
            <w:hideMark/>
          </w:tcPr>
          <w:p w14:paraId="4254EDDF" w14:textId="77777777" w:rsidR="001332CB" w:rsidRDefault="001332CB">
            <w:pPr>
              <w:rPr>
                <w:sz w:val="20"/>
                <w:szCs w:val="20"/>
              </w:rPr>
            </w:pPr>
          </w:p>
        </w:tc>
      </w:tr>
      <w:tr w:rsidR="001332CB" w14:paraId="264EB475" w14:textId="77777777" w:rsidTr="001332CB">
        <w:trPr>
          <w:trHeight w:val="280"/>
        </w:trPr>
        <w:tc>
          <w:tcPr>
            <w:tcW w:w="5420" w:type="dxa"/>
            <w:tcBorders>
              <w:top w:val="single" w:sz="4" w:space="0" w:color="auto"/>
              <w:left w:val="nil"/>
              <w:bottom w:val="single" w:sz="4" w:space="0" w:color="auto"/>
              <w:right w:val="nil"/>
            </w:tcBorders>
            <w:shd w:val="clear" w:color="auto" w:fill="auto"/>
            <w:noWrap/>
            <w:vAlign w:val="center"/>
            <w:hideMark/>
          </w:tcPr>
          <w:p w14:paraId="73EC23AA" w14:textId="2E0787C0" w:rsidR="001332CB" w:rsidRDefault="001332CB">
            <w:pPr>
              <w:rPr>
                <w:rFonts w:ascii="Calibri" w:hAnsi="Calibri" w:cs="Calibri"/>
                <w:color w:val="FF0000"/>
                <w:sz w:val="20"/>
                <w:szCs w:val="20"/>
              </w:rPr>
            </w:pPr>
            <w:r>
              <w:rPr>
                <w:rFonts w:ascii="Calibri" w:hAnsi="Calibri" w:cs="Calibri"/>
                <w:color w:val="FF0000"/>
                <w:sz w:val="20"/>
                <w:szCs w:val="20"/>
              </w:rPr>
              <w:t xml:space="preserve">Total </w:t>
            </w:r>
            <w:proofErr w:type="spellStart"/>
            <w:r w:rsidR="00E560A5">
              <w:rPr>
                <w:rFonts w:ascii="Calibri" w:hAnsi="Calibri" w:cs="Calibri"/>
                <w:color w:val="FF0000"/>
                <w:sz w:val="20"/>
                <w:szCs w:val="20"/>
              </w:rPr>
              <w:t>p</w:t>
            </w:r>
            <w:r>
              <w:rPr>
                <w:rFonts w:ascii="Calibri" w:hAnsi="Calibri" w:cs="Calibri"/>
                <w:color w:val="FF0000"/>
                <w:sz w:val="20"/>
                <w:szCs w:val="20"/>
              </w:rPr>
              <w:t>rogram</w:t>
            </w:r>
            <w:r w:rsidR="00E560A5">
              <w:rPr>
                <w:rFonts w:ascii="Calibri" w:hAnsi="Calibri" w:cs="Calibri"/>
                <w:color w:val="FF0000"/>
                <w:sz w:val="20"/>
                <w:szCs w:val="20"/>
              </w:rPr>
              <w:t>me</w:t>
            </w:r>
            <w:proofErr w:type="spellEnd"/>
            <w:r>
              <w:rPr>
                <w:rFonts w:ascii="Calibri" w:hAnsi="Calibri" w:cs="Calibri"/>
                <w:color w:val="FF0000"/>
                <w:sz w:val="20"/>
                <w:szCs w:val="20"/>
              </w:rPr>
              <w:t xml:space="preserve"> variation</w:t>
            </w:r>
            <w:r w:rsidR="00E560A5">
              <w:rPr>
                <w:rFonts w:ascii="Calibri" w:hAnsi="Calibri" w:cs="Calibri"/>
                <w:color w:val="FF0000"/>
                <w:sz w:val="20"/>
                <w:szCs w:val="20"/>
              </w:rPr>
              <w:t xml:space="preserve"> -</w:t>
            </w:r>
            <w:r>
              <w:rPr>
                <w:rFonts w:ascii="Calibri" w:hAnsi="Calibri" w:cs="Calibri"/>
                <w:color w:val="FF0000"/>
                <w:sz w:val="20"/>
                <w:szCs w:val="20"/>
              </w:rPr>
              <w:t xml:space="preserve"> ITU-R</w:t>
            </w:r>
          </w:p>
        </w:tc>
        <w:tc>
          <w:tcPr>
            <w:tcW w:w="1460" w:type="dxa"/>
            <w:tcBorders>
              <w:top w:val="single" w:sz="4" w:space="0" w:color="auto"/>
              <w:left w:val="nil"/>
              <w:bottom w:val="single" w:sz="4" w:space="0" w:color="auto"/>
              <w:right w:val="nil"/>
            </w:tcBorders>
            <w:shd w:val="clear" w:color="auto" w:fill="auto"/>
            <w:noWrap/>
            <w:vAlign w:val="center"/>
            <w:hideMark/>
          </w:tcPr>
          <w:p w14:paraId="4521372E" w14:textId="77777777" w:rsidR="001332CB" w:rsidRDefault="001332CB">
            <w:pPr>
              <w:jc w:val="right"/>
              <w:rPr>
                <w:rFonts w:ascii="Calibri" w:hAnsi="Calibri" w:cs="Calibri"/>
                <w:sz w:val="20"/>
                <w:szCs w:val="20"/>
              </w:rPr>
            </w:pPr>
            <w:r>
              <w:rPr>
                <w:rFonts w:ascii="Calibri" w:hAnsi="Calibri" w:cs="Calibri"/>
                <w:sz w:val="20"/>
                <w:szCs w:val="20"/>
              </w:rPr>
              <w:t>632</w:t>
            </w:r>
          </w:p>
        </w:tc>
      </w:tr>
    </w:tbl>
    <w:p w14:paraId="723F7AEB" w14:textId="4E56ED58" w:rsidR="00306BDC" w:rsidRPr="00306BDC" w:rsidRDefault="00306BDC" w:rsidP="00C21D85">
      <w:pPr>
        <w:spacing w:before="360" w:after="60"/>
        <w:rPr>
          <w:rFonts w:asciiTheme="minorHAnsi" w:hAnsiTheme="minorHAnsi" w:cstheme="minorHAnsi"/>
          <w:lang w:val="en-AU"/>
        </w:rPr>
      </w:pPr>
      <w:r w:rsidRPr="00306BDC">
        <w:rPr>
          <w:rFonts w:asciiTheme="minorHAnsi" w:hAnsiTheme="minorHAnsi" w:cstheme="minorHAnsi"/>
          <w:lang w:val="en-AU"/>
        </w:rPr>
        <w:t>Table 1.3</w:t>
      </w:r>
    </w:p>
    <w:tbl>
      <w:tblPr>
        <w:tblW w:w="7020" w:type="dxa"/>
        <w:tblLook w:val="04A0" w:firstRow="1" w:lastRow="0" w:firstColumn="1" w:lastColumn="0" w:noHBand="0" w:noVBand="1"/>
      </w:tblPr>
      <w:tblGrid>
        <w:gridCol w:w="5560"/>
        <w:gridCol w:w="1460"/>
      </w:tblGrid>
      <w:tr w:rsidR="00306BDC" w:rsidRPr="00306BDC" w14:paraId="7E6F8D05" w14:textId="77777777" w:rsidTr="00306BDC">
        <w:trPr>
          <w:trHeight w:val="280"/>
        </w:trPr>
        <w:tc>
          <w:tcPr>
            <w:tcW w:w="5560" w:type="dxa"/>
            <w:tcBorders>
              <w:top w:val="single" w:sz="4" w:space="0" w:color="auto"/>
              <w:left w:val="nil"/>
              <w:bottom w:val="nil"/>
              <w:right w:val="nil"/>
            </w:tcBorders>
            <w:shd w:val="clear" w:color="auto" w:fill="auto"/>
            <w:noWrap/>
            <w:vAlign w:val="center"/>
            <w:hideMark/>
          </w:tcPr>
          <w:p w14:paraId="02A674B9" w14:textId="10484D5C" w:rsidR="00306BDC" w:rsidRPr="00306BDC" w:rsidRDefault="00306BDC">
            <w:pPr>
              <w:rPr>
                <w:rFonts w:asciiTheme="minorHAnsi" w:hAnsiTheme="minorHAnsi" w:cstheme="minorHAnsi"/>
                <w:color w:val="FF0000"/>
                <w:sz w:val="20"/>
                <w:szCs w:val="20"/>
              </w:rPr>
            </w:pPr>
            <w:proofErr w:type="spellStart"/>
            <w:r w:rsidRPr="00306BDC">
              <w:rPr>
                <w:rFonts w:asciiTheme="minorHAnsi" w:hAnsiTheme="minorHAnsi" w:cstheme="minorHAnsi"/>
                <w:color w:val="FF0000"/>
                <w:sz w:val="20"/>
                <w:szCs w:val="20"/>
              </w:rPr>
              <w:t>Program</w:t>
            </w:r>
            <w:r w:rsidR="00E560A5">
              <w:rPr>
                <w:rFonts w:asciiTheme="minorHAnsi" w:hAnsiTheme="minorHAnsi" w:cstheme="minorHAnsi"/>
                <w:color w:val="FF0000"/>
                <w:sz w:val="20"/>
                <w:szCs w:val="20"/>
              </w:rPr>
              <w:t>me</w:t>
            </w:r>
            <w:proofErr w:type="spellEnd"/>
            <w:r w:rsidRPr="00306BDC">
              <w:rPr>
                <w:rFonts w:asciiTheme="minorHAnsi" w:hAnsiTheme="minorHAnsi" w:cstheme="minorHAnsi"/>
                <w:color w:val="FF0000"/>
                <w:sz w:val="20"/>
                <w:szCs w:val="20"/>
              </w:rPr>
              <w:t xml:space="preserve"> variation - ITU-T</w:t>
            </w:r>
          </w:p>
        </w:tc>
        <w:tc>
          <w:tcPr>
            <w:tcW w:w="1460" w:type="dxa"/>
            <w:tcBorders>
              <w:top w:val="single" w:sz="4" w:space="0" w:color="auto"/>
              <w:left w:val="nil"/>
              <w:bottom w:val="nil"/>
              <w:right w:val="nil"/>
            </w:tcBorders>
            <w:shd w:val="clear" w:color="auto" w:fill="auto"/>
            <w:noWrap/>
            <w:vAlign w:val="center"/>
            <w:hideMark/>
          </w:tcPr>
          <w:p w14:paraId="46D898ED" w14:textId="77777777" w:rsidR="00306BDC" w:rsidRPr="00306BDC" w:rsidRDefault="00306BDC">
            <w:pPr>
              <w:jc w:val="center"/>
              <w:rPr>
                <w:rFonts w:asciiTheme="minorHAnsi" w:hAnsiTheme="minorHAnsi" w:cstheme="minorHAnsi"/>
                <w:i/>
                <w:iCs/>
                <w:color w:val="002060"/>
                <w:sz w:val="18"/>
                <w:szCs w:val="18"/>
              </w:rPr>
            </w:pPr>
            <w:proofErr w:type="gramStart"/>
            <w:r w:rsidRPr="00306BDC">
              <w:rPr>
                <w:rFonts w:asciiTheme="minorHAnsi" w:hAnsiTheme="minorHAnsi" w:cstheme="minorHAnsi"/>
                <w:i/>
                <w:iCs/>
                <w:color w:val="002060"/>
                <w:sz w:val="18"/>
                <w:szCs w:val="18"/>
              </w:rPr>
              <w:t>CHF(</w:t>
            </w:r>
            <w:proofErr w:type="gramEnd"/>
            <w:r w:rsidRPr="00306BDC">
              <w:rPr>
                <w:rFonts w:asciiTheme="minorHAnsi" w:hAnsiTheme="minorHAnsi" w:cstheme="minorHAnsi"/>
                <w:i/>
                <w:iCs/>
                <w:color w:val="002060"/>
                <w:sz w:val="18"/>
                <w:szCs w:val="18"/>
              </w:rPr>
              <w:t>000)</w:t>
            </w:r>
          </w:p>
        </w:tc>
      </w:tr>
      <w:tr w:rsidR="00306BDC" w:rsidRPr="00306BDC" w14:paraId="064C1D56" w14:textId="77777777" w:rsidTr="00306BDC">
        <w:trPr>
          <w:trHeight w:val="280"/>
        </w:trPr>
        <w:tc>
          <w:tcPr>
            <w:tcW w:w="5560" w:type="dxa"/>
            <w:tcBorders>
              <w:top w:val="nil"/>
              <w:left w:val="nil"/>
              <w:bottom w:val="nil"/>
              <w:right w:val="nil"/>
            </w:tcBorders>
            <w:shd w:val="clear" w:color="auto" w:fill="auto"/>
            <w:noWrap/>
            <w:vAlign w:val="center"/>
            <w:hideMark/>
          </w:tcPr>
          <w:p w14:paraId="1881F041" w14:textId="77777777" w:rsidR="00306BDC" w:rsidRPr="00306BDC" w:rsidRDefault="00306BDC">
            <w:pPr>
              <w:jc w:val="center"/>
              <w:rPr>
                <w:rFonts w:asciiTheme="minorHAnsi" w:hAnsiTheme="minorHAnsi" w:cstheme="minorHAnsi"/>
                <w:i/>
                <w:iCs/>
                <w:color w:val="002060"/>
                <w:sz w:val="18"/>
                <w:szCs w:val="18"/>
              </w:rPr>
            </w:pPr>
          </w:p>
        </w:tc>
        <w:tc>
          <w:tcPr>
            <w:tcW w:w="1460" w:type="dxa"/>
            <w:tcBorders>
              <w:top w:val="nil"/>
              <w:left w:val="nil"/>
              <w:bottom w:val="nil"/>
              <w:right w:val="nil"/>
            </w:tcBorders>
            <w:shd w:val="clear" w:color="auto" w:fill="auto"/>
            <w:noWrap/>
            <w:vAlign w:val="center"/>
            <w:hideMark/>
          </w:tcPr>
          <w:p w14:paraId="4BEAB5C5" w14:textId="77777777" w:rsidR="00306BDC" w:rsidRPr="00306BDC" w:rsidRDefault="00306BDC">
            <w:pPr>
              <w:rPr>
                <w:rFonts w:asciiTheme="minorHAnsi" w:hAnsiTheme="minorHAnsi" w:cstheme="minorHAnsi"/>
                <w:sz w:val="20"/>
                <w:szCs w:val="20"/>
              </w:rPr>
            </w:pPr>
          </w:p>
        </w:tc>
      </w:tr>
      <w:tr w:rsidR="00306BDC" w:rsidRPr="00306BDC" w14:paraId="7D7A4551" w14:textId="77777777" w:rsidTr="00306BDC">
        <w:trPr>
          <w:trHeight w:val="280"/>
        </w:trPr>
        <w:tc>
          <w:tcPr>
            <w:tcW w:w="5560" w:type="dxa"/>
            <w:tcBorders>
              <w:top w:val="nil"/>
              <w:left w:val="nil"/>
              <w:bottom w:val="nil"/>
              <w:right w:val="nil"/>
            </w:tcBorders>
            <w:shd w:val="clear" w:color="auto" w:fill="auto"/>
            <w:noWrap/>
            <w:vAlign w:val="center"/>
            <w:hideMark/>
          </w:tcPr>
          <w:p w14:paraId="310E2CC2" w14:textId="77777777" w:rsidR="00306BDC" w:rsidRPr="00306BDC" w:rsidRDefault="00306BDC">
            <w:pPr>
              <w:rPr>
                <w:rFonts w:asciiTheme="minorHAnsi" w:hAnsiTheme="minorHAnsi" w:cstheme="minorHAnsi"/>
                <w:sz w:val="20"/>
                <w:szCs w:val="20"/>
              </w:rPr>
            </w:pPr>
            <w:r w:rsidRPr="00306BDC">
              <w:rPr>
                <w:rFonts w:asciiTheme="minorHAnsi" w:hAnsiTheme="minorHAnsi" w:cstheme="minorHAnsi"/>
                <w:sz w:val="20"/>
                <w:szCs w:val="20"/>
              </w:rPr>
              <w:t>Reduction travel costs and SSA</w:t>
            </w:r>
          </w:p>
        </w:tc>
        <w:tc>
          <w:tcPr>
            <w:tcW w:w="1460" w:type="dxa"/>
            <w:tcBorders>
              <w:top w:val="nil"/>
              <w:left w:val="nil"/>
              <w:bottom w:val="nil"/>
              <w:right w:val="nil"/>
            </w:tcBorders>
            <w:shd w:val="clear" w:color="auto" w:fill="auto"/>
            <w:noWrap/>
            <w:vAlign w:val="center"/>
            <w:hideMark/>
          </w:tcPr>
          <w:p w14:paraId="07D7D104"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-1'400</w:t>
            </w:r>
          </w:p>
        </w:tc>
      </w:tr>
      <w:tr w:rsidR="00306BDC" w:rsidRPr="00306BDC" w14:paraId="2351ABD0" w14:textId="77777777" w:rsidTr="00306BDC">
        <w:trPr>
          <w:trHeight w:val="600"/>
        </w:trPr>
        <w:tc>
          <w:tcPr>
            <w:tcW w:w="5560" w:type="dxa"/>
            <w:tcBorders>
              <w:top w:val="nil"/>
              <w:left w:val="nil"/>
              <w:bottom w:val="nil"/>
              <w:right w:val="nil"/>
            </w:tcBorders>
            <w:shd w:val="clear" w:color="auto" w:fill="auto"/>
            <w:vAlign w:val="center"/>
            <w:hideMark/>
          </w:tcPr>
          <w:p w14:paraId="56C21D79" w14:textId="77777777" w:rsidR="00306BDC" w:rsidRPr="00306BDC" w:rsidRDefault="00306BDC">
            <w:pPr>
              <w:rPr>
                <w:rFonts w:asciiTheme="minorHAnsi" w:hAnsiTheme="minorHAnsi" w:cstheme="minorHAnsi"/>
                <w:sz w:val="20"/>
                <w:szCs w:val="20"/>
              </w:rPr>
            </w:pPr>
            <w:r w:rsidRPr="00306BDC">
              <w:rPr>
                <w:rFonts w:asciiTheme="minorHAnsi" w:hAnsiTheme="minorHAnsi" w:cstheme="minorHAnsi"/>
                <w:sz w:val="20"/>
                <w:szCs w:val="20"/>
              </w:rPr>
              <w:t>Suppression of the 5% vacancy rate and replacement by recruitment delay</w:t>
            </w:r>
          </w:p>
        </w:tc>
        <w:tc>
          <w:tcPr>
            <w:tcW w:w="1460" w:type="dxa"/>
            <w:tcBorders>
              <w:top w:val="nil"/>
              <w:left w:val="nil"/>
              <w:bottom w:val="nil"/>
              <w:right w:val="nil"/>
            </w:tcBorders>
            <w:shd w:val="clear" w:color="auto" w:fill="auto"/>
            <w:noWrap/>
            <w:vAlign w:val="center"/>
            <w:hideMark/>
          </w:tcPr>
          <w:p w14:paraId="6FF19E45"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1'500</w:t>
            </w:r>
          </w:p>
        </w:tc>
      </w:tr>
      <w:tr w:rsidR="00306BDC" w:rsidRPr="00306BDC" w14:paraId="7A9AAA7B" w14:textId="77777777" w:rsidTr="00306BDC">
        <w:trPr>
          <w:trHeight w:val="280"/>
        </w:trPr>
        <w:tc>
          <w:tcPr>
            <w:tcW w:w="5560" w:type="dxa"/>
            <w:tcBorders>
              <w:top w:val="nil"/>
              <w:left w:val="nil"/>
              <w:bottom w:val="nil"/>
              <w:right w:val="nil"/>
            </w:tcBorders>
            <w:shd w:val="clear" w:color="auto" w:fill="auto"/>
            <w:noWrap/>
            <w:vAlign w:val="center"/>
            <w:hideMark/>
          </w:tcPr>
          <w:p w14:paraId="0F391006" w14:textId="77777777" w:rsidR="00306BDC" w:rsidRPr="00306BDC" w:rsidRDefault="00306BDC">
            <w:pPr>
              <w:rPr>
                <w:rFonts w:asciiTheme="minorHAnsi" w:hAnsiTheme="minorHAnsi" w:cstheme="minorHAnsi"/>
                <w:sz w:val="20"/>
                <w:szCs w:val="20"/>
              </w:rPr>
            </w:pPr>
            <w:r w:rsidRPr="00306BDC">
              <w:rPr>
                <w:rFonts w:asciiTheme="minorHAnsi" w:hAnsiTheme="minorHAnsi" w:cstheme="minorHAnsi"/>
                <w:sz w:val="20"/>
                <w:szCs w:val="20"/>
              </w:rPr>
              <w:t>Other variances</w:t>
            </w:r>
          </w:p>
        </w:tc>
        <w:tc>
          <w:tcPr>
            <w:tcW w:w="1460" w:type="dxa"/>
            <w:tcBorders>
              <w:top w:val="nil"/>
              <w:left w:val="nil"/>
              <w:bottom w:val="nil"/>
              <w:right w:val="nil"/>
            </w:tcBorders>
            <w:shd w:val="clear" w:color="auto" w:fill="auto"/>
            <w:noWrap/>
            <w:vAlign w:val="center"/>
            <w:hideMark/>
          </w:tcPr>
          <w:p w14:paraId="1B287845"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258</w:t>
            </w:r>
          </w:p>
        </w:tc>
      </w:tr>
      <w:tr w:rsidR="00306BDC" w:rsidRPr="00306BDC" w14:paraId="645935CE" w14:textId="77777777" w:rsidTr="00306BDC">
        <w:trPr>
          <w:trHeight w:val="280"/>
        </w:trPr>
        <w:tc>
          <w:tcPr>
            <w:tcW w:w="5560" w:type="dxa"/>
            <w:tcBorders>
              <w:top w:val="nil"/>
              <w:left w:val="nil"/>
              <w:bottom w:val="nil"/>
              <w:right w:val="nil"/>
            </w:tcBorders>
            <w:shd w:val="clear" w:color="auto" w:fill="auto"/>
            <w:noWrap/>
            <w:vAlign w:val="center"/>
            <w:hideMark/>
          </w:tcPr>
          <w:p w14:paraId="1A8B3276" w14:textId="77777777" w:rsidR="00306BDC" w:rsidRPr="00306BDC" w:rsidRDefault="00306BDC">
            <w:pPr>
              <w:jc w:val="right"/>
              <w:rPr>
                <w:rFonts w:asciiTheme="minorHAnsi" w:hAnsiTheme="minorHAnsi" w:cstheme="minorHAnsi"/>
                <w:sz w:val="20"/>
                <w:szCs w:val="20"/>
              </w:rPr>
            </w:pPr>
          </w:p>
        </w:tc>
        <w:tc>
          <w:tcPr>
            <w:tcW w:w="1460" w:type="dxa"/>
            <w:tcBorders>
              <w:top w:val="nil"/>
              <w:left w:val="nil"/>
              <w:bottom w:val="nil"/>
              <w:right w:val="nil"/>
            </w:tcBorders>
            <w:shd w:val="clear" w:color="auto" w:fill="auto"/>
            <w:noWrap/>
            <w:vAlign w:val="center"/>
            <w:hideMark/>
          </w:tcPr>
          <w:p w14:paraId="691BA36B" w14:textId="77777777" w:rsidR="00306BDC" w:rsidRPr="00306BDC" w:rsidRDefault="00306BDC">
            <w:pPr>
              <w:rPr>
                <w:rFonts w:asciiTheme="minorHAnsi" w:hAnsiTheme="minorHAnsi" w:cstheme="minorHAnsi"/>
                <w:sz w:val="20"/>
                <w:szCs w:val="20"/>
              </w:rPr>
            </w:pPr>
          </w:p>
        </w:tc>
      </w:tr>
      <w:tr w:rsidR="00306BDC" w:rsidRPr="00306BDC" w14:paraId="75CC6830" w14:textId="77777777" w:rsidTr="00306BDC">
        <w:trPr>
          <w:trHeight w:val="280"/>
        </w:trPr>
        <w:tc>
          <w:tcPr>
            <w:tcW w:w="5560" w:type="dxa"/>
            <w:tcBorders>
              <w:top w:val="single" w:sz="4" w:space="0" w:color="auto"/>
              <w:left w:val="nil"/>
              <w:bottom w:val="single" w:sz="4" w:space="0" w:color="auto"/>
              <w:right w:val="nil"/>
            </w:tcBorders>
            <w:shd w:val="clear" w:color="auto" w:fill="auto"/>
            <w:noWrap/>
            <w:vAlign w:val="center"/>
            <w:hideMark/>
          </w:tcPr>
          <w:p w14:paraId="4D721C4B" w14:textId="6B3B11AA" w:rsidR="00306BDC" w:rsidRPr="0070485B" w:rsidRDefault="00306BDC">
            <w:pPr>
              <w:rPr>
                <w:rFonts w:asciiTheme="minorHAnsi" w:hAnsiTheme="minorHAnsi" w:cstheme="minorHAnsi"/>
                <w:color w:val="FF0000"/>
                <w:sz w:val="20"/>
                <w:szCs w:val="20"/>
                <w:lang w:val="fr-CH"/>
              </w:rPr>
            </w:pPr>
            <w:r w:rsidRPr="0070485B">
              <w:rPr>
                <w:rFonts w:asciiTheme="minorHAnsi" w:hAnsiTheme="minorHAnsi" w:cstheme="minorHAnsi"/>
                <w:color w:val="FF0000"/>
                <w:sz w:val="20"/>
                <w:szCs w:val="20"/>
                <w:lang w:val="fr-CH"/>
              </w:rPr>
              <w:t xml:space="preserve">Total </w:t>
            </w:r>
            <w:r w:rsidR="00E560A5" w:rsidRPr="0070485B">
              <w:rPr>
                <w:rFonts w:asciiTheme="minorHAnsi" w:hAnsiTheme="minorHAnsi" w:cstheme="minorHAnsi"/>
                <w:color w:val="FF0000"/>
                <w:sz w:val="20"/>
                <w:szCs w:val="20"/>
                <w:lang w:val="fr-CH"/>
              </w:rPr>
              <w:t>p</w:t>
            </w:r>
            <w:r w:rsidRPr="0070485B">
              <w:rPr>
                <w:rFonts w:asciiTheme="minorHAnsi" w:hAnsiTheme="minorHAnsi" w:cstheme="minorHAnsi"/>
                <w:color w:val="FF0000"/>
                <w:sz w:val="20"/>
                <w:szCs w:val="20"/>
                <w:lang w:val="fr-CH"/>
              </w:rPr>
              <w:t>rogram</w:t>
            </w:r>
            <w:r w:rsidR="00E560A5" w:rsidRPr="0070485B">
              <w:rPr>
                <w:rFonts w:asciiTheme="minorHAnsi" w:hAnsiTheme="minorHAnsi" w:cstheme="minorHAnsi"/>
                <w:color w:val="FF0000"/>
                <w:sz w:val="20"/>
                <w:szCs w:val="20"/>
                <w:lang w:val="fr-CH"/>
              </w:rPr>
              <w:t>me</w:t>
            </w:r>
            <w:r w:rsidRPr="0070485B">
              <w:rPr>
                <w:rFonts w:asciiTheme="minorHAnsi" w:hAnsiTheme="minorHAnsi" w:cstheme="minorHAnsi"/>
                <w:color w:val="FF0000"/>
                <w:sz w:val="20"/>
                <w:szCs w:val="20"/>
                <w:lang w:val="fr-CH"/>
              </w:rPr>
              <w:t xml:space="preserve"> variation</w:t>
            </w:r>
            <w:r w:rsidR="00E560A5" w:rsidRPr="0070485B">
              <w:rPr>
                <w:rFonts w:asciiTheme="minorHAnsi" w:hAnsiTheme="minorHAnsi" w:cstheme="minorHAnsi"/>
                <w:color w:val="FF0000"/>
                <w:sz w:val="20"/>
                <w:szCs w:val="20"/>
                <w:lang w:val="fr-CH"/>
              </w:rPr>
              <w:t xml:space="preserve"> -</w:t>
            </w:r>
            <w:r w:rsidRPr="0070485B">
              <w:rPr>
                <w:rFonts w:asciiTheme="minorHAnsi" w:hAnsiTheme="minorHAnsi" w:cstheme="minorHAnsi"/>
                <w:color w:val="FF0000"/>
                <w:sz w:val="20"/>
                <w:szCs w:val="20"/>
                <w:lang w:val="fr-CH"/>
              </w:rPr>
              <w:t xml:space="preserve"> ITU-T</w:t>
            </w:r>
          </w:p>
        </w:tc>
        <w:tc>
          <w:tcPr>
            <w:tcW w:w="1460" w:type="dxa"/>
            <w:tcBorders>
              <w:top w:val="single" w:sz="4" w:space="0" w:color="auto"/>
              <w:left w:val="nil"/>
              <w:bottom w:val="single" w:sz="4" w:space="0" w:color="auto"/>
              <w:right w:val="nil"/>
            </w:tcBorders>
            <w:shd w:val="clear" w:color="auto" w:fill="auto"/>
            <w:noWrap/>
            <w:vAlign w:val="center"/>
            <w:hideMark/>
          </w:tcPr>
          <w:p w14:paraId="2DB437C6" w14:textId="77777777" w:rsidR="00306BDC" w:rsidRPr="00306BDC" w:rsidRDefault="00306BDC">
            <w:pPr>
              <w:jc w:val="right"/>
              <w:rPr>
                <w:rFonts w:asciiTheme="minorHAnsi" w:hAnsiTheme="minorHAnsi" w:cstheme="minorHAnsi"/>
                <w:sz w:val="20"/>
                <w:szCs w:val="20"/>
              </w:rPr>
            </w:pPr>
            <w:r w:rsidRPr="00306BDC">
              <w:rPr>
                <w:rFonts w:asciiTheme="minorHAnsi" w:hAnsiTheme="minorHAnsi" w:cstheme="minorHAnsi"/>
                <w:sz w:val="20"/>
                <w:szCs w:val="20"/>
              </w:rPr>
              <w:t>358</w:t>
            </w:r>
          </w:p>
        </w:tc>
      </w:tr>
    </w:tbl>
    <w:p w14:paraId="703A6C8F" w14:textId="6C5BC8B4" w:rsidR="00306BDC" w:rsidRPr="00306BDC" w:rsidRDefault="00306BDC" w:rsidP="00C21D85">
      <w:pPr>
        <w:spacing w:before="360" w:after="60"/>
        <w:rPr>
          <w:rFonts w:asciiTheme="minorHAnsi" w:hAnsiTheme="minorHAnsi" w:cstheme="minorHAnsi"/>
          <w:lang w:val="en-AU"/>
        </w:rPr>
      </w:pPr>
      <w:r w:rsidRPr="00306BDC">
        <w:rPr>
          <w:rFonts w:asciiTheme="minorHAnsi" w:hAnsiTheme="minorHAnsi" w:cstheme="minorHAnsi"/>
          <w:lang w:val="en-AU"/>
        </w:rPr>
        <w:t>Table 1.4</w:t>
      </w:r>
    </w:p>
    <w:tbl>
      <w:tblPr>
        <w:tblW w:w="7020" w:type="dxa"/>
        <w:tblLook w:val="04A0" w:firstRow="1" w:lastRow="0" w:firstColumn="1" w:lastColumn="0" w:noHBand="0" w:noVBand="1"/>
      </w:tblPr>
      <w:tblGrid>
        <w:gridCol w:w="5560"/>
        <w:gridCol w:w="1460"/>
      </w:tblGrid>
      <w:tr w:rsidR="0070485B" w:rsidRPr="0070485B" w14:paraId="3E344C94" w14:textId="77777777" w:rsidTr="0070485B">
        <w:trPr>
          <w:trHeight w:val="280"/>
        </w:trPr>
        <w:tc>
          <w:tcPr>
            <w:tcW w:w="5560" w:type="dxa"/>
            <w:tcBorders>
              <w:top w:val="single" w:sz="4" w:space="0" w:color="auto"/>
              <w:left w:val="nil"/>
              <w:bottom w:val="nil"/>
              <w:right w:val="nil"/>
            </w:tcBorders>
            <w:shd w:val="clear" w:color="auto" w:fill="auto"/>
            <w:noWrap/>
            <w:vAlign w:val="center"/>
            <w:hideMark/>
          </w:tcPr>
          <w:p w14:paraId="42B4CD5D" w14:textId="77777777" w:rsidR="0070485B" w:rsidRPr="0070485B" w:rsidRDefault="0070485B" w:rsidP="0070485B">
            <w:pPr>
              <w:rPr>
                <w:rFonts w:ascii="Calibri" w:hAnsi="Calibri" w:cs="Calibri"/>
                <w:color w:val="FF0000"/>
                <w:sz w:val="20"/>
                <w:szCs w:val="20"/>
              </w:rPr>
            </w:pPr>
            <w:r w:rsidRPr="0070485B">
              <w:rPr>
                <w:rFonts w:ascii="Calibri" w:hAnsi="Calibri" w:cs="Calibri"/>
                <w:color w:val="FF0000"/>
                <w:sz w:val="20"/>
                <w:szCs w:val="20"/>
              </w:rPr>
              <w:t>Program variation - ITU-D</w:t>
            </w:r>
          </w:p>
        </w:tc>
        <w:tc>
          <w:tcPr>
            <w:tcW w:w="1460" w:type="dxa"/>
            <w:tcBorders>
              <w:top w:val="single" w:sz="4" w:space="0" w:color="auto"/>
              <w:left w:val="nil"/>
              <w:bottom w:val="nil"/>
              <w:right w:val="nil"/>
            </w:tcBorders>
            <w:shd w:val="clear" w:color="auto" w:fill="auto"/>
            <w:noWrap/>
            <w:vAlign w:val="center"/>
            <w:hideMark/>
          </w:tcPr>
          <w:p w14:paraId="2D37513D" w14:textId="77777777" w:rsidR="0070485B" w:rsidRPr="0070485B" w:rsidRDefault="0070485B" w:rsidP="0070485B">
            <w:pPr>
              <w:jc w:val="center"/>
              <w:rPr>
                <w:rFonts w:ascii="Calibri" w:hAnsi="Calibri" w:cs="Calibri"/>
                <w:i/>
                <w:iCs/>
                <w:color w:val="002060"/>
                <w:sz w:val="18"/>
                <w:szCs w:val="18"/>
              </w:rPr>
            </w:pPr>
            <w:proofErr w:type="gramStart"/>
            <w:r w:rsidRPr="0070485B">
              <w:rPr>
                <w:rFonts w:ascii="Calibri" w:hAnsi="Calibri" w:cs="Calibri"/>
                <w:i/>
                <w:iCs/>
                <w:color w:val="002060"/>
                <w:sz w:val="18"/>
                <w:szCs w:val="18"/>
              </w:rPr>
              <w:t>CHF(</w:t>
            </w:r>
            <w:proofErr w:type="gramEnd"/>
            <w:r w:rsidRPr="0070485B">
              <w:rPr>
                <w:rFonts w:ascii="Calibri" w:hAnsi="Calibri" w:cs="Calibri"/>
                <w:i/>
                <w:iCs/>
                <w:color w:val="002060"/>
                <w:sz w:val="18"/>
                <w:szCs w:val="18"/>
              </w:rPr>
              <w:t>000)</w:t>
            </w:r>
          </w:p>
        </w:tc>
      </w:tr>
      <w:tr w:rsidR="0070485B" w:rsidRPr="0070485B" w14:paraId="76C42059" w14:textId="77777777" w:rsidTr="0070485B">
        <w:trPr>
          <w:trHeight w:val="280"/>
        </w:trPr>
        <w:tc>
          <w:tcPr>
            <w:tcW w:w="5560" w:type="dxa"/>
            <w:tcBorders>
              <w:top w:val="nil"/>
              <w:left w:val="nil"/>
              <w:bottom w:val="nil"/>
              <w:right w:val="nil"/>
            </w:tcBorders>
            <w:shd w:val="clear" w:color="auto" w:fill="auto"/>
            <w:noWrap/>
            <w:vAlign w:val="center"/>
            <w:hideMark/>
          </w:tcPr>
          <w:p w14:paraId="776AA52D" w14:textId="77777777" w:rsidR="0070485B" w:rsidRPr="0070485B" w:rsidRDefault="0070485B" w:rsidP="0070485B">
            <w:pPr>
              <w:jc w:val="center"/>
              <w:rPr>
                <w:rFonts w:ascii="Calibri" w:hAnsi="Calibri" w:cs="Calibri"/>
                <w:i/>
                <w:iCs/>
                <w:color w:val="002060"/>
                <w:sz w:val="18"/>
                <w:szCs w:val="18"/>
              </w:rPr>
            </w:pPr>
          </w:p>
        </w:tc>
        <w:tc>
          <w:tcPr>
            <w:tcW w:w="1460" w:type="dxa"/>
            <w:tcBorders>
              <w:top w:val="nil"/>
              <w:left w:val="nil"/>
              <w:bottom w:val="nil"/>
              <w:right w:val="nil"/>
            </w:tcBorders>
            <w:shd w:val="clear" w:color="auto" w:fill="auto"/>
            <w:noWrap/>
            <w:vAlign w:val="center"/>
            <w:hideMark/>
          </w:tcPr>
          <w:p w14:paraId="514FA044" w14:textId="77777777" w:rsidR="0070485B" w:rsidRPr="0070485B" w:rsidRDefault="0070485B" w:rsidP="0070485B">
            <w:pPr>
              <w:rPr>
                <w:sz w:val="20"/>
                <w:szCs w:val="20"/>
              </w:rPr>
            </w:pPr>
          </w:p>
        </w:tc>
      </w:tr>
      <w:tr w:rsidR="0070485B" w:rsidRPr="0070485B" w14:paraId="3D4ACC7B" w14:textId="77777777" w:rsidTr="0070485B">
        <w:trPr>
          <w:trHeight w:val="600"/>
        </w:trPr>
        <w:tc>
          <w:tcPr>
            <w:tcW w:w="5560" w:type="dxa"/>
            <w:tcBorders>
              <w:top w:val="nil"/>
              <w:left w:val="nil"/>
              <w:bottom w:val="nil"/>
              <w:right w:val="nil"/>
            </w:tcBorders>
            <w:shd w:val="clear" w:color="auto" w:fill="auto"/>
            <w:vAlign w:val="center"/>
            <w:hideMark/>
          </w:tcPr>
          <w:p w14:paraId="5D19F9C1" w14:textId="77777777" w:rsidR="0070485B" w:rsidRPr="0070485B" w:rsidRDefault="0070485B" w:rsidP="0070485B">
            <w:pPr>
              <w:rPr>
                <w:rFonts w:ascii="Calibri" w:hAnsi="Calibri" w:cs="Calibri"/>
                <w:sz w:val="20"/>
                <w:szCs w:val="20"/>
              </w:rPr>
            </w:pPr>
            <w:r w:rsidRPr="0070485B">
              <w:rPr>
                <w:rFonts w:ascii="Calibri" w:hAnsi="Calibri" w:cs="Calibri"/>
                <w:sz w:val="20"/>
                <w:szCs w:val="20"/>
              </w:rPr>
              <w:t>Decrease of 0.8 million CHF for activities and programs in 2022-2023 maintained for 2024-2027</w:t>
            </w:r>
          </w:p>
        </w:tc>
        <w:tc>
          <w:tcPr>
            <w:tcW w:w="1460" w:type="dxa"/>
            <w:tcBorders>
              <w:top w:val="nil"/>
              <w:left w:val="nil"/>
              <w:bottom w:val="nil"/>
              <w:right w:val="nil"/>
            </w:tcBorders>
            <w:shd w:val="clear" w:color="auto" w:fill="auto"/>
            <w:noWrap/>
            <w:vAlign w:val="center"/>
            <w:hideMark/>
          </w:tcPr>
          <w:p w14:paraId="488F5208" w14:textId="77777777" w:rsidR="0070485B" w:rsidRPr="0070485B" w:rsidRDefault="0070485B" w:rsidP="0070485B">
            <w:pPr>
              <w:jc w:val="right"/>
              <w:rPr>
                <w:rFonts w:ascii="Calibri" w:hAnsi="Calibri" w:cs="Calibri"/>
                <w:sz w:val="20"/>
                <w:szCs w:val="20"/>
              </w:rPr>
            </w:pPr>
            <w:r w:rsidRPr="0070485B">
              <w:rPr>
                <w:rFonts w:ascii="Calibri" w:hAnsi="Calibri" w:cs="Calibri"/>
                <w:sz w:val="20"/>
                <w:szCs w:val="20"/>
              </w:rPr>
              <w:t>-800</w:t>
            </w:r>
          </w:p>
        </w:tc>
      </w:tr>
      <w:tr w:rsidR="0070485B" w:rsidRPr="0070485B" w14:paraId="2FFEB98E" w14:textId="77777777" w:rsidTr="0070485B">
        <w:trPr>
          <w:trHeight w:val="520"/>
        </w:trPr>
        <w:tc>
          <w:tcPr>
            <w:tcW w:w="5560" w:type="dxa"/>
            <w:tcBorders>
              <w:top w:val="nil"/>
              <w:left w:val="nil"/>
              <w:bottom w:val="nil"/>
              <w:right w:val="nil"/>
            </w:tcBorders>
            <w:shd w:val="clear" w:color="auto" w:fill="auto"/>
            <w:vAlign w:val="center"/>
            <w:hideMark/>
          </w:tcPr>
          <w:p w14:paraId="799360C6" w14:textId="77777777" w:rsidR="0070485B" w:rsidRPr="0070485B" w:rsidRDefault="0070485B" w:rsidP="0070485B">
            <w:pPr>
              <w:rPr>
                <w:rFonts w:ascii="Calibri" w:hAnsi="Calibri" w:cs="Calibri"/>
                <w:sz w:val="20"/>
                <w:szCs w:val="20"/>
              </w:rPr>
            </w:pPr>
            <w:r w:rsidRPr="0070485B">
              <w:rPr>
                <w:rFonts w:ascii="Calibri" w:hAnsi="Calibri" w:cs="Calibri"/>
                <w:sz w:val="20"/>
                <w:szCs w:val="20"/>
              </w:rPr>
              <w:t>One time 3 million CHF appropriations for regional initiatives in 2020</w:t>
            </w:r>
          </w:p>
        </w:tc>
        <w:tc>
          <w:tcPr>
            <w:tcW w:w="1460" w:type="dxa"/>
            <w:tcBorders>
              <w:top w:val="nil"/>
              <w:left w:val="nil"/>
              <w:bottom w:val="nil"/>
              <w:right w:val="nil"/>
            </w:tcBorders>
            <w:shd w:val="clear" w:color="auto" w:fill="auto"/>
            <w:noWrap/>
            <w:vAlign w:val="center"/>
            <w:hideMark/>
          </w:tcPr>
          <w:p w14:paraId="25F480D2" w14:textId="77777777" w:rsidR="0070485B" w:rsidRPr="0070485B" w:rsidRDefault="0070485B" w:rsidP="0070485B">
            <w:pPr>
              <w:jc w:val="right"/>
              <w:rPr>
                <w:rFonts w:ascii="Calibri" w:hAnsi="Calibri" w:cs="Calibri"/>
                <w:sz w:val="20"/>
                <w:szCs w:val="20"/>
              </w:rPr>
            </w:pPr>
            <w:r w:rsidRPr="0070485B">
              <w:rPr>
                <w:rFonts w:ascii="Calibri" w:hAnsi="Calibri" w:cs="Calibri"/>
                <w:sz w:val="20"/>
                <w:szCs w:val="20"/>
              </w:rPr>
              <w:t>-3'000</w:t>
            </w:r>
          </w:p>
        </w:tc>
      </w:tr>
      <w:tr w:rsidR="0070485B" w:rsidRPr="0070485B" w14:paraId="5DBD5BBC" w14:textId="77777777" w:rsidTr="0070485B">
        <w:trPr>
          <w:trHeight w:val="280"/>
        </w:trPr>
        <w:tc>
          <w:tcPr>
            <w:tcW w:w="5560" w:type="dxa"/>
            <w:tcBorders>
              <w:top w:val="nil"/>
              <w:left w:val="nil"/>
              <w:bottom w:val="nil"/>
              <w:right w:val="nil"/>
            </w:tcBorders>
            <w:shd w:val="clear" w:color="auto" w:fill="auto"/>
            <w:noWrap/>
            <w:vAlign w:val="center"/>
            <w:hideMark/>
          </w:tcPr>
          <w:p w14:paraId="5A213814" w14:textId="77777777" w:rsidR="0070485B" w:rsidRPr="0070485B" w:rsidRDefault="0070485B" w:rsidP="0070485B">
            <w:pPr>
              <w:rPr>
                <w:rFonts w:ascii="Calibri" w:hAnsi="Calibri" w:cs="Calibri"/>
                <w:sz w:val="20"/>
                <w:szCs w:val="20"/>
              </w:rPr>
            </w:pPr>
            <w:r w:rsidRPr="0070485B">
              <w:rPr>
                <w:rFonts w:ascii="Calibri" w:hAnsi="Calibri" w:cs="Calibri"/>
                <w:sz w:val="20"/>
                <w:szCs w:val="20"/>
              </w:rPr>
              <w:t>Reduction travel costs and SSA</w:t>
            </w:r>
          </w:p>
        </w:tc>
        <w:tc>
          <w:tcPr>
            <w:tcW w:w="1460" w:type="dxa"/>
            <w:tcBorders>
              <w:top w:val="nil"/>
              <w:left w:val="nil"/>
              <w:bottom w:val="nil"/>
              <w:right w:val="nil"/>
            </w:tcBorders>
            <w:shd w:val="clear" w:color="auto" w:fill="auto"/>
            <w:noWrap/>
            <w:vAlign w:val="center"/>
            <w:hideMark/>
          </w:tcPr>
          <w:p w14:paraId="477139A5" w14:textId="77777777" w:rsidR="0070485B" w:rsidRPr="0070485B" w:rsidRDefault="0070485B" w:rsidP="0070485B">
            <w:pPr>
              <w:jc w:val="right"/>
              <w:rPr>
                <w:rFonts w:ascii="Calibri" w:hAnsi="Calibri" w:cs="Calibri"/>
                <w:sz w:val="20"/>
                <w:szCs w:val="20"/>
              </w:rPr>
            </w:pPr>
            <w:r w:rsidRPr="0070485B">
              <w:rPr>
                <w:rFonts w:ascii="Calibri" w:hAnsi="Calibri" w:cs="Calibri"/>
                <w:sz w:val="20"/>
                <w:szCs w:val="20"/>
              </w:rPr>
              <w:t>-1'700</w:t>
            </w:r>
          </w:p>
        </w:tc>
      </w:tr>
      <w:tr w:rsidR="0070485B" w:rsidRPr="0070485B" w14:paraId="2AFF2ACF" w14:textId="77777777" w:rsidTr="0070485B">
        <w:trPr>
          <w:trHeight w:val="600"/>
        </w:trPr>
        <w:tc>
          <w:tcPr>
            <w:tcW w:w="5560" w:type="dxa"/>
            <w:tcBorders>
              <w:top w:val="nil"/>
              <w:left w:val="nil"/>
              <w:bottom w:val="nil"/>
              <w:right w:val="nil"/>
            </w:tcBorders>
            <w:shd w:val="clear" w:color="auto" w:fill="auto"/>
            <w:vAlign w:val="center"/>
            <w:hideMark/>
          </w:tcPr>
          <w:p w14:paraId="4475319C" w14:textId="77777777" w:rsidR="0070485B" w:rsidRPr="0070485B" w:rsidRDefault="0070485B" w:rsidP="0070485B">
            <w:pPr>
              <w:rPr>
                <w:rFonts w:ascii="Calibri" w:hAnsi="Calibri" w:cs="Calibri"/>
                <w:sz w:val="20"/>
                <w:szCs w:val="20"/>
              </w:rPr>
            </w:pPr>
            <w:r w:rsidRPr="0070485B">
              <w:rPr>
                <w:rFonts w:ascii="Calibri" w:hAnsi="Calibri" w:cs="Calibri"/>
                <w:sz w:val="20"/>
                <w:szCs w:val="20"/>
              </w:rPr>
              <w:t>Suppression of the 5% vacancy rate and replacement by recruitment delay</w:t>
            </w:r>
          </w:p>
        </w:tc>
        <w:tc>
          <w:tcPr>
            <w:tcW w:w="1460" w:type="dxa"/>
            <w:tcBorders>
              <w:top w:val="nil"/>
              <w:left w:val="nil"/>
              <w:bottom w:val="nil"/>
              <w:right w:val="nil"/>
            </w:tcBorders>
            <w:shd w:val="clear" w:color="auto" w:fill="auto"/>
            <w:noWrap/>
            <w:vAlign w:val="center"/>
            <w:hideMark/>
          </w:tcPr>
          <w:p w14:paraId="5EFD003E" w14:textId="77777777" w:rsidR="0070485B" w:rsidRPr="0070485B" w:rsidRDefault="0070485B" w:rsidP="0070485B">
            <w:pPr>
              <w:jc w:val="right"/>
              <w:rPr>
                <w:rFonts w:ascii="Calibri" w:hAnsi="Calibri" w:cs="Calibri"/>
                <w:sz w:val="20"/>
                <w:szCs w:val="20"/>
              </w:rPr>
            </w:pPr>
            <w:r w:rsidRPr="0070485B">
              <w:rPr>
                <w:rFonts w:ascii="Calibri" w:hAnsi="Calibri" w:cs="Calibri"/>
                <w:sz w:val="20"/>
                <w:szCs w:val="20"/>
              </w:rPr>
              <w:t>2'400</w:t>
            </w:r>
          </w:p>
        </w:tc>
      </w:tr>
      <w:tr w:rsidR="0070485B" w:rsidRPr="0070485B" w14:paraId="71DB8ADA" w14:textId="77777777" w:rsidTr="0070485B">
        <w:trPr>
          <w:trHeight w:val="280"/>
        </w:trPr>
        <w:tc>
          <w:tcPr>
            <w:tcW w:w="5560" w:type="dxa"/>
            <w:tcBorders>
              <w:top w:val="nil"/>
              <w:left w:val="nil"/>
              <w:bottom w:val="nil"/>
              <w:right w:val="nil"/>
            </w:tcBorders>
            <w:shd w:val="clear" w:color="auto" w:fill="auto"/>
            <w:vAlign w:val="center"/>
            <w:hideMark/>
          </w:tcPr>
          <w:p w14:paraId="1A1A0A56" w14:textId="77777777" w:rsidR="0070485B" w:rsidRPr="0070485B" w:rsidRDefault="0070485B" w:rsidP="0070485B">
            <w:pPr>
              <w:rPr>
                <w:rFonts w:ascii="Calibri" w:hAnsi="Calibri" w:cs="Calibri"/>
                <w:sz w:val="20"/>
                <w:szCs w:val="20"/>
              </w:rPr>
            </w:pPr>
            <w:r w:rsidRPr="0070485B">
              <w:rPr>
                <w:rFonts w:ascii="Calibri" w:hAnsi="Calibri" w:cs="Calibri"/>
                <w:sz w:val="20"/>
                <w:szCs w:val="20"/>
              </w:rPr>
              <w:t>Other variances</w:t>
            </w:r>
          </w:p>
        </w:tc>
        <w:tc>
          <w:tcPr>
            <w:tcW w:w="1460" w:type="dxa"/>
            <w:tcBorders>
              <w:top w:val="nil"/>
              <w:left w:val="nil"/>
              <w:bottom w:val="nil"/>
              <w:right w:val="nil"/>
            </w:tcBorders>
            <w:shd w:val="clear" w:color="auto" w:fill="auto"/>
            <w:noWrap/>
            <w:vAlign w:val="center"/>
            <w:hideMark/>
          </w:tcPr>
          <w:p w14:paraId="740B557D" w14:textId="77777777" w:rsidR="0070485B" w:rsidRPr="0070485B" w:rsidRDefault="0070485B" w:rsidP="0070485B">
            <w:pPr>
              <w:jc w:val="right"/>
              <w:rPr>
                <w:rFonts w:ascii="Calibri" w:hAnsi="Calibri" w:cs="Calibri"/>
                <w:sz w:val="20"/>
                <w:szCs w:val="20"/>
              </w:rPr>
            </w:pPr>
            <w:r w:rsidRPr="0070485B">
              <w:rPr>
                <w:rFonts w:ascii="Calibri" w:hAnsi="Calibri" w:cs="Calibri"/>
                <w:sz w:val="20"/>
                <w:szCs w:val="20"/>
              </w:rPr>
              <w:t>140</w:t>
            </w:r>
          </w:p>
        </w:tc>
      </w:tr>
      <w:tr w:rsidR="0070485B" w:rsidRPr="0070485B" w14:paraId="62226643" w14:textId="77777777" w:rsidTr="0070485B">
        <w:trPr>
          <w:trHeight w:val="280"/>
        </w:trPr>
        <w:tc>
          <w:tcPr>
            <w:tcW w:w="5560" w:type="dxa"/>
            <w:tcBorders>
              <w:top w:val="nil"/>
              <w:left w:val="nil"/>
              <w:bottom w:val="nil"/>
              <w:right w:val="nil"/>
            </w:tcBorders>
            <w:shd w:val="clear" w:color="auto" w:fill="auto"/>
            <w:noWrap/>
            <w:vAlign w:val="center"/>
            <w:hideMark/>
          </w:tcPr>
          <w:p w14:paraId="0E6AC383" w14:textId="77777777" w:rsidR="0070485B" w:rsidRPr="0070485B" w:rsidRDefault="0070485B" w:rsidP="0070485B">
            <w:pPr>
              <w:jc w:val="right"/>
              <w:rPr>
                <w:rFonts w:ascii="Calibri" w:hAnsi="Calibri" w:cs="Calibri"/>
                <w:sz w:val="20"/>
                <w:szCs w:val="20"/>
              </w:rPr>
            </w:pPr>
          </w:p>
        </w:tc>
        <w:tc>
          <w:tcPr>
            <w:tcW w:w="1460" w:type="dxa"/>
            <w:tcBorders>
              <w:top w:val="nil"/>
              <w:left w:val="nil"/>
              <w:bottom w:val="nil"/>
              <w:right w:val="nil"/>
            </w:tcBorders>
            <w:shd w:val="clear" w:color="auto" w:fill="auto"/>
            <w:noWrap/>
            <w:vAlign w:val="center"/>
            <w:hideMark/>
          </w:tcPr>
          <w:p w14:paraId="30DB24E0" w14:textId="77777777" w:rsidR="0070485B" w:rsidRPr="0070485B" w:rsidRDefault="0070485B" w:rsidP="0070485B">
            <w:pPr>
              <w:rPr>
                <w:sz w:val="20"/>
                <w:szCs w:val="20"/>
              </w:rPr>
            </w:pPr>
          </w:p>
        </w:tc>
      </w:tr>
      <w:tr w:rsidR="0070485B" w:rsidRPr="0070485B" w14:paraId="584D5C27" w14:textId="77777777" w:rsidTr="0070485B">
        <w:trPr>
          <w:trHeight w:val="280"/>
        </w:trPr>
        <w:tc>
          <w:tcPr>
            <w:tcW w:w="5560" w:type="dxa"/>
            <w:tcBorders>
              <w:top w:val="single" w:sz="4" w:space="0" w:color="auto"/>
              <w:left w:val="nil"/>
              <w:bottom w:val="single" w:sz="4" w:space="0" w:color="auto"/>
              <w:right w:val="nil"/>
            </w:tcBorders>
            <w:shd w:val="clear" w:color="auto" w:fill="auto"/>
            <w:noWrap/>
            <w:vAlign w:val="center"/>
            <w:hideMark/>
          </w:tcPr>
          <w:p w14:paraId="5CB9FDB7" w14:textId="77777777" w:rsidR="0070485B" w:rsidRPr="0070485B" w:rsidRDefault="0070485B" w:rsidP="0070485B">
            <w:pPr>
              <w:rPr>
                <w:rFonts w:ascii="Calibri" w:hAnsi="Calibri" w:cs="Calibri"/>
                <w:color w:val="FF0000"/>
                <w:sz w:val="20"/>
                <w:szCs w:val="20"/>
              </w:rPr>
            </w:pPr>
            <w:r w:rsidRPr="0070485B">
              <w:rPr>
                <w:rFonts w:ascii="Calibri" w:hAnsi="Calibri" w:cs="Calibri"/>
                <w:color w:val="FF0000"/>
                <w:sz w:val="20"/>
                <w:szCs w:val="20"/>
              </w:rPr>
              <w:t>Total Program variation ITU-D</w:t>
            </w:r>
          </w:p>
        </w:tc>
        <w:tc>
          <w:tcPr>
            <w:tcW w:w="1460" w:type="dxa"/>
            <w:tcBorders>
              <w:top w:val="single" w:sz="4" w:space="0" w:color="auto"/>
              <w:left w:val="nil"/>
              <w:bottom w:val="single" w:sz="4" w:space="0" w:color="auto"/>
              <w:right w:val="nil"/>
            </w:tcBorders>
            <w:shd w:val="clear" w:color="auto" w:fill="auto"/>
            <w:noWrap/>
            <w:vAlign w:val="center"/>
            <w:hideMark/>
          </w:tcPr>
          <w:p w14:paraId="66474C77" w14:textId="77777777" w:rsidR="0070485B" w:rsidRPr="0070485B" w:rsidRDefault="0070485B" w:rsidP="0070485B">
            <w:pPr>
              <w:jc w:val="right"/>
              <w:rPr>
                <w:rFonts w:ascii="Calibri" w:hAnsi="Calibri" w:cs="Calibri"/>
                <w:sz w:val="20"/>
                <w:szCs w:val="20"/>
              </w:rPr>
            </w:pPr>
            <w:r w:rsidRPr="0070485B">
              <w:rPr>
                <w:rFonts w:ascii="Calibri" w:hAnsi="Calibri" w:cs="Calibri"/>
                <w:sz w:val="20"/>
                <w:szCs w:val="20"/>
              </w:rPr>
              <w:t>-2'960</w:t>
            </w:r>
          </w:p>
        </w:tc>
      </w:tr>
    </w:tbl>
    <w:p w14:paraId="6B0B0844" w14:textId="1EEA93BE" w:rsidR="00306BDC" w:rsidRDefault="00306BDC" w:rsidP="00C21D85">
      <w:pPr>
        <w:keepNext/>
        <w:spacing w:before="240" w:after="240"/>
        <w:rPr>
          <w:rFonts w:asciiTheme="minorHAnsi" w:hAnsiTheme="minorHAnsi" w:cstheme="minorHAnsi"/>
          <w:lang w:val="en-AU"/>
        </w:rPr>
      </w:pPr>
      <w:r w:rsidRPr="00306BDC">
        <w:rPr>
          <w:rFonts w:asciiTheme="minorHAnsi" w:hAnsiTheme="minorHAnsi" w:cstheme="minorHAnsi"/>
          <w:lang w:val="en-AU"/>
        </w:rPr>
        <w:lastRenderedPageBreak/>
        <w:t>3.</w:t>
      </w:r>
      <w:r>
        <w:rPr>
          <w:rFonts w:asciiTheme="minorHAnsi" w:hAnsiTheme="minorHAnsi" w:cstheme="minorHAnsi"/>
          <w:lang w:val="en-AU"/>
        </w:rPr>
        <w:t>5</w:t>
      </w:r>
      <w:r w:rsidRPr="00306BDC">
        <w:rPr>
          <w:rFonts w:asciiTheme="minorHAnsi" w:hAnsiTheme="minorHAnsi" w:cstheme="minorHAnsi"/>
          <w:lang w:val="en-AU"/>
        </w:rPr>
        <w:tab/>
      </w:r>
      <w:r>
        <w:rPr>
          <w:rFonts w:asciiTheme="minorHAnsi" w:hAnsiTheme="minorHAnsi" w:cstheme="minorHAnsi"/>
          <w:lang w:val="en-AU"/>
        </w:rPr>
        <w:t xml:space="preserve">Table 2 below provides the breakdown of the planned revenue for 2024-2027 by source together with a comparison with the 2020-2023 </w:t>
      </w:r>
      <w:r w:rsidR="001961FB">
        <w:rPr>
          <w:rFonts w:asciiTheme="minorHAnsi" w:hAnsiTheme="minorHAnsi" w:cstheme="minorHAnsi"/>
          <w:lang w:val="en-AU"/>
        </w:rPr>
        <w:t>b</w:t>
      </w:r>
      <w:r>
        <w:rPr>
          <w:rFonts w:asciiTheme="minorHAnsi" w:hAnsiTheme="minorHAnsi" w:cstheme="minorHAnsi"/>
          <w:lang w:val="en-AU"/>
        </w:rPr>
        <w:t xml:space="preserve">udgets and </w:t>
      </w:r>
      <w:r w:rsidR="001961FB">
        <w:rPr>
          <w:rFonts w:asciiTheme="minorHAnsi" w:hAnsiTheme="minorHAnsi" w:cstheme="minorHAnsi"/>
          <w:lang w:val="en-AU"/>
        </w:rPr>
        <w:t>f</w:t>
      </w:r>
      <w:r>
        <w:rPr>
          <w:rFonts w:asciiTheme="minorHAnsi" w:hAnsiTheme="minorHAnsi" w:cstheme="minorHAnsi"/>
          <w:lang w:val="en-AU"/>
        </w:rPr>
        <w:t xml:space="preserve">inancial </w:t>
      </w:r>
      <w:r w:rsidR="001961FB">
        <w:rPr>
          <w:rFonts w:asciiTheme="minorHAnsi" w:hAnsiTheme="minorHAnsi" w:cstheme="minorHAnsi"/>
          <w:lang w:val="en-AU"/>
        </w:rPr>
        <w:t>p</w:t>
      </w:r>
      <w:r>
        <w:rPr>
          <w:rFonts w:asciiTheme="minorHAnsi" w:hAnsiTheme="minorHAnsi" w:cstheme="minorHAnsi"/>
          <w:lang w:val="en-AU"/>
        </w:rPr>
        <w:t>lan.</w:t>
      </w:r>
    </w:p>
    <w:p w14:paraId="2EEB1CC7" w14:textId="621CA82B" w:rsidR="00306BDC" w:rsidRDefault="000B058C" w:rsidP="00166CF2">
      <w:pPr>
        <w:jc w:val="center"/>
        <w:rPr>
          <w:rFonts w:asciiTheme="minorHAnsi" w:hAnsiTheme="minorHAnsi" w:cstheme="minorHAnsi"/>
          <w:lang w:val="en-AU"/>
        </w:rPr>
      </w:pPr>
      <w:r w:rsidRPr="00306BDC">
        <w:rPr>
          <w:rFonts w:asciiTheme="minorHAnsi" w:hAnsiTheme="minorHAnsi" w:cstheme="minorHAnsi"/>
          <w:noProof/>
          <w:lang w:eastAsia="en-US"/>
        </w:rPr>
        <w:drawing>
          <wp:inline distT="0" distB="0" distL="0" distR="0" wp14:anchorId="006C679F" wp14:editId="59CFE4C0">
            <wp:extent cx="5550010" cy="34483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0063" cy="3460847"/>
                    </a:xfrm>
                    <a:prstGeom prst="rect">
                      <a:avLst/>
                    </a:prstGeom>
                  </pic:spPr>
                </pic:pic>
              </a:graphicData>
            </a:graphic>
          </wp:inline>
        </w:drawing>
      </w:r>
    </w:p>
    <w:p w14:paraId="3FAFC175" w14:textId="7309E036" w:rsidR="00306BDC" w:rsidRDefault="004C4102" w:rsidP="00C21D85">
      <w:pPr>
        <w:spacing w:before="120" w:after="240"/>
        <w:rPr>
          <w:rFonts w:asciiTheme="minorHAnsi" w:hAnsiTheme="minorHAnsi" w:cstheme="minorHAnsi"/>
          <w:lang w:val="en-AU"/>
        </w:rPr>
      </w:pPr>
      <w:r>
        <w:rPr>
          <w:rFonts w:asciiTheme="minorHAnsi" w:hAnsiTheme="minorHAnsi" w:cstheme="minorHAnsi"/>
          <w:lang w:val="en-AU"/>
        </w:rPr>
        <w:t>3.6</w:t>
      </w:r>
      <w:r>
        <w:rPr>
          <w:rFonts w:asciiTheme="minorHAnsi" w:hAnsiTheme="minorHAnsi" w:cstheme="minorHAnsi"/>
          <w:lang w:val="en-AU"/>
        </w:rPr>
        <w:tab/>
      </w:r>
      <w:r w:rsidR="00306BDC" w:rsidRPr="00306BDC">
        <w:rPr>
          <w:rFonts w:asciiTheme="minorHAnsi" w:hAnsiTheme="minorHAnsi" w:cstheme="minorHAnsi"/>
          <w:lang w:val="en-AU"/>
        </w:rPr>
        <w:t xml:space="preserve">On the </w:t>
      </w:r>
      <w:r w:rsidR="00306BDC">
        <w:rPr>
          <w:rFonts w:asciiTheme="minorHAnsi" w:hAnsiTheme="minorHAnsi" w:cstheme="minorHAnsi"/>
          <w:lang w:val="en-AU"/>
        </w:rPr>
        <w:t>revenue</w:t>
      </w:r>
      <w:r w:rsidR="00306BDC" w:rsidRPr="00306BDC">
        <w:rPr>
          <w:rFonts w:asciiTheme="minorHAnsi" w:hAnsiTheme="minorHAnsi" w:cstheme="minorHAnsi"/>
          <w:lang w:val="en-AU"/>
        </w:rPr>
        <w:t xml:space="preserve"> side, the main </w:t>
      </w:r>
      <w:r w:rsidR="00306BDC">
        <w:rPr>
          <w:rFonts w:asciiTheme="minorHAnsi" w:hAnsiTheme="minorHAnsi" w:cstheme="minorHAnsi"/>
          <w:lang w:val="en-AU"/>
        </w:rPr>
        <w:t>variances are:</w:t>
      </w:r>
    </w:p>
    <w:p w14:paraId="18504760" w14:textId="3BE9D18B" w:rsidR="00306BDC" w:rsidRDefault="00306BDC" w:rsidP="001F4F21">
      <w:pPr>
        <w:pStyle w:val="ListParagraph"/>
        <w:numPr>
          <w:ilvl w:val="0"/>
          <w:numId w:val="10"/>
        </w:numPr>
        <w:spacing w:after="60"/>
        <w:ind w:left="1134" w:hanging="425"/>
        <w:rPr>
          <w:rFonts w:cstheme="minorHAnsi"/>
          <w:lang w:val="en-AU"/>
        </w:rPr>
      </w:pPr>
      <w:r>
        <w:rPr>
          <w:rFonts w:cstheme="minorHAnsi"/>
          <w:lang w:val="en-AU"/>
        </w:rPr>
        <w:t>No use of the savings from previous year’s budget implementation as the budget implementations do no longer generate significant surpluses.</w:t>
      </w:r>
    </w:p>
    <w:p w14:paraId="1418992A" w14:textId="26D9D62C" w:rsidR="00306BDC" w:rsidRPr="004C4102" w:rsidRDefault="00306BDC" w:rsidP="001F4F21">
      <w:pPr>
        <w:pStyle w:val="ListParagraph"/>
        <w:numPr>
          <w:ilvl w:val="0"/>
          <w:numId w:val="10"/>
        </w:numPr>
        <w:spacing w:after="60"/>
        <w:ind w:left="1134" w:hanging="425"/>
        <w:rPr>
          <w:rFonts w:cstheme="minorHAnsi"/>
          <w:lang w:val="en-AU"/>
        </w:rPr>
      </w:pPr>
      <w:r>
        <w:rPr>
          <w:rFonts w:cstheme="minorHAnsi"/>
          <w:lang w:val="en-AU"/>
        </w:rPr>
        <w:t xml:space="preserve">Decrease in cost recovery revenue mainly on account of decrease in project support costs revenue and cost recovery for the satellite network filings. This decrease is partially offset by an increase in </w:t>
      </w:r>
      <w:r w:rsidR="004C4102">
        <w:rPr>
          <w:rFonts w:cstheme="minorHAnsi"/>
          <w:lang w:val="en-AU"/>
        </w:rPr>
        <w:t xml:space="preserve">the </w:t>
      </w:r>
      <w:r>
        <w:rPr>
          <w:rFonts w:cstheme="minorHAnsi"/>
          <w:lang w:val="en-AU"/>
        </w:rPr>
        <w:t xml:space="preserve">sales of publications revenue and the introduction of </w:t>
      </w:r>
      <w:r w:rsidR="004C4102">
        <w:rPr>
          <w:rFonts w:cstheme="minorHAnsi"/>
          <w:lang w:val="en-AU"/>
        </w:rPr>
        <w:t xml:space="preserve">progressive </w:t>
      </w:r>
      <w:r w:rsidR="004C4102">
        <w:rPr>
          <w:rFonts w:ascii="Calibri" w:hAnsi="Calibri"/>
        </w:rPr>
        <w:t>resource mobilization over the four-year period to co-fund some regular activities.</w:t>
      </w:r>
    </w:p>
    <w:p w14:paraId="533963AB" w14:textId="3A8DB083" w:rsidR="00166CF2" w:rsidRPr="004C4102" w:rsidRDefault="004C4102" w:rsidP="00C21D85">
      <w:pPr>
        <w:spacing w:before="360" w:after="360"/>
        <w:rPr>
          <w:rFonts w:asciiTheme="minorHAnsi" w:eastAsiaTheme="minorHAnsi" w:hAnsiTheme="minorHAnsi" w:cstheme="minorHAnsi"/>
          <w:lang w:val="en-AU" w:eastAsia="en-US"/>
        </w:rPr>
      </w:pPr>
      <w:r w:rsidRPr="004C4102">
        <w:rPr>
          <w:rFonts w:asciiTheme="minorHAnsi" w:eastAsiaTheme="minorHAnsi" w:hAnsiTheme="minorHAnsi" w:cstheme="minorHAnsi"/>
          <w:lang w:val="en-AU" w:eastAsia="en-US"/>
        </w:rPr>
        <w:t>3.7</w:t>
      </w:r>
      <w:r w:rsidRPr="004C4102">
        <w:rPr>
          <w:rFonts w:asciiTheme="minorHAnsi" w:eastAsiaTheme="minorHAnsi" w:hAnsiTheme="minorHAnsi" w:cstheme="minorHAnsi"/>
          <w:lang w:val="en-AU" w:eastAsia="en-US"/>
        </w:rPr>
        <w:tab/>
      </w:r>
      <w:r>
        <w:rPr>
          <w:rFonts w:asciiTheme="minorHAnsi" w:eastAsiaTheme="minorHAnsi" w:hAnsiTheme="minorHAnsi" w:cstheme="minorHAnsi"/>
          <w:lang w:val="en-AU" w:eastAsia="en-US"/>
        </w:rPr>
        <w:t xml:space="preserve">Table 2B below provides the breakdown of the cost recovery revenue together with the comparison with the 2020-2023 </w:t>
      </w:r>
      <w:r w:rsidR="001961FB">
        <w:rPr>
          <w:rFonts w:asciiTheme="minorHAnsi" w:eastAsiaTheme="minorHAnsi" w:hAnsiTheme="minorHAnsi" w:cstheme="minorHAnsi"/>
          <w:lang w:val="en-AU" w:eastAsia="en-US"/>
        </w:rPr>
        <w:t>f</w:t>
      </w:r>
      <w:r>
        <w:rPr>
          <w:rFonts w:asciiTheme="minorHAnsi" w:eastAsiaTheme="minorHAnsi" w:hAnsiTheme="minorHAnsi" w:cstheme="minorHAnsi"/>
          <w:lang w:val="en-AU" w:eastAsia="en-US"/>
        </w:rPr>
        <w:t xml:space="preserve">inancial </w:t>
      </w:r>
      <w:r w:rsidR="001961FB">
        <w:rPr>
          <w:rFonts w:asciiTheme="minorHAnsi" w:eastAsiaTheme="minorHAnsi" w:hAnsiTheme="minorHAnsi" w:cstheme="minorHAnsi"/>
          <w:lang w:val="en-AU" w:eastAsia="en-US"/>
        </w:rPr>
        <w:t>p</w:t>
      </w:r>
      <w:r>
        <w:rPr>
          <w:rFonts w:asciiTheme="minorHAnsi" w:eastAsiaTheme="minorHAnsi" w:hAnsiTheme="minorHAnsi" w:cstheme="minorHAnsi"/>
          <w:lang w:val="en-AU" w:eastAsia="en-US"/>
        </w:rPr>
        <w:t xml:space="preserve">lan and </w:t>
      </w:r>
      <w:r w:rsidR="001961FB">
        <w:rPr>
          <w:rFonts w:asciiTheme="minorHAnsi" w:eastAsiaTheme="minorHAnsi" w:hAnsiTheme="minorHAnsi" w:cstheme="minorHAnsi"/>
          <w:lang w:val="en-AU" w:eastAsia="en-US"/>
        </w:rPr>
        <w:t>b</w:t>
      </w:r>
      <w:r>
        <w:rPr>
          <w:rFonts w:asciiTheme="minorHAnsi" w:eastAsiaTheme="minorHAnsi" w:hAnsiTheme="minorHAnsi" w:cstheme="minorHAnsi"/>
          <w:lang w:val="en-AU" w:eastAsia="en-US"/>
        </w:rPr>
        <w:t>udgets</w:t>
      </w:r>
      <w:r w:rsidR="001332CB">
        <w:rPr>
          <w:rFonts w:asciiTheme="minorHAnsi" w:eastAsiaTheme="minorHAnsi" w:hAnsiTheme="minorHAnsi" w:cstheme="minorHAnsi"/>
          <w:lang w:val="en-AU" w:eastAsia="en-US"/>
        </w:rPr>
        <w:t>.</w:t>
      </w:r>
    </w:p>
    <w:p w14:paraId="612109CC" w14:textId="3AADE082" w:rsidR="00062262" w:rsidRDefault="000B058C" w:rsidP="00AE7061">
      <w:pPr>
        <w:jc w:val="center"/>
        <w:rPr>
          <w:rFonts w:asciiTheme="minorHAnsi" w:hAnsiTheme="minorHAnsi" w:cstheme="minorHAnsi"/>
          <w:b/>
          <w:bCs/>
        </w:rPr>
      </w:pPr>
      <w:r w:rsidRPr="004C4102">
        <w:rPr>
          <w:rFonts w:cstheme="minorHAnsi"/>
          <w:noProof/>
          <w:lang w:eastAsia="en-US"/>
        </w:rPr>
        <w:drawing>
          <wp:inline distT="0" distB="0" distL="0" distR="0" wp14:anchorId="3B8AACF9" wp14:editId="521AACD0">
            <wp:extent cx="5549900" cy="2790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89451" cy="2810668"/>
                    </a:xfrm>
                    <a:prstGeom prst="rect">
                      <a:avLst/>
                    </a:prstGeom>
                  </pic:spPr>
                </pic:pic>
              </a:graphicData>
            </a:graphic>
          </wp:inline>
        </w:drawing>
      </w:r>
      <w:r w:rsidR="00062262">
        <w:rPr>
          <w:rFonts w:asciiTheme="minorHAnsi" w:hAnsiTheme="minorHAnsi" w:cstheme="minorHAnsi"/>
          <w:b/>
          <w:bCs/>
        </w:rPr>
        <w:br w:type="page"/>
      </w:r>
    </w:p>
    <w:p w14:paraId="23A8685D" w14:textId="77777777" w:rsidR="00C21D85" w:rsidRDefault="00C21D85" w:rsidP="00C21D85">
      <w:pPr>
        <w:tabs>
          <w:tab w:val="left" w:pos="709"/>
          <w:tab w:val="left" w:pos="993"/>
        </w:tabs>
        <w:snapToGrid w:val="0"/>
        <w:spacing w:before="160" w:after="160"/>
        <w:rPr>
          <w:rFonts w:asciiTheme="minorHAnsi" w:hAnsiTheme="minorHAnsi" w:cstheme="minorHAnsi"/>
          <w:b/>
          <w:bCs/>
        </w:rPr>
      </w:pPr>
    </w:p>
    <w:p w14:paraId="12551253" w14:textId="724A338C" w:rsidR="00EF6219" w:rsidRPr="004C4102" w:rsidRDefault="00EF6219" w:rsidP="00C21D85">
      <w:pPr>
        <w:tabs>
          <w:tab w:val="left" w:pos="709"/>
          <w:tab w:val="left" w:pos="993"/>
        </w:tabs>
        <w:snapToGrid w:val="0"/>
        <w:spacing w:before="160" w:after="160"/>
        <w:rPr>
          <w:rFonts w:asciiTheme="minorHAnsi" w:hAnsiTheme="minorHAnsi" w:cstheme="minorHAnsi"/>
        </w:rPr>
      </w:pPr>
      <w:r w:rsidRPr="004C4102">
        <w:rPr>
          <w:rFonts w:asciiTheme="minorHAnsi" w:hAnsiTheme="minorHAnsi" w:cstheme="minorHAnsi"/>
          <w:b/>
          <w:bCs/>
        </w:rPr>
        <w:t>4</w:t>
      </w:r>
      <w:r w:rsidRPr="004C4102">
        <w:rPr>
          <w:rFonts w:asciiTheme="minorHAnsi" w:hAnsiTheme="minorHAnsi" w:cstheme="minorHAnsi"/>
        </w:rPr>
        <w:tab/>
      </w:r>
      <w:r w:rsidR="004C4102" w:rsidRPr="004C4102">
        <w:rPr>
          <w:rFonts w:asciiTheme="minorHAnsi" w:hAnsiTheme="minorHAnsi" w:cstheme="minorHAnsi"/>
          <w:b/>
          <w:bCs/>
        </w:rPr>
        <w:t>Unfunded Mandatory Activities (UMACs)</w:t>
      </w:r>
    </w:p>
    <w:p w14:paraId="59F1BD8E" w14:textId="04245B14" w:rsidR="001961FB" w:rsidRDefault="00EF6219" w:rsidP="00C21D85">
      <w:pPr>
        <w:tabs>
          <w:tab w:val="left" w:pos="709"/>
          <w:tab w:val="left" w:pos="993"/>
        </w:tabs>
        <w:spacing w:before="160" w:after="160"/>
        <w:rPr>
          <w:rFonts w:asciiTheme="minorHAnsi" w:hAnsiTheme="minorHAnsi" w:cstheme="minorHAnsi"/>
        </w:rPr>
      </w:pPr>
      <w:r w:rsidRPr="004C4102">
        <w:rPr>
          <w:rFonts w:asciiTheme="minorHAnsi" w:hAnsiTheme="minorHAnsi" w:cstheme="minorHAnsi"/>
        </w:rPr>
        <w:t>4.1</w:t>
      </w:r>
      <w:r w:rsidRPr="004C4102">
        <w:rPr>
          <w:rFonts w:asciiTheme="minorHAnsi" w:hAnsiTheme="minorHAnsi" w:cstheme="minorHAnsi"/>
        </w:rPr>
        <w:tab/>
      </w:r>
      <w:r w:rsidR="001961FB">
        <w:rPr>
          <w:rFonts w:asciiTheme="minorHAnsi" w:hAnsiTheme="minorHAnsi" w:cstheme="minorHAnsi"/>
        </w:rPr>
        <w:t xml:space="preserve">Table 3 </w:t>
      </w:r>
      <w:r w:rsidR="004C4102" w:rsidRPr="004C4102">
        <w:rPr>
          <w:rFonts w:asciiTheme="minorHAnsi" w:hAnsiTheme="minorHAnsi" w:cstheme="minorHAnsi"/>
        </w:rPr>
        <w:t xml:space="preserve">below lists the main </w:t>
      </w:r>
      <w:proofErr w:type="spellStart"/>
      <w:r w:rsidR="004C4102" w:rsidRPr="004C4102">
        <w:rPr>
          <w:rFonts w:asciiTheme="minorHAnsi" w:hAnsiTheme="minorHAnsi" w:cstheme="minorHAnsi"/>
        </w:rPr>
        <w:t>program</w:t>
      </w:r>
      <w:r w:rsidR="001961FB">
        <w:rPr>
          <w:rFonts w:asciiTheme="minorHAnsi" w:hAnsiTheme="minorHAnsi" w:cstheme="minorHAnsi"/>
        </w:rPr>
        <w:t>me</w:t>
      </w:r>
      <w:proofErr w:type="spellEnd"/>
      <w:r w:rsidR="004C4102" w:rsidRPr="004C4102">
        <w:rPr>
          <w:rFonts w:asciiTheme="minorHAnsi" w:hAnsiTheme="minorHAnsi" w:cstheme="minorHAnsi"/>
        </w:rPr>
        <w:t xml:space="preserve"> variations as compared to </w:t>
      </w:r>
      <w:r w:rsidR="00FC52FD">
        <w:rPr>
          <w:rFonts w:asciiTheme="minorHAnsi" w:hAnsiTheme="minorHAnsi" w:cstheme="minorHAnsi"/>
        </w:rPr>
        <w:t xml:space="preserve">the </w:t>
      </w:r>
      <w:r w:rsidR="004C4102" w:rsidRPr="004C4102">
        <w:rPr>
          <w:rFonts w:asciiTheme="minorHAnsi" w:hAnsiTheme="minorHAnsi" w:cstheme="minorHAnsi"/>
        </w:rPr>
        <w:t xml:space="preserve">current </w:t>
      </w:r>
      <w:r w:rsidR="001961FB">
        <w:rPr>
          <w:rFonts w:asciiTheme="minorHAnsi" w:hAnsiTheme="minorHAnsi" w:cstheme="minorHAnsi"/>
        </w:rPr>
        <w:t>b</w:t>
      </w:r>
      <w:r w:rsidR="004C4102" w:rsidRPr="004C4102">
        <w:rPr>
          <w:rFonts w:asciiTheme="minorHAnsi" w:hAnsiTheme="minorHAnsi" w:cstheme="minorHAnsi"/>
        </w:rPr>
        <w:t xml:space="preserve">udget and </w:t>
      </w:r>
      <w:r w:rsidR="001961FB">
        <w:rPr>
          <w:rFonts w:asciiTheme="minorHAnsi" w:hAnsiTheme="minorHAnsi" w:cstheme="minorHAnsi"/>
        </w:rPr>
        <w:t>f</w:t>
      </w:r>
      <w:r w:rsidR="004C4102" w:rsidRPr="004C4102">
        <w:rPr>
          <w:rFonts w:asciiTheme="minorHAnsi" w:hAnsiTheme="minorHAnsi" w:cstheme="minorHAnsi"/>
        </w:rPr>
        <w:t xml:space="preserve">inancial </w:t>
      </w:r>
      <w:r w:rsidR="001961FB">
        <w:rPr>
          <w:rFonts w:asciiTheme="minorHAnsi" w:hAnsiTheme="minorHAnsi" w:cstheme="minorHAnsi"/>
        </w:rPr>
        <w:t>p</w:t>
      </w:r>
      <w:r w:rsidR="004C4102" w:rsidRPr="004C4102">
        <w:rPr>
          <w:rFonts w:asciiTheme="minorHAnsi" w:hAnsiTheme="minorHAnsi" w:cstheme="minorHAnsi"/>
        </w:rPr>
        <w:t xml:space="preserve">lan that could not be funded in the 2024-2027 draft </w:t>
      </w:r>
      <w:r w:rsidR="001961FB">
        <w:rPr>
          <w:rFonts w:asciiTheme="minorHAnsi" w:hAnsiTheme="minorHAnsi" w:cstheme="minorHAnsi"/>
        </w:rPr>
        <w:t>f</w:t>
      </w:r>
      <w:r w:rsidR="004C4102" w:rsidRPr="004C4102">
        <w:rPr>
          <w:rFonts w:asciiTheme="minorHAnsi" w:hAnsiTheme="minorHAnsi" w:cstheme="minorHAnsi"/>
        </w:rPr>
        <w:t xml:space="preserve">inancial </w:t>
      </w:r>
      <w:r w:rsidR="001961FB">
        <w:rPr>
          <w:rFonts w:asciiTheme="minorHAnsi" w:hAnsiTheme="minorHAnsi" w:cstheme="minorHAnsi"/>
        </w:rPr>
        <w:t>p</w:t>
      </w:r>
      <w:r w:rsidR="004C4102" w:rsidRPr="004C4102">
        <w:rPr>
          <w:rFonts w:asciiTheme="minorHAnsi" w:hAnsiTheme="minorHAnsi" w:cstheme="minorHAnsi"/>
        </w:rPr>
        <w:t>lan at this stage of its preparation.</w:t>
      </w:r>
    </w:p>
    <w:p w14:paraId="2AFD6C08" w14:textId="33E44033" w:rsidR="004C4102" w:rsidRPr="004C4102" w:rsidRDefault="004C4102" w:rsidP="00C21D85">
      <w:pPr>
        <w:tabs>
          <w:tab w:val="left" w:pos="709"/>
          <w:tab w:val="left" w:pos="993"/>
        </w:tabs>
        <w:spacing w:before="160" w:after="360"/>
        <w:rPr>
          <w:rFonts w:asciiTheme="minorHAnsi" w:hAnsiTheme="minorHAnsi" w:cstheme="minorHAnsi"/>
        </w:rPr>
      </w:pPr>
      <w:r w:rsidRPr="004C4102">
        <w:rPr>
          <w:rFonts w:asciiTheme="minorHAnsi" w:hAnsiTheme="minorHAnsi" w:cstheme="minorHAnsi"/>
        </w:rPr>
        <w:t>4.2</w:t>
      </w:r>
      <w:r w:rsidRPr="004C4102">
        <w:rPr>
          <w:rFonts w:asciiTheme="minorHAnsi" w:hAnsiTheme="minorHAnsi" w:cstheme="minorHAnsi"/>
        </w:rPr>
        <w:tab/>
        <w:t xml:space="preserve">Should it be possible to identify additional regular funding and/or extra budgetary resources, or to further reduce the expenditure side of the draft </w:t>
      </w:r>
      <w:r w:rsidR="001961FB">
        <w:rPr>
          <w:rFonts w:asciiTheme="minorHAnsi" w:hAnsiTheme="minorHAnsi" w:cstheme="minorHAnsi"/>
        </w:rPr>
        <w:t>f</w:t>
      </w:r>
      <w:r w:rsidRPr="004C4102">
        <w:rPr>
          <w:rFonts w:asciiTheme="minorHAnsi" w:hAnsiTheme="minorHAnsi" w:cstheme="minorHAnsi"/>
        </w:rPr>
        <w:t xml:space="preserve">inancial </w:t>
      </w:r>
      <w:r w:rsidR="001961FB">
        <w:rPr>
          <w:rFonts w:asciiTheme="minorHAnsi" w:hAnsiTheme="minorHAnsi" w:cstheme="minorHAnsi"/>
        </w:rPr>
        <w:t>p</w:t>
      </w:r>
      <w:r w:rsidRPr="004C4102">
        <w:rPr>
          <w:rFonts w:asciiTheme="minorHAnsi" w:hAnsiTheme="minorHAnsi" w:cstheme="minorHAnsi"/>
        </w:rPr>
        <w:t>lan, some of these UMAC</w:t>
      </w:r>
      <w:r w:rsidR="001961FB">
        <w:rPr>
          <w:rFonts w:asciiTheme="minorHAnsi" w:hAnsiTheme="minorHAnsi" w:cstheme="minorHAnsi"/>
        </w:rPr>
        <w:t>s</w:t>
      </w:r>
      <w:r w:rsidRPr="004C4102">
        <w:rPr>
          <w:rFonts w:asciiTheme="minorHAnsi" w:hAnsiTheme="minorHAnsi" w:cstheme="minorHAnsi"/>
        </w:rPr>
        <w:t xml:space="preserve"> might be </w:t>
      </w:r>
      <w:r w:rsidR="000441D1">
        <w:rPr>
          <w:rFonts w:asciiTheme="minorHAnsi" w:hAnsiTheme="minorHAnsi" w:cstheme="minorHAnsi"/>
        </w:rPr>
        <w:t>included</w:t>
      </w:r>
      <w:r w:rsidRPr="004C4102">
        <w:rPr>
          <w:rFonts w:asciiTheme="minorHAnsi" w:hAnsiTheme="minorHAnsi" w:cstheme="minorHAnsi"/>
        </w:rPr>
        <w:t xml:space="preserve"> into it.</w:t>
      </w:r>
    </w:p>
    <w:p w14:paraId="6F40C168" w14:textId="11CF9D6D" w:rsidR="004C4102" w:rsidRDefault="000B058C" w:rsidP="00166CF2">
      <w:pPr>
        <w:spacing w:before="120" w:after="120"/>
        <w:jc w:val="center"/>
        <w:rPr>
          <w:rFonts w:cstheme="majorBidi"/>
        </w:rPr>
      </w:pPr>
      <w:r w:rsidRPr="0070485B">
        <w:rPr>
          <w:rFonts w:cstheme="majorBidi"/>
          <w:noProof/>
          <w:lang w:eastAsia="en-US"/>
        </w:rPr>
        <w:drawing>
          <wp:inline distT="0" distB="0" distL="0" distR="0" wp14:anchorId="64D70FAC" wp14:editId="68CA3728">
            <wp:extent cx="6120765" cy="515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5156200"/>
                    </a:xfrm>
                    <a:prstGeom prst="rect">
                      <a:avLst/>
                    </a:prstGeom>
                  </pic:spPr>
                </pic:pic>
              </a:graphicData>
            </a:graphic>
          </wp:inline>
        </w:drawing>
      </w:r>
    </w:p>
    <w:p w14:paraId="1D5BADD1" w14:textId="15BC78E9" w:rsidR="00EF6219" w:rsidRDefault="001961FB" w:rsidP="00C21D85">
      <w:pPr>
        <w:snapToGrid w:val="0"/>
        <w:spacing w:before="600"/>
        <w:jc w:val="center"/>
        <w:rPr>
          <w:lang w:val="en-AU"/>
        </w:rPr>
      </w:pPr>
      <w:r>
        <w:rPr>
          <w:rFonts w:asciiTheme="minorHAnsi" w:hAnsiTheme="minorHAnsi" w:cstheme="minorHAnsi"/>
        </w:rPr>
        <w:t>___________</w:t>
      </w:r>
      <w:r w:rsidR="00C21D85">
        <w:rPr>
          <w:rFonts w:asciiTheme="minorHAnsi" w:hAnsiTheme="minorHAnsi" w:cstheme="minorHAnsi"/>
        </w:rPr>
        <w:t>____</w:t>
      </w:r>
      <w:r>
        <w:rPr>
          <w:rFonts w:asciiTheme="minorHAnsi" w:hAnsiTheme="minorHAnsi" w:cstheme="minorHAnsi"/>
        </w:rPr>
        <w:t>_</w:t>
      </w:r>
    </w:p>
    <w:sectPr w:rsidR="00EF6219" w:rsidSect="00062262">
      <w:headerReference w:type="default" r:id="rId15"/>
      <w:footerReference w:type="first" r:id="rId16"/>
      <w:pgSz w:w="11907" w:h="16834"/>
      <w:pgMar w:top="1134" w:right="1134" w:bottom="567"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C0A4" w14:textId="77777777" w:rsidR="00EC2371" w:rsidRDefault="00EC2371">
      <w:r>
        <w:separator/>
      </w:r>
    </w:p>
  </w:endnote>
  <w:endnote w:type="continuationSeparator" w:id="0">
    <w:p w14:paraId="386D8DAB" w14:textId="77777777" w:rsidR="00EC2371" w:rsidRDefault="00EC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Pr="00C21D85" w:rsidRDefault="00322D0D">
    <w:pPr>
      <w:spacing w:after="120"/>
      <w:jc w:val="center"/>
      <w:rPr>
        <w:rFonts w:asciiTheme="minorHAnsi" w:hAnsiTheme="minorHAnsi" w:cstheme="minorHAnsi"/>
        <w:sz w:val="22"/>
        <w:szCs w:val="22"/>
      </w:rPr>
    </w:pPr>
    <w:r w:rsidRPr="00C21D85">
      <w:rPr>
        <w:rFonts w:asciiTheme="minorHAnsi" w:hAnsiTheme="minorHAnsi" w:cstheme="minorHAnsi"/>
        <w:sz w:val="22"/>
        <w:szCs w:val="22"/>
      </w:rPr>
      <w:t xml:space="preserve">• </w:t>
    </w:r>
    <w:hyperlink r:id="rId1" w:history="1">
      <w:r w:rsidRPr="00C21D85">
        <w:rPr>
          <w:rStyle w:val="Hyperlink"/>
          <w:rFonts w:asciiTheme="minorHAnsi" w:hAnsiTheme="minorHAnsi" w:cstheme="minorHAnsi"/>
          <w:sz w:val="22"/>
          <w:szCs w:val="22"/>
        </w:rPr>
        <w:t>http://www.itu.int/council</w:t>
      </w:r>
    </w:hyperlink>
    <w:r w:rsidRPr="00C21D85">
      <w:rPr>
        <w:rFonts w:asciiTheme="minorHAnsi" w:hAnsiTheme="minorHAnsi" w:cs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E678" w14:textId="77777777" w:rsidR="00EC2371" w:rsidRDefault="00EC2371">
      <w:r>
        <w:t>____________________</w:t>
      </w:r>
    </w:p>
  </w:footnote>
  <w:footnote w:type="continuationSeparator" w:id="0">
    <w:p w14:paraId="67362EEE" w14:textId="77777777" w:rsidR="00EC2371" w:rsidRDefault="00EC2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1EA1EA07" w:rsidR="00322D0D" w:rsidRDefault="006535F1" w:rsidP="00CE433C">
    <w:pPr>
      <w:pStyle w:val="Header"/>
    </w:pPr>
    <w:r>
      <w:fldChar w:fldCharType="begin"/>
    </w:r>
    <w:r>
      <w:instrText>PAGE</w:instrText>
    </w:r>
    <w:r>
      <w:fldChar w:fldCharType="separate"/>
    </w:r>
    <w:r w:rsidR="009D4809">
      <w:rPr>
        <w:noProof/>
      </w:rPr>
      <w:t>6</w:t>
    </w:r>
    <w:r>
      <w:rPr>
        <w:noProof/>
      </w:rPr>
      <w:fldChar w:fldCharType="end"/>
    </w:r>
  </w:p>
  <w:p w14:paraId="0F2F4CB5" w14:textId="65054F81" w:rsidR="00062262" w:rsidRPr="00623AE3" w:rsidRDefault="00623AE3" w:rsidP="00C21D85">
    <w:pPr>
      <w:pStyle w:val="Header"/>
      <w:spacing w:after="120"/>
      <w:rPr>
        <w:bCs/>
      </w:rPr>
    </w:pPr>
    <w:r w:rsidRPr="00623AE3">
      <w:rPr>
        <w:bCs/>
      </w:rPr>
      <w:t>C</w:t>
    </w:r>
    <w:r w:rsidR="004A1B8B">
      <w:rPr>
        <w:bCs/>
      </w:rPr>
      <w:t>2</w:t>
    </w:r>
    <w:r w:rsidR="0014634F">
      <w:rPr>
        <w:bCs/>
      </w:rPr>
      <w:t>2</w:t>
    </w:r>
    <w:r w:rsidRPr="00623AE3">
      <w:rPr>
        <w:bCs/>
      </w:rPr>
      <w:t>/</w:t>
    </w:r>
    <w:r w:rsidR="00306BDC">
      <w:rPr>
        <w:bCs/>
      </w:rPr>
      <w:t>63</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9724A6"/>
    <w:multiLevelType w:val="hybridMultilevel"/>
    <w:tmpl w:val="BA90A05C"/>
    <w:lvl w:ilvl="0" w:tplc="8EA25D18">
      <w:start w:val="3"/>
      <w:numFmt w:val="bullet"/>
      <w:lvlText w:val="-"/>
      <w:lvlJc w:val="left"/>
      <w:pPr>
        <w:ind w:left="1080" w:hanging="36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C8677B"/>
    <w:multiLevelType w:val="hybridMultilevel"/>
    <w:tmpl w:val="6624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4C5A68"/>
    <w:multiLevelType w:val="hybridMultilevel"/>
    <w:tmpl w:val="9B688DEC"/>
    <w:lvl w:ilvl="0" w:tplc="60B2E73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457AF"/>
    <w:multiLevelType w:val="hybridMultilevel"/>
    <w:tmpl w:val="17FA2EFC"/>
    <w:lvl w:ilvl="0" w:tplc="E5F0D716">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DB60C4"/>
    <w:multiLevelType w:val="hybridMultilevel"/>
    <w:tmpl w:val="F97A6FB0"/>
    <w:lvl w:ilvl="0" w:tplc="08090005">
      <w:start w:val="1"/>
      <w:numFmt w:val="bullet"/>
      <w:lvlText w:val=""/>
      <w:lvlJc w:val="left"/>
      <w:pPr>
        <w:ind w:left="644"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65B20E3"/>
    <w:multiLevelType w:val="hybridMultilevel"/>
    <w:tmpl w:val="CC32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abstractNum w:abstractNumId="8" w15:restartNumberingAfterBreak="0">
    <w:nsid w:val="6A535214"/>
    <w:multiLevelType w:val="hybridMultilevel"/>
    <w:tmpl w:val="31A4ED12"/>
    <w:lvl w:ilvl="0" w:tplc="F43EB11A">
      <w:start w:val="3"/>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B837FC"/>
    <w:multiLevelType w:val="hybridMultilevel"/>
    <w:tmpl w:val="F3A0E8C0"/>
    <w:lvl w:ilvl="0" w:tplc="08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6"/>
  </w:num>
  <w:num w:numId="6">
    <w:abstractNumId w:val="8"/>
  </w:num>
  <w:num w:numId="7">
    <w:abstractNumId w:val="1"/>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326E7"/>
    <w:rsid w:val="000441D1"/>
    <w:rsid w:val="00062262"/>
    <w:rsid w:val="00063016"/>
    <w:rsid w:val="000650A0"/>
    <w:rsid w:val="00066795"/>
    <w:rsid w:val="00076AF6"/>
    <w:rsid w:val="00085CF2"/>
    <w:rsid w:val="000930A8"/>
    <w:rsid w:val="000B058C"/>
    <w:rsid w:val="000B1705"/>
    <w:rsid w:val="000D75B2"/>
    <w:rsid w:val="001121F5"/>
    <w:rsid w:val="001332CB"/>
    <w:rsid w:val="001400DC"/>
    <w:rsid w:val="00140CE1"/>
    <w:rsid w:val="00141EE5"/>
    <w:rsid w:val="0014634F"/>
    <w:rsid w:val="00166CF2"/>
    <w:rsid w:val="0017539C"/>
    <w:rsid w:val="00175AC2"/>
    <w:rsid w:val="0017609F"/>
    <w:rsid w:val="001961FB"/>
    <w:rsid w:val="001C628E"/>
    <w:rsid w:val="001E0F7B"/>
    <w:rsid w:val="001F4F21"/>
    <w:rsid w:val="002119FD"/>
    <w:rsid w:val="002130E0"/>
    <w:rsid w:val="00222A87"/>
    <w:rsid w:val="00264425"/>
    <w:rsid w:val="00265875"/>
    <w:rsid w:val="0027303B"/>
    <w:rsid w:val="0028109B"/>
    <w:rsid w:val="002A2188"/>
    <w:rsid w:val="002B1F58"/>
    <w:rsid w:val="002C1C7A"/>
    <w:rsid w:val="0030160F"/>
    <w:rsid w:val="00306BDC"/>
    <w:rsid w:val="00320223"/>
    <w:rsid w:val="00322D0D"/>
    <w:rsid w:val="003340FD"/>
    <w:rsid w:val="00366A6F"/>
    <w:rsid w:val="003942D4"/>
    <w:rsid w:val="003958A8"/>
    <w:rsid w:val="003C2533"/>
    <w:rsid w:val="0040435A"/>
    <w:rsid w:val="00407E1E"/>
    <w:rsid w:val="00416A24"/>
    <w:rsid w:val="00431D9E"/>
    <w:rsid w:val="0043333A"/>
    <w:rsid w:val="00433CE8"/>
    <w:rsid w:val="00434A5C"/>
    <w:rsid w:val="004544D9"/>
    <w:rsid w:val="00455A4F"/>
    <w:rsid w:val="00490E72"/>
    <w:rsid w:val="00491157"/>
    <w:rsid w:val="004921C8"/>
    <w:rsid w:val="004A1B8B"/>
    <w:rsid w:val="004C4102"/>
    <w:rsid w:val="004D153C"/>
    <w:rsid w:val="004D1851"/>
    <w:rsid w:val="004D599D"/>
    <w:rsid w:val="004E2EA5"/>
    <w:rsid w:val="004E3AEB"/>
    <w:rsid w:val="0050223C"/>
    <w:rsid w:val="005243FF"/>
    <w:rsid w:val="00564FBC"/>
    <w:rsid w:val="00565476"/>
    <w:rsid w:val="00582442"/>
    <w:rsid w:val="005F3269"/>
    <w:rsid w:val="005F565D"/>
    <w:rsid w:val="0060367A"/>
    <w:rsid w:val="00623AE3"/>
    <w:rsid w:val="0064737F"/>
    <w:rsid w:val="006535F1"/>
    <w:rsid w:val="0065557D"/>
    <w:rsid w:val="00662984"/>
    <w:rsid w:val="006716BB"/>
    <w:rsid w:val="006B6680"/>
    <w:rsid w:val="006B6DCC"/>
    <w:rsid w:val="006D7EAB"/>
    <w:rsid w:val="00702DEF"/>
    <w:rsid w:val="0070485B"/>
    <w:rsid w:val="00706861"/>
    <w:rsid w:val="00706FBB"/>
    <w:rsid w:val="0075051B"/>
    <w:rsid w:val="00793188"/>
    <w:rsid w:val="00794D34"/>
    <w:rsid w:val="007A1480"/>
    <w:rsid w:val="007D7717"/>
    <w:rsid w:val="00806383"/>
    <w:rsid w:val="00813E5E"/>
    <w:rsid w:val="00826A7A"/>
    <w:rsid w:val="0083581B"/>
    <w:rsid w:val="008378CD"/>
    <w:rsid w:val="00864AFF"/>
    <w:rsid w:val="008925D7"/>
    <w:rsid w:val="008B4A6A"/>
    <w:rsid w:val="008B519B"/>
    <w:rsid w:val="008C7E27"/>
    <w:rsid w:val="009173EF"/>
    <w:rsid w:val="009255D1"/>
    <w:rsid w:val="00932906"/>
    <w:rsid w:val="009445D1"/>
    <w:rsid w:val="00961B0B"/>
    <w:rsid w:val="00961E5D"/>
    <w:rsid w:val="009B38C3"/>
    <w:rsid w:val="009D4809"/>
    <w:rsid w:val="009E17BD"/>
    <w:rsid w:val="009E37AF"/>
    <w:rsid w:val="009E485A"/>
    <w:rsid w:val="009F07F8"/>
    <w:rsid w:val="00A04CEC"/>
    <w:rsid w:val="00A11D10"/>
    <w:rsid w:val="00A27F92"/>
    <w:rsid w:val="00A32257"/>
    <w:rsid w:val="00A36D20"/>
    <w:rsid w:val="00A54DBB"/>
    <w:rsid w:val="00A55622"/>
    <w:rsid w:val="00A83502"/>
    <w:rsid w:val="00AA0C91"/>
    <w:rsid w:val="00AD15B3"/>
    <w:rsid w:val="00AE7061"/>
    <w:rsid w:val="00AF6E49"/>
    <w:rsid w:val="00B04A67"/>
    <w:rsid w:val="00B0583C"/>
    <w:rsid w:val="00B40A81"/>
    <w:rsid w:val="00B44910"/>
    <w:rsid w:val="00B72267"/>
    <w:rsid w:val="00B76EB6"/>
    <w:rsid w:val="00B7737B"/>
    <w:rsid w:val="00B824C8"/>
    <w:rsid w:val="00B84B9D"/>
    <w:rsid w:val="00BC251A"/>
    <w:rsid w:val="00BD032B"/>
    <w:rsid w:val="00BD7849"/>
    <w:rsid w:val="00BE2640"/>
    <w:rsid w:val="00C01189"/>
    <w:rsid w:val="00C14459"/>
    <w:rsid w:val="00C21D85"/>
    <w:rsid w:val="00C374DE"/>
    <w:rsid w:val="00C47AD4"/>
    <w:rsid w:val="00C52D81"/>
    <w:rsid w:val="00C55198"/>
    <w:rsid w:val="00C73201"/>
    <w:rsid w:val="00CA6393"/>
    <w:rsid w:val="00CB18FF"/>
    <w:rsid w:val="00CD0C08"/>
    <w:rsid w:val="00CE03FB"/>
    <w:rsid w:val="00CE433C"/>
    <w:rsid w:val="00CF33F3"/>
    <w:rsid w:val="00D06183"/>
    <w:rsid w:val="00D20CC6"/>
    <w:rsid w:val="00D22C42"/>
    <w:rsid w:val="00D65041"/>
    <w:rsid w:val="00DA45D1"/>
    <w:rsid w:val="00DA6032"/>
    <w:rsid w:val="00DB384B"/>
    <w:rsid w:val="00DC2869"/>
    <w:rsid w:val="00DC34DB"/>
    <w:rsid w:val="00E10E80"/>
    <w:rsid w:val="00E124F0"/>
    <w:rsid w:val="00E560A5"/>
    <w:rsid w:val="00E60F04"/>
    <w:rsid w:val="00E854E4"/>
    <w:rsid w:val="00EB0D6F"/>
    <w:rsid w:val="00EB2232"/>
    <w:rsid w:val="00EC2371"/>
    <w:rsid w:val="00EC5337"/>
    <w:rsid w:val="00ED2630"/>
    <w:rsid w:val="00EF6219"/>
    <w:rsid w:val="00F2150A"/>
    <w:rsid w:val="00F231D8"/>
    <w:rsid w:val="00F26A59"/>
    <w:rsid w:val="00F46C5F"/>
    <w:rsid w:val="00F906BF"/>
    <w:rsid w:val="00F94A63"/>
    <w:rsid w:val="00FA1C28"/>
    <w:rsid w:val="00FB1279"/>
    <w:rsid w:val="00FB7596"/>
    <w:rsid w:val="00FC52FD"/>
    <w:rsid w:val="00FD1F93"/>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BDC"/>
    <w:rPr>
      <w:rFonts w:ascii="Times New Roman" w:hAnsi="Times New Roman"/>
      <w:sz w:val="24"/>
      <w:szCs w:val="24"/>
      <w:lang w:eastAsia="en-GB"/>
    </w:rPr>
  </w:style>
  <w:style w:type="paragraph" w:styleId="Heading1">
    <w:name w:val="heading 1"/>
    <w:basedOn w:val="Normal"/>
    <w:next w:val="Normal"/>
    <w:qFormat/>
    <w:rsid w:val="00813E5E"/>
    <w:pPr>
      <w:keepNext/>
      <w:keepLines/>
      <w:tabs>
        <w:tab w:val="left" w:pos="567"/>
        <w:tab w:val="left" w:pos="1134"/>
        <w:tab w:val="left" w:pos="1701"/>
        <w:tab w:val="left" w:pos="2268"/>
        <w:tab w:val="left" w:pos="2835"/>
      </w:tabs>
      <w:overflowPunct w:val="0"/>
      <w:autoSpaceDE w:val="0"/>
      <w:autoSpaceDN w:val="0"/>
      <w:adjustRightInd w:val="0"/>
      <w:spacing w:before="480"/>
      <w:ind w:left="567" w:hanging="567"/>
      <w:textAlignment w:val="baseline"/>
      <w:outlineLvl w:val="0"/>
    </w:pPr>
    <w:rPr>
      <w:rFonts w:ascii="Calibri" w:hAnsi="Calibri"/>
      <w:b/>
      <w:sz w:val="28"/>
      <w:szCs w:val="20"/>
      <w:lang w:val="en-GB" w:eastAsia="en-US"/>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val="en-GB" w:eastAsia="en-US"/>
    </w:rPr>
  </w:style>
  <w:style w:type="paragraph" w:styleId="TOC4">
    <w:name w:val="toc 4"/>
    <w:basedOn w:val="Normal"/>
    <w:next w:val="Normal"/>
    <w:rsid w:val="00813E5E"/>
    <w:pPr>
      <w:tabs>
        <w:tab w:val="left" w:pos="964"/>
        <w:tab w:val="left" w:pos="8789"/>
        <w:tab w:val="right" w:pos="9639"/>
      </w:tabs>
      <w:overflowPunct w:val="0"/>
      <w:autoSpaceDE w:val="0"/>
      <w:autoSpaceDN w:val="0"/>
      <w:adjustRightInd w:val="0"/>
      <w:spacing w:before="120"/>
      <w:ind w:left="964" w:hanging="964"/>
      <w:textAlignment w:val="baseline"/>
    </w:pPr>
    <w:rPr>
      <w:rFonts w:ascii="Calibri" w:hAnsi="Calibri"/>
      <w:szCs w:val="20"/>
      <w:lang w:val="en-GB" w:eastAsia="en-US"/>
    </w:rPr>
  </w:style>
  <w:style w:type="paragraph" w:styleId="TOC3">
    <w:name w:val="toc 3"/>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val="en-GB" w:eastAsia="en-US"/>
    </w:rPr>
  </w:style>
  <w:style w:type="paragraph" w:styleId="TOC2">
    <w:name w:val="toc 2"/>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val="en-GB" w:eastAsia="en-US"/>
    </w:rPr>
  </w:style>
  <w:style w:type="paragraph" w:styleId="TOC1">
    <w:name w:val="toc 1"/>
    <w:basedOn w:val="Normal"/>
    <w:rsid w:val="00813E5E"/>
    <w:pPr>
      <w:tabs>
        <w:tab w:val="left" w:pos="964"/>
        <w:tab w:val="left" w:leader="dot" w:pos="8789"/>
        <w:tab w:val="right" w:pos="9639"/>
      </w:tabs>
      <w:overflowPunct w:val="0"/>
      <w:autoSpaceDE w:val="0"/>
      <w:autoSpaceDN w:val="0"/>
      <w:adjustRightInd w:val="0"/>
      <w:spacing w:before="240"/>
      <w:ind w:left="964" w:hanging="964"/>
      <w:textAlignment w:val="baseline"/>
    </w:pPr>
    <w:rPr>
      <w:rFonts w:ascii="Calibri" w:hAnsi="Calibri"/>
      <w:szCs w:val="20"/>
      <w:lang w:val="en-GB" w:eastAsia="en-US"/>
    </w:rPr>
  </w:style>
  <w:style w:type="paragraph" w:styleId="TOC7">
    <w:name w:val="toc 7"/>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val="en-GB" w:eastAsia="en-US"/>
    </w:rPr>
  </w:style>
  <w:style w:type="paragraph" w:styleId="TOC6">
    <w:name w:val="toc 6"/>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val="en-GB" w:eastAsia="en-US"/>
    </w:rPr>
  </w:style>
  <w:style w:type="paragraph" w:styleId="TOC5">
    <w:name w:val="toc 5"/>
    <w:basedOn w:val="Normal"/>
    <w:next w:val="Normal"/>
    <w:rsid w:val="00813E5E"/>
    <w:pPr>
      <w:tabs>
        <w:tab w:val="left" w:pos="964"/>
        <w:tab w:val="left" w:leader="dot" w:pos="8789"/>
        <w:tab w:val="right" w:pos="9639"/>
      </w:tabs>
      <w:overflowPunct w:val="0"/>
      <w:autoSpaceDE w:val="0"/>
      <w:autoSpaceDN w:val="0"/>
      <w:adjustRightInd w:val="0"/>
      <w:spacing w:before="120"/>
      <w:ind w:left="964" w:hanging="964"/>
      <w:textAlignment w:val="baseline"/>
    </w:pPr>
    <w:rPr>
      <w:rFonts w:ascii="Calibri" w:hAnsi="Calibri"/>
      <w:szCs w:val="20"/>
      <w:lang w:val="en-GB" w:eastAsia="en-US"/>
    </w:rPr>
  </w:style>
  <w:style w:type="paragraph" w:styleId="Index7">
    <w:name w:val="index 7"/>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698"/>
      <w:textAlignment w:val="baseline"/>
    </w:pPr>
    <w:rPr>
      <w:rFonts w:ascii="Calibri" w:hAnsi="Calibri"/>
      <w:szCs w:val="20"/>
      <w:lang w:val="en-GB" w:eastAsia="en-US"/>
    </w:rPr>
  </w:style>
  <w:style w:type="paragraph" w:styleId="Index6">
    <w:name w:val="index 6"/>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415"/>
      <w:textAlignment w:val="baseline"/>
    </w:pPr>
    <w:rPr>
      <w:rFonts w:ascii="Calibri" w:hAnsi="Calibri"/>
      <w:szCs w:val="20"/>
      <w:lang w:val="en-GB" w:eastAsia="en-US"/>
    </w:rPr>
  </w:style>
  <w:style w:type="paragraph" w:styleId="Index5">
    <w:name w:val="index 5"/>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1132"/>
      <w:textAlignment w:val="baseline"/>
    </w:pPr>
    <w:rPr>
      <w:rFonts w:ascii="Calibri" w:hAnsi="Calibri"/>
      <w:szCs w:val="20"/>
      <w:lang w:val="en-GB" w:eastAsia="en-US"/>
    </w:rPr>
  </w:style>
  <w:style w:type="paragraph" w:styleId="Index4">
    <w:name w:val="index 4"/>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849"/>
      <w:textAlignment w:val="baseline"/>
    </w:pPr>
    <w:rPr>
      <w:rFonts w:ascii="Calibri" w:hAnsi="Calibri"/>
      <w:szCs w:val="20"/>
      <w:lang w:val="en-GB" w:eastAsia="en-US"/>
    </w:rPr>
  </w:style>
  <w:style w:type="paragraph" w:styleId="Index3">
    <w:name w:val="index 3"/>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566"/>
      <w:textAlignment w:val="baseline"/>
    </w:pPr>
    <w:rPr>
      <w:rFonts w:ascii="Calibri" w:hAnsi="Calibri"/>
      <w:szCs w:val="20"/>
      <w:lang w:val="en-GB" w:eastAsia="en-US"/>
    </w:rPr>
  </w:style>
  <w:style w:type="paragraph" w:styleId="Index2">
    <w:name w:val="index 2"/>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ind w:left="283"/>
      <w:textAlignment w:val="baseline"/>
    </w:pPr>
    <w:rPr>
      <w:rFonts w:ascii="Calibri" w:hAnsi="Calibri"/>
      <w:szCs w:val="20"/>
      <w:lang w:val="en-GB" w:eastAsia="en-US"/>
    </w:rPr>
  </w:style>
  <w:style w:type="paragraph" w:styleId="Index1">
    <w:name w:val="index 1"/>
    <w:basedOn w:val="Normal"/>
    <w:next w:val="Normal"/>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val="en-GB" w:eastAsia="en-US"/>
    </w:rPr>
  </w:style>
  <w:style w:type="character" w:styleId="LineNumber">
    <w:name w:val="line number"/>
    <w:basedOn w:val="DefaultParagraphFont"/>
    <w:rsid w:val="004D1851"/>
  </w:style>
  <w:style w:type="paragraph" w:styleId="IndexHeading">
    <w:name w:val="index heading"/>
    <w:basedOn w:val="Normal"/>
    <w:next w:val="Index1"/>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val="en-GB" w:eastAsia="en-US"/>
    </w:rPr>
  </w:style>
  <w:style w:type="paragraph" w:styleId="Footer">
    <w:name w:val="footer"/>
    <w:basedOn w:val="Normal"/>
    <w:rsid w:val="00813E5E"/>
    <w:pPr>
      <w:tabs>
        <w:tab w:val="left" w:pos="5954"/>
        <w:tab w:val="right" w:pos="9639"/>
      </w:tabs>
      <w:overflowPunct w:val="0"/>
      <w:autoSpaceDE w:val="0"/>
      <w:autoSpaceDN w:val="0"/>
      <w:adjustRightInd w:val="0"/>
      <w:textAlignment w:val="baseline"/>
    </w:pPr>
    <w:rPr>
      <w:rFonts w:ascii="Calibri" w:hAnsi="Calibri"/>
      <w:caps/>
      <w:noProof/>
      <w:sz w:val="16"/>
      <w:szCs w:val="20"/>
      <w:lang w:val="en-GB" w:eastAsia="en-US"/>
    </w:rPr>
  </w:style>
  <w:style w:type="paragraph" w:styleId="Header">
    <w:name w:val="header"/>
    <w:aliases w:val="encabezado"/>
    <w:basedOn w:val="Normal"/>
    <w:link w:val="HeaderChar"/>
    <w:uiPriority w:val="99"/>
    <w:rsid w:val="00813E5E"/>
    <w:pPr>
      <w:overflowPunct w:val="0"/>
      <w:autoSpaceDE w:val="0"/>
      <w:autoSpaceDN w:val="0"/>
      <w:adjustRightInd w:val="0"/>
      <w:jc w:val="center"/>
      <w:textAlignment w:val="baseline"/>
    </w:pPr>
    <w:rPr>
      <w:rFonts w:ascii="Calibri" w:hAnsi="Calibri"/>
      <w:sz w:val="18"/>
      <w:szCs w:val="20"/>
      <w:lang w:val="en-GB" w:eastAsia="en-US"/>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 w:val="left" w:pos="567"/>
        <w:tab w:val="left" w:pos="1134"/>
        <w:tab w:val="left" w:pos="1701"/>
        <w:tab w:val="left" w:pos="2268"/>
        <w:tab w:val="left" w:pos="2835"/>
      </w:tabs>
      <w:overflowPunct w:val="0"/>
      <w:autoSpaceDE w:val="0"/>
      <w:autoSpaceDN w:val="0"/>
      <w:adjustRightInd w:val="0"/>
      <w:spacing w:before="120"/>
      <w:ind w:left="256" w:hanging="256"/>
      <w:textAlignment w:val="baseline"/>
    </w:pPr>
    <w:rPr>
      <w:rFonts w:ascii="Calibri" w:hAnsi="Calibri"/>
      <w:szCs w:val="20"/>
      <w:lang w:val="en-GB" w:eastAsia="en-US"/>
    </w:rPr>
  </w:style>
  <w:style w:type="paragraph" w:styleId="NormalIndent">
    <w:name w:val="Normal Indent"/>
    <w:basedOn w:val="Normal"/>
    <w:rsid w:val="00813E5E"/>
    <w:pPr>
      <w:tabs>
        <w:tab w:val="left" w:pos="567"/>
        <w:tab w:val="left" w:pos="1134"/>
        <w:tab w:val="left" w:pos="1701"/>
        <w:tab w:val="left" w:pos="2268"/>
        <w:tab w:val="left" w:pos="2835"/>
      </w:tabs>
      <w:overflowPunct w:val="0"/>
      <w:autoSpaceDE w:val="0"/>
      <w:autoSpaceDN w:val="0"/>
      <w:adjustRightInd w:val="0"/>
      <w:spacing w:before="120"/>
      <w:ind w:left="567"/>
      <w:textAlignment w:val="baseline"/>
    </w:pPr>
    <w:rPr>
      <w:rFonts w:ascii="Calibri" w:hAnsi="Calibri"/>
      <w:szCs w:val="20"/>
      <w:lang w:val="en-GB" w:eastAsia="en-US"/>
    </w:rPr>
  </w:style>
  <w:style w:type="paragraph" w:customStyle="1" w:styleId="enumlev1">
    <w:name w:val="enumlev1"/>
    <w:basedOn w:val="Normal"/>
    <w:rsid w:val="00813E5E"/>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Cs w:val="20"/>
      <w:lang w:val="en-GB" w:eastAsia="en-US"/>
    </w:r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tabs>
        <w:tab w:val="left" w:pos="567"/>
        <w:tab w:val="left" w:pos="1134"/>
        <w:tab w:val="left" w:pos="1701"/>
        <w:tab w:val="left" w:pos="2268"/>
        <w:tab w:val="left" w:pos="2835"/>
      </w:tabs>
      <w:overflowPunct w:val="0"/>
      <w:autoSpaceDE w:val="0"/>
      <w:autoSpaceDN w:val="0"/>
      <w:adjustRightInd w:val="0"/>
      <w:spacing w:before="240"/>
      <w:textAlignment w:val="baseline"/>
    </w:pPr>
    <w:rPr>
      <w:rFonts w:ascii="Calibri" w:hAnsi="Calibri"/>
      <w:szCs w:val="20"/>
      <w:lang w:val="en-GB" w:eastAsia="en-US"/>
    </w:rPr>
  </w:style>
  <w:style w:type="paragraph" w:customStyle="1" w:styleId="Equation">
    <w:name w:val="Equation"/>
    <w:basedOn w:val="Normal"/>
    <w:rsid w:val="004D1851"/>
    <w:pPr>
      <w:tabs>
        <w:tab w:val="left" w:pos="567"/>
        <w:tab w:val="left" w:pos="1134"/>
        <w:tab w:val="left" w:pos="1701"/>
        <w:tab w:val="left" w:pos="2268"/>
        <w:tab w:val="left" w:pos="2835"/>
        <w:tab w:val="center" w:pos="4820"/>
        <w:tab w:val="right" w:pos="9639"/>
      </w:tabs>
      <w:overflowPunct w:val="0"/>
      <w:autoSpaceDE w:val="0"/>
      <w:autoSpaceDN w:val="0"/>
      <w:adjustRightInd w:val="0"/>
      <w:spacing w:before="120"/>
      <w:textAlignment w:val="baseline"/>
    </w:pPr>
    <w:rPr>
      <w:rFonts w:ascii="Calibri" w:hAnsi="Calibri"/>
      <w:szCs w:val="20"/>
      <w:lang w:val="en-GB" w:eastAsia="en-US"/>
    </w:rPr>
  </w:style>
  <w:style w:type="paragraph" w:customStyle="1" w:styleId="Head">
    <w:name w:val="Head"/>
    <w:basedOn w:val="Normal"/>
    <w:rsid w:val="004D1851"/>
    <w:pPr>
      <w:tabs>
        <w:tab w:val="left" w:pos="567"/>
        <w:tab w:val="left" w:pos="1134"/>
        <w:tab w:val="left" w:pos="1701"/>
        <w:tab w:val="left" w:pos="2268"/>
        <w:tab w:val="left" w:pos="2835"/>
        <w:tab w:val="left" w:pos="6663"/>
      </w:tabs>
    </w:pPr>
    <w:rPr>
      <w:rFonts w:ascii="Calibri" w:hAnsi="Calibri"/>
      <w:szCs w:val="20"/>
      <w:lang w:val="en-GB" w:eastAsia="en-US"/>
    </w:rPr>
  </w:style>
  <w:style w:type="paragraph" w:customStyle="1" w:styleId="toc0">
    <w:name w:val="toc 0"/>
    <w:basedOn w:val="Normal"/>
    <w:next w:val="TOC1"/>
    <w:rsid w:val="00813E5E"/>
    <w:pPr>
      <w:tabs>
        <w:tab w:val="right" w:pos="9781"/>
      </w:tabs>
      <w:overflowPunct w:val="0"/>
      <w:autoSpaceDE w:val="0"/>
      <w:autoSpaceDN w:val="0"/>
      <w:adjustRightInd w:val="0"/>
      <w:spacing w:before="120"/>
      <w:textAlignment w:val="baseline"/>
    </w:pPr>
    <w:rPr>
      <w:rFonts w:ascii="Calibri" w:hAnsi="Calibri"/>
      <w:b/>
      <w:szCs w:val="20"/>
      <w:lang w:val="en-GB" w:eastAsia="en-US"/>
    </w:rPr>
  </w:style>
  <w:style w:type="paragraph" w:styleId="List">
    <w:name w:val="List"/>
    <w:basedOn w:val="Normal"/>
    <w:rsid w:val="004D1851"/>
    <w:pPr>
      <w:tabs>
        <w:tab w:val="left" w:pos="567"/>
        <w:tab w:val="left" w:pos="1134"/>
        <w:tab w:val="left" w:pos="1701"/>
        <w:tab w:val="left" w:pos="2127"/>
        <w:tab w:val="left" w:pos="2268"/>
        <w:tab w:val="left" w:pos="2835"/>
      </w:tabs>
      <w:overflowPunct w:val="0"/>
      <w:autoSpaceDE w:val="0"/>
      <w:autoSpaceDN w:val="0"/>
      <w:adjustRightInd w:val="0"/>
      <w:spacing w:before="120"/>
      <w:ind w:left="2127" w:hanging="2127"/>
      <w:textAlignment w:val="baseline"/>
    </w:pPr>
    <w:rPr>
      <w:rFonts w:ascii="Calibri" w:hAnsi="Calibri"/>
      <w:szCs w:val="20"/>
      <w:lang w:val="en-GB" w:eastAsia="en-US"/>
    </w:rPr>
  </w:style>
  <w:style w:type="paragraph" w:customStyle="1" w:styleId="Part">
    <w:name w:val="Part"/>
    <w:basedOn w:val="Normal"/>
    <w:next w:val="Normal"/>
    <w:rsid w:val="00813E5E"/>
    <w:pPr>
      <w:overflowPunct w:val="0"/>
      <w:autoSpaceDE w:val="0"/>
      <w:autoSpaceDN w:val="0"/>
      <w:adjustRightInd w:val="0"/>
      <w:spacing w:before="600"/>
      <w:jc w:val="center"/>
      <w:textAlignment w:val="baseline"/>
    </w:pPr>
    <w:rPr>
      <w:rFonts w:ascii="Calibri" w:hAnsi="Calibri"/>
      <w:caps/>
      <w:sz w:val="28"/>
      <w:szCs w:val="20"/>
      <w:lang w:val="en-GB" w:eastAsia="en-US"/>
    </w:rPr>
  </w:style>
  <w:style w:type="paragraph" w:customStyle="1" w:styleId="Source">
    <w:name w:val="Source"/>
    <w:basedOn w:val="Normal"/>
    <w:next w:val="Title1"/>
    <w:autoRedefine/>
    <w:rsid w:val="00813E5E"/>
    <w:pPr>
      <w:tabs>
        <w:tab w:val="left" w:pos="567"/>
        <w:tab w:val="left" w:pos="1134"/>
        <w:tab w:val="left" w:pos="1701"/>
        <w:tab w:val="left" w:pos="2268"/>
        <w:tab w:val="left" w:pos="2835"/>
      </w:tabs>
      <w:overflowPunct w:val="0"/>
      <w:autoSpaceDE w:val="0"/>
      <w:autoSpaceDN w:val="0"/>
      <w:adjustRightInd w:val="0"/>
      <w:spacing w:before="840"/>
      <w:jc w:val="center"/>
      <w:textAlignment w:val="baseline"/>
    </w:pPr>
    <w:rPr>
      <w:rFonts w:ascii="Calibri" w:hAnsi="Calibri"/>
      <w:b/>
      <w:sz w:val="28"/>
      <w:szCs w:val="20"/>
      <w:lang w:val="en-GB" w:eastAsia="en-US"/>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tabs>
        <w:tab w:val="left" w:pos="567"/>
        <w:tab w:val="left" w:pos="1134"/>
        <w:tab w:val="left" w:pos="1701"/>
        <w:tab w:val="left" w:pos="2268"/>
        <w:tab w:val="left" w:pos="2835"/>
      </w:tabs>
      <w:overflowPunct w:val="0"/>
      <w:autoSpaceDE w:val="0"/>
      <w:autoSpaceDN w:val="0"/>
      <w:adjustRightInd w:val="0"/>
      <w:ind w:left="1134" w:hanging="1134"/>
      <w:textAlignment w:val="baseline"/>
    </w:pPr>
    <w:rPr>
      <w:rFonts w:ascii="Calibri" w:hAnsi="Calibri"/>
      <w:szCs w:val="20"/>
      <w:lang w:val="en-GB" w:eastAsia="en-US"/>
    </w:r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val="en-GB" w:eastAsia="en-US"/>
    </w:rPr>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left" w:pos="851"/>
        <w:tab w:val="left" w:pos="1134"/>
        <w:tab w:val="left" w:pos="1701"/>
        <w:tab w:val="left" w:pos="2268"/>
        <w:tab w:val="left" w:pos="2835"/>
      </w:tabs>
      <w:overflowPunct w:val="0"/>
      <w:autoSpaceDE w:val="0"/>
      <w:autoSpaceDN w:val="0"/>
      <w:adjustRightInd w:val="0"/>
      <w:spacing w:before="120"/>
      <w:textAlignment w:val="baseline"/>
    </w:pPr>
    <w:rPr>
      <w:rFonts w:ascii="Calibri" w:hAnsi="Calibri"/>
      <w:szCs w:val="20"/>
      <w:lang w:val="en-GB" w:eastAsia="en-US"/>
    </w:r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spacing w:before="120"/>
      <w:textAlignment w:val="baseline"/>
    </w:pPr>
    <w:rPr>
      <w:rFonts w:ascii="Calibri" w:hAnsi="Calibri"/>
      <w:b/>
      <w:bCs/>
      <w:szCs w:val="20"/>
      <w:lang w:val="en-GB" w:eastAsia="en-US"/>
    </w:rPr>
  </w:style>
  <w:style w:type="paragraph" w:customStyle="1" w:styleId="ddate">
    <w:name w:val="ddate"/>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textAlignment w:val="baseline"/>
    </w:pPr>
    <w:rPr>
      <w:rFonts w:ascii="Calibri" w:hAnsi="Calibri"/>
      <w:b/>
      <w:bCs/>
      <w:szCs w:val="20"/>
      <w:lang w:val="en-GB" w:eastAsia="en-US"/>
    </w:rPr>
  </w:style>
  <w:style w:type="paragraph" w:customStyle="1" w:styleId="dorlang">
    <w:name w:val="dorlang"/>
    <w:basedOn w:val="Normal"/>
    <w:rsid w:val="004D1851"/>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textAlignment w:val="baseline"/>
    </w:pPr>
    <w:rPr>
      <w:rFonts w:ascii="Calibri" w:hAnsi="Calibri"/>
      <w:b/>
      <w:bCs/>
      <w:szCs w:val="20"/>
      <w:lang w:val="en-GB" w:eastAsia="en-US"/>
    </w:rPr>
  </w:style>
  <w:style w:type="paragraph" w:customStyle="1" w:styleId="AnnexNo">
    <w:name w:val="Annex_No"/>
    <w:basedOn w:val="Normal"/>
    <w:next w:val="Annexref"/>
    <w:rsid w:val="00813E5E"/>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hAnsi="Calibri"/>
      <w:caps/>
      <w:sz w:val="28"/>
      <w:szCs w:val="20"/>
      <w:lang w:val="en-GB" w:eastAsia="en-US"/>
    </w:rPr>
  </w:style>
  <w:style w:type="paragraph" w:customStyle="1" w:styleId="Annextitle">
    <w:name w:val="Annex_title"/>
    <w:basedOn w:val="Normal"/>
    <w:next w:val="Normal"/>
    <w:rsid w:val="00813E5E"/>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szCs w:val="20"/>
      <w:lang w:val="en-GB" w:eastAsia="en-US"/>
    </w:rPr>
  </w:style>
  <w:style w:type="paragraph" w:customStyle="1" w:styleId="Annexref">
    <w:name w:val="Annex_ref"/>
    <w:basedOn w:val="Normal"/>
    <w:next w:val="Annextitle"/>
    <w:rsid w:val="00813E5E"/>
    <w:pPr>
      <w:tabs>
        <w:tab w:val="left" w:pos="567"/>
        <w:tab w:val="left" w:pos="1134"/>
        <w:tab w:val="left" w:pos="1701"/>
        <w:tab w:val="left" w:pos="2268"/>
        <w:tab w:val="left" w:pos="2835"/>
      </w:tabs>
      <w:overflowPunct w:val="0"/>
      <w:autoSpaceDE w:val="0"/>
      <w:autoSpaceDN w:val="0"/>
      <w:adjustRightInd w:val="0"/>
      <w:spacing w:before="120"/>
      <w:jc w:val="center"/>
      <w:textAlignment w:val="baseline"/>
    </w:pPr>
    <w:rPr>
      <w:rFonts w:ascii="Calibri" w:hAnsi="Calibri"/>
      <w:szCs w:val="20"/>
      <w:lang w:val="en-GB" w:eastAsia="en-US"/>
    </w:r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left" w:pos="567"/>
      </w:tabs>
      <w:overflowPunct w:val="0"/>
      <w:autoSpaceDE w:val="0"/>
      <w:autoSpaceDN w:val="0"/>
      <w:adjustRightInd w:val="0"/>
      <w:spacing w:before="160"/>
      <w:ind w:left="567"/>
      <w:textAlignment w:val="baseline"/>
    </w:pPr>
    <w:rPr>
      <w:rFonts w:ascii="Calibri" w:hAnsi="Calibri"/>
      <w:i/>
      <w:szCs w:val="20"/>
      <w:lang w:val="en-GB" w:eastAsia="en-US"/>
    </w:rPr>
  </w:style>
  <w:style w:type="paragraph" w:customStyle="1" w:styleId="Equationlegend">
    <w:name w:val="Equation_legend"/>
    <w:basedOn w:val="Normal"/>
    <w:rsid w:val="004D1851"/>
    <w:pPr>
      <w:tabs>
        <w:tab w:val="left" w:pos="567"/>
        <w:tab w:val="left" w:pos="1134"/>
        <w:tab w:val="right" w:pos="1531"/>
        <w:tab w:val="left" w:pos="1701"/>
        <w:tab w:val="left" w:pos="2268"/>
        <w:tab w:val="left" w:pos="2835"/>
      </w:tabs>
      <w:spacing w:before="80"/>
      <w:ind w:left="1701" w:hanging="1701"/>
    </w:pPr>
    <w:rPr>
      <w:rFonts w:ascii="Calibri" w:hAnsi="Calibri"/>
      <w:szCs w:val="20"/>
      <w:lang w:val="en-GB" w:eastAsia="en-US"/>
    </w:rPr>
  </w:style>
  <w:style w:type="paragraph" w:customStyle="1" w:styleId="Figure">
    <w:name w:val="Figure"/>
    <w:basedOn w:val="Normal"/>
    <w:next w:val="Figuretitle"/>
    <w:rsid w:val="004D1851"/>
    <w:pPr>
      <w:keepNext/>
      <w:keepLines/>
      <w:tabs>
        <w:tab w:val="left" w:pos="567"/>
        <w:tab w:val="left" w:pos="1134"/>
        <w:tab w:val="left" w:pos="1701"/>
        <w:tab w:val="left" w:pos="2268"/>
        <w:tab w:val="left" w:pos="2835"/>
      </w:tabs>
      <w:overflowPunct w:val="0"/>
      <w:autoSpaceDE w:val="0"/>
      <w:autoSpaceDN w:val="0"/>
      <w:adjustRightInd w:val="0"/>
      <w:spacing w:before="120" w:after="120"/>
      <w:jc w:val="center"/>
      <w:textAlignment w:val="baseline"/>
    </w:pPr>
    <w:rPr>
      <w:rFonts w:ascii="Calibri" w:hAnsi="Calibri"/>
      <w:szCs w:val="20"/>
      <w:lang w:val="en-GB" w:eastAsia="en-US"/>
    </w:r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tabs>
        <w:tab w:val="left" w:pos="567"/>
        <w:tab w:val="left" w:pos="1134"/>
        <w:tab w:val="left" w:pos="1701"/>
        <w:tab w:val="left" w:pos="2268"/>
        <w:tab w:val="left" w:pos="2835"/>
      </w:tabs>
      <w:overflowPunct w:val="0"/>
      <w:autoSpaceDE w:val="0"/>
      <w:autoSpaceDN w:val="0"/>
      <w:adjustRightInd w:val="0"/>
      <w:spacing w:before="560" w:after="120"/>
      <w:jc w:val="center"/>
      <w:textAlignment w:val="baseline"/>
    </w:pPr>
    <w:rPr>
      <w:rFonts w:ascii="Calibri" w:hAnsi="Calibri"/>
      <w:caps/>
      <w:szCs w:val="20"/>
      <w:lang w:val="en-GB" w:eastAsia="en-US"/>
    </w:rPr>
  </w:style>
  <w:style w:type="paragraph" w:customStyle="1" w:styleId="Tabletext">
    <w:name w:val="Table_text"/>
    <w:basedOn w:val="Normal"/>
    <w:rsid w:val="00813E5E"/>
    <w:pPr>
      <w:overflowPunct w:val="0"/>
      <w:autoSpaceDE w:val="0"/>
      <w:autoSpaceDN w:val="0"/>
      <w:adjustRightInd w:val="0"/>
      <w:spacing w:before="60" w:after="60"/>
      <w:textAlignment w:val="baseline"/>
    </w:pPr>
    <w:rPr>
      <w:rFonts w:ascii="Calibri" w:hAnsi="Calibri"/>
      <w:sz w:val="22"/>
      <w:szCs w:val="20"/>
      <w:lang w:val="en-GB" w:eastAsia="en-US"/>
    </w:rPr>
  </w:style>
  <w:style w:type="paragraph" w:customStyle="1" w:styleId="Figurelegend">
    <w:name w:val="Figure_legend"/>
    <w:basedOn w:val="Normal"/>
    <w:rsid w:val="004D1851"/>
    <w:pPr>
      <w:keepNext/>
      <w:keepLines/>
      <w:tabs>
        <w:tab w:val="left" w:pos="567"/>
        <w:tab w:val="left" w:pos="1134"/>
        <w:tab w:val="left" w:pos="1701"/>
        <w:tab w:val="left" w:pos="2268"/>
        <w:tab w:val="left" w:pos="2835"/>
      </w:tabs>
      <w:overflowPunct w:val="0"/>
      <w:autoSpaceDE w:val="0"/>
      <w:autoSpaceDN w:val="0"/>
      <w:adjustRightInd w:val="0"/>
      <w:spacing w:before="20" w:after="20"/>
      <w:textAlignment w:val="baseline"/>
    </w:pPr>
    <w:rPr>
      <w:rFonts w:ascii="Calibri" w:hAnsi="Calibri"/>
      <w:sz w:val="18"/>
      <w:szCs w:val="20"/>
      <w:lang w:val="en-GB" w:eastAsia="en-US"/>
    </w:rPr>
  </w:style>
  <w:style w:type="paragraph" w:customStyle="1" w:styleId="FigureNo">
    <w:name w:val="Figure_No"/>
    <w:basedOn w:val="Normal"/>
    <w:next w:val="Figuretitle"/>
    <w:rsid w:val="004D1851"/>
    <w:pPr>
      <w:keepNext/>
      <w:keepLines/>
      <w:tabs>
        <w:tab w:val="left" w:pos="567"/>
        <w:tab w:val="left" w:pos="1134"/>
        <w:tab w:val="left" w:pos="1701"/>
        <w:tab w:val="left" w:pos="2268"/>
        <w:tab w:val="left" w:pos="2835"/>
      </w:tabs>
      <w:overflowPunct w:val="0"/>
      <w:autoSpaceDE w:val="0"/>
      <w:autoSpaceDN w:val="0"/>
      <w:adjustRightInd w:val="0"/>
      <w:spacing w:before="240" w:after="120"/>
      <w:jc w:val="center"/>
      <w:textAlignment w:val="baseline"/>
    </w:pPr>
    <w:rPr>
      <w:rFonts w:ascii="Calibri" w:hAnsi="Calibri"/>
      <w:caps/>
      <w:szCs w:val="20"/>
      <w:lang w:val="en-GB" w:eastAsia="en-U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rFonts w:ascii="Calibri" w:hAnsi="Calibri"/>
      <w:caps/>
      <w:sz w:val="28"/>
      <w:szCs w:val="20"/>
      <w:lang w:val="en-GB" w:eastAsia="en-US"/>
    </w:rPr>
  </w:style>
  <w:style w:type="paragraph" w:customStyle="1" w:styleId="Rectitle">
    <w:name w:val="Rec_title"/>
    <w:basedOn w:val="Normal"/>
    <w:next w:val="Heading1"/>
    <w:rsid w:val="00813E5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Calibri" w:hAnsi="Calibri"/>
      <w:b/>
      <w:sz w:val="28"/>
      <w:szCs w:val="20"/>
      <w:lang w:val="en-GB" w:eastAsia="en-US"/>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tabs>
        <w:tab w:val="left" w:pos="567"/>
        <w:tab w:val="left" w:pos="1134"/>
        <w:tab w:val="left" w:pos="1701"/>
        <w:tab w:val="left" w:pos="2268"/>
        <w:tab w:val="left" w:pos="2835"/>
      </w:tabs>
      <w:overflowPunct w:val="0"/>
      <w:autoSpaceDE w:val="0"/>
      <w:autoSpaceDN w:val="0"/>
      <w:adjustRightInd w:val="0"/>
      <w:spacing w:before="120"/>
      <w:ind w:left="567" w:hanging="567"/>
      <w:textAlignment w:val="baseline"/>
    </w:pPr>
    <w:rPr>
      <w:rFonts w:ascii="Calibri" w:hAnsi="Calibri"/>
      <w:szCs w:val="20"/>
      <w:lang w:val="en-GB" w:eastAsia="en-US"/>
    </w:rPr>
  </w:style>
  <w:style w:type="paragraph" w:customStyle="1" w:styleId="Reftitle">
    <w:name w:val="Ref_title"/>
    <w:basedOn w:val="Normal"/>
    <w:next w:val="Reftext"/>
    <w:rsid w:val="00813E5E"/>
    <w:pPr>
      <w:tabs>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ascii="Calibri" w:hAnsi="Calibri"/>
      <w:caps/>
      <w:sz w:val="28"/>
      <w:szCs w:val="20"/>
      <w:lang w:val="en-GB" w:eastAsia="en-US"/>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8"/>
      <w:szCs w:val="20"/>
      <w:lang w:val="en-GB" w:eastAsia="en-US"/>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tabs>
        <w:tab w:val="left" w:pos="567"/>
        <w:tab w:val="left" w:pos="1134"/>
        <w:tab w:val="left" w:pos="1701"/>
        <w:tab w:val="left" w:pos="2268"/>
        <w:tab w:val="left" w:pos="2835"/>
      </w:tabs>
      <w:overflowPunct w:val="0"/>
      <w:autoSpaceDE w:val="0"/>
      <w:autoSpaceDN w:val="0"/>
      <w:adjustRightInd w:val="0"/>
      <w:spacing w:before="567"/>
      <w:jc w:val="center"/>
      <w:textAlignment w:val="baseline"/>
    </w:pPr>
    <w:rPr>
      <w:rFonts w:ascii="Calibri" w:hAnsi="Calibri"/>
      <w:szCs w:val="20"/>
      <w:lang w:val="en-GB" w:eastAsia="en-US"/>
    </w:rPr>
  </w:style>
  <w:style w:type="paragraph" w:customStyle="1" w:styleId="Artheading">
    <w:name w:val="Art_heading"/>
    <w:basedOn w:val="Normal"/>
    <w:next w:val="Normalaftertitle"/>
    <w:rsid w:val="00813E5E"/>
    <w:pPr>
      <w:overflowPunct w:val="0"/>
      <w:autoSpaceDE w:val="0"/>
      <w:autoSpaceDN w:val="0"/>
      <w:adjustRightInd w:val="0"/>
      <w:spacing w:before="480"/>
      <w:jc w:val="center"/>
      <w:textAlignment w:val="baseline"/>
    </w:pPr>
    <w:rPr>
      <w:rFonts w:ascii="Calibri" w:hAnsi="Calibri"/>
      <w:b/>
      <w:szCs w:val="20"/>
      <w:lang w:val="en-GB" w:eastAsia="en-US"/>
    </w:rPr>
  </w:style>
  <w:style w:type="paragraph" w:customStyle="1" w:styleId="ArtNo">
    <w:name w:val="Art_No"/>
    <w:basedOn w:val="Normal"/>
    <w:next w:val="Arttitle"/>
    <w:rsid w:val="00813E5E"/>
    <w:pPr>
      <w:overflowPunct w:val="0"/>
      <w:autoSpaceDE w:val="0"/>
      <w:autoSpaceDN w:val="0"/>
      <w:adjustRightInd w:val="0"/>
      <w:spacing w:before="600"/>
      <w:jc w:val="center"/>
      <w:textAlignment w:val="baseline"/>
    </w:pPr>
    <w:rPr>
      <w:rFonts w:ascii="Calibri" w:hAnsi="Calibri"/>
      <w:caps/>
      <w:sz w:val="28"/>
      <w:szCs w:val="20"/>
      <w:lang w:val="en-GB" w:eastAsia="en-US"/>
    </w:rPr>
  </w:style>
  <w:style w:type="paragraph" w:customStyle="1" w:styleId="Arttitle">
    <w:name w:val="Art_title"/>
    <w:basedOn w:val="Normal"/>
    <w:next w:val="Normal"/>
    <w:rsid w:val="00813E5E"/>
    <w:pPr>
      <w:overflowPunct w:val="0"/>
      <w:autoSpaceDE w:val="0"/>
      <w:autoSpaceDN w:val="0"/>
      <w:adjustRightInd w:val="0"/>
      <w:spacing w:before="240" w:after="240"/>
      <w:jc w:val="center"/>
      <w:textAlignment w:val="baseline"/>
    </w:pPr>
    <w:rPr>
      <w:rFonts w:ascii="Calibri" w:hAnsi="Calibri"/>
      <w:b/>
      <w:sz w:val="28"/>
      <w:szCs w:val="20"/>
      <w:lang w:val="en-GB" w:eastAsia="en-US"/>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left" w:pos="794"/>
        <w:tab w:val="left" w:pos="1191"/>
        <w:tab w:val="left" w:pos="1588"/>
        <w:tab w:val="left" w:pos="1985"/>
      </w:tabs>
      <w:spacing w:before="560" w:after="120"/>
      <w:jc w:val="center"/>
    </w:pPr>
    <w:rPr>
      <w:caps/>
      <w:szCs w:val="20"/>
      <w:lang w:val="en-GB" w:eastAsia="en-US"/>
    </w:rPr>
  </w:style>
  <w:style w:type="character" w:customStyle="1" w:styleId="HeaderChar">
    <w:name w:val="Header Char"/>
    <w:aliases w:val="encabezado Char"/>
    <w:basedOn w:val="DefaultParagraphFont"/>
    <w:link w:val="Header"/>
    <w:rsid w:val="00EF6219"/>
    <w:rPr>
      <w:rFonts w:ascii="Calibri" w:hAnsi="Calibri"/>
      <w:sz w:val="18"/>
      <w:lang w:val="en-GB" w:eastAsia="en-US"/>
    </w:rPr>
  </w:style>
  <w:style w:type="paragraph" w:styleId="ListParagraph">
    <w:name w:val="List Paragraph"/>
    <w:basedOn w:val="Normal"/>
    <w:uiPriority w:val="34"/>
    <w:qFormat/>
    <w:rsid w:val="00306BDC"/>
    <w:pPr>
      <w:ind w:left="720"/>
    </w:pPr>
    <w:rPr>
      <w:rFonts w:asciiTheme="minorHAnsi" w:eastAsiaTheme="minorHAnsi" w:hAnsiTheme="minorHAnsi" w:cstheme="minorBidi"/>
      <w:lang w:eastAsia="en-US"/>
    </w:rPr>
  </w:style>
  <w:style w:type="paragraph" w:styleId="NormalWeb">
    <w:name w:val="Normal (Web)"/>
    <w:basedOn w:val="Normal"/>
    <w:uiPriority w:val="99"/>
    <w:unhideWhenUsed/>
    <w:rsid w:val="00306BDC"/>
    <w:pPr>
      <w:spacing w:before="100" w:beforeAutospacing="1" w:after="100" w:afterAutospacing="1"/>
    </w:pPr>
    <w:rPr>
      <w:rFonts w:eastAsiaTheme="minorEastAsia"/>
      <w:color w:val="000000"/>
      <w:lang w:val="en-GB" w:eastAsia="zh-CN"/>
    </w:rPr>
  </w:style>
  <w:style w:type="paragraph" w:styleId="Revision">
    <w:name w:val="Revision"/>
    <w:hidden/>
    <w:uiPriority w:val="99"/>
    <w:semiHidden/>
    <w:rsid w:val="00A11D10"/>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334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641">
      <w:bodyDiv w:val="1"/>
      <w:marLeft w:val="0"/>
      <w:marRight w:val="0"/>
      <w:marTop w:val="0"/>
      <w:marBottom w:val="0"/>
      <w:divBdr>
        <w:top w:val="none" w:sz="0" w:space="0" w:color="auto"/>
        <w:left w:val="none" w:sz="0" w:space="0" w:color="auto"/>
        <w:bottom w:val="none" w:sz="0" w:space="0" w:color="auto"/>
        <w:right w:val="none" w:sz="0" w:space="0" w:color="auto"/>
      </w:divBdr>
    </w:div>
    <w:div w:id="127629761">
      <w:bodyDiv w:val="1"/>
      <w:marLeft w:val="0"/>
      <w:marRight w:val="0"/>
      <w:marTop w:val="0"/>
      <w:marBottom w:val="0"/>
      <w:divBdr>
        <w:top w:val="none" w:sz="0" w:space="0" w:color="auto"/>
        <w:left w:val="none" w:sz="0" w:space="0" w:color="auto"/>
        <w:bottom w:val="none" w:sz="0" w:space="0" w:color="auto"/>
        <w:right w:val="none" w:sz="0" w:space="0" w:color="auto"/>
      </w:divBdr>
    </w:div>
    <w:div w:id="1064134704">
      <w:bodyDiv w:val="1"/>
      <w:marLeft w:val="0"/>
      <w:marRight w:val="0"/>
      <w:marTop w:val="0"/>
      <w:marBottom w:val="0"/>
      <w:divBdr>
        <w:top w:val="none" w:sz="0" w:space="0" w:color="auto"/>
        <w:left w:val="none" w:sz="0" w:space="0" w:color="auto"/>
        <w:bottom w:val="none" w:sz="0" w:space="0" w:color="auto"/>
        <w:right w:val="none" w:sz="0" w:space="0" w:color="auto"/>
      </w:divBdr>
    </w:div>
    <w:div w:id="1817985316">
      <w:bodyDiv w:val="1"/>
      <w:marLeft w:val="0"/>
      <w:marRight w:val="0"/>
      <w:marTop w:val="0"/>
      <w:marBottom w:val="0"/>
      <w:divBdr>
        <w:top w:val="none" w:sz="0" w:space="0" w:color="auto"/>
        <w:left w:val="none" w:sz="0" w:space="0" w:color="auto"/>
        <w:bottom w:val="none" w:sz="0" w:space="0" w:color="auto"/>
        <w:right w:val="none" w:sz="0" w:space="0" w:color="auto"/>
      </w:divBdr>
    </w:div>
    <w:div w:id="1838154707">
      <w:bodyDiv w:val="1"/>
      <w:marLeft w:val="0"/>
      <w:marRight w:val="0"/>
      <w:marTop w:val="0"/>
      <w:marBottom w:val="0"/>
      <w:divBdr>
        <w:top w:val="none" w:sz="0" w:space="0" w:color="auto"/>
        <w:left w:val="none" w:sz="0" w:space="0" w:color="auto"/>
        <w:bottom w:val="none" w:sz="0" w:space="0" w:color="auto"/>
        <w:right w:val="none" w:sz="0" w:space="0" w:color="auto"/>
      </w:divBdr>
    </w:div>
    <w:div w:id="1945382367">
      <w:bodyDiv w:val="1"/>
      <w:marLeft w:val="0"/>
      <w:marRight w:val="0"/>
      <w:marTop w:val="0"/>
      <w:marBottom w:val="0"/>
      <w:divBdr>
        <w:top w:val="none" w:sz="0" w:space="0" w:color="auto"/>
        <w:left w:val="none" w:sz="0" w:space="0" w:color="auto"/>
        <w:bottom w:val="none" w:sz="0" w:space="0" w:color="auto"/>
        <w:right w:val="none" w:sz="0" w:space="0" w:color="auto"/>
      </w:divBdr>
    </w:div>
    <w:div w:id="2008437761">
      <w:bodyDiv w:val="1"/>
      <w:marLeft w:val="0"/>
      <w:marRight w:val="0"/>
      <w:marTop w:val="0"/>
      <w:marBottom w:val="0"/>
      <w:divBdr>
        <w:top w:val="none" w:sz="0" w:space="0" w:color="auto"/>
        <w:left w:val="none" w:sz="0" w:space="0" w:color="auto"/>
        <w:bottom w:val="none" w:sz="0" w:space="0" w:color="auto"/>
        <w:right w:val="none" w:sz="0" w:space="0" w:color="auto"/>
      </w:divBdr>
    </w:div>
    <w:div w:id="20172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2-CL-INF-0013/en" TargetMode="External"/><Relationship Id="rId4" Type="http://schemas.openxmlformats.org/officeDocument/2006/relationships/settings" Target="settings.xml"/><Relationship Id="rId9" Type="http://schemas.openxmlformats.org/officeDocument/2006/relationships/hyperlink" Target="https://www.itu.int/en/council/Documents/basic-texts/DEC-005-E.pdf" TargetMode="External"/><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C15A4-CDFE-4D29-B751-7C01D112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1635</Words>
  <Characters>9086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Draft financial plan for 2024-2027</vt:lpstr>
    </vt:vector>
  </TitlesOfParts>
  <Manager>General Secretariat - Pool</Manager>
  <Company>International Telecommunication Union (ITU)</Company>
  <LinksUpToDate>false</LinksUpToDate>
  <CharactersWithSpaces>10700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financial plan for 2024-2027</dc:title>
  <dc:subject>Council 2022</dc:subject>
  <dc:creator>Brouard, Ricarda</dc:creator>
  <cp:keywords>C2022, C22, Council-22</cp:keywords>
  <dc:description/>
  <cp:lastModifiedBy>Brouard, Ricarda</cp:lastModifiedBy>
  <cp:revision>2</cp:revision>
  <cp:lastPrinted>2000-07-18T13:30:00Z</cp:lastPrinted>
  <dcterms:created xsi:type="dcterms:W3CDTF">2022-03-23T19:02:00Z</dcterms:created>
  <dcterms:modified xsi:type="dcterms:W3CDTF">2022-03-23T19:02:00Z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