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D341EB" w14:paraId="55D188D0" w14:textId="77777777">
        <w:trPr>
          <w:cantSplit/>
        </w:trPr>
        <w:tc>
          <w:tcPr>
            <w:tcW w:w="6912" w:type="dxa"/>
          </w:tcPr>
          <w:p w14:paraId="7E266F64" w14:textId="77777777" w:rsidR="00520F36" w:rsidRPr="00D341EB" w:rsidRDefault="00520F36" w:rsidP="00025BC2">
            <w:pPr>
              <w:spacing w:before="360"/>
            </w:pPr>
            <w:bookmarkStart w:id="0" w:name="dc06"/>
            <w:bookmarkEnd w:id="0"/>
            <w:r w:rsidRPr="00D341EB">
              <w:rPr>
                <w:b/>
                <w:bCs/>
                <w:sz w:val="30"/>
                <w:szCs w:val="30"/>
              </w:rPr>
              <w:t>Conseil 20</w:t>
            </w:r>
            <w:r w:rsidR="009C353C" w:rsidRPr="00D341EB">
              <w:rPr>
                <w:b/>
                <w:bCs/>
                <w:sz w:val="30"/>
                <w:szCs w:val="30"/>
              </w:rPr>
              <w:t>2</w:t>
            </w:r>
            <w:r w:rsidR="0083391C" w:rsidRPr="00D341EB">
              <w:rPr>
                <w:b/>
                <w:bCs/>
                <w:sz w:val="30"/>
                <w:szCs w:val="30"/>
              </w:rPr>
              <w:t>2</w:t>
            </w:r>
            <w:r w:rsidRPr="00D341EB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D341EB">
              <w:rPr>
                <w:b/>
                <w:bCs/>
                <w:sz w:val="28"/>
                <w:szCs w:val="28"/>
              </w:rPr>
              <w:t>Genève</w:t>
            </w:r>
            <w:r w:rsidRPr="00D341EB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D341EB">
              <w:rPr>
                <w:b/>
                <w:bCs/>
                <w:sz w:val="28"/>
                <w:szCs w:val="28"/>
              </w:rPr>
              <w:t>21</w:t>
            </w:r>
            <w:r w:rsidRPr="00D341EB">
              <w:rPr>
                <w:b/>
                <w:bCs/>
                <w:sz w:val="28"/>
                <w:szCs w:val="28"/>
              </w:rPr>
              <w:t>-</w:t>
            </w:r>
            <w:r w:rsidR="0083391C" w:rsidRPr="00D341EB">
              <w:rPr>
                <w:b/>
                <w:bCs/>
                <w:sz w:val="28"/>
                <w:szCs w:val="28"/>
              </w:rPr>
              <w:t>31</w:t>
            </w:r>
            <w:r w:rsidR="00106B19" w:rsidRPr="00D341EB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D341EB">
              <w:rPr>
                <w:b/>
                <w:bCs/>
                <w:sz w:val="28"/>
                <w:szCs w:val="28"/>
              </w:rPr>
              <w:t>mars</w:t>
            </w:r>
            <w:r w:rsidRPr="00D341EB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D341EB">
              <w:rPr>
                <w:b/>
                <w:bCs/>
                <w:sz w:val="28"/>
                <w:szCs w:val="28"/>
              </w:rPr>
              <w:t>2</w:t>
            </w:r>
            <w:r w:rsidR="0083391C" w:rsidRPr="00D341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238C3B74" w14:textId="77777777" w:rsidR="00520F36" w:rsidRPr="00D341EB" w:rsidRDefault="009C353C" w:rsidP="00025BC2">
            <w:pPr>
              <w:spacing w:before="0"/>
            </w:pPr>
            <w:bookmarkStart w:id="1" w:name="ditulogo"/>
            <w:bookmarkEnd w:id="1"/>
            <w:r w:rsidRPr="00D341EB">
              <w:rPr>
                <w:noProof/>
                <w:lang w:val="en-US"/>
              </w:rPr>
              <w:drawing>
                <wp:inline distT="0" distB="0" distL="0" distR="0" wp14:anchorId="655578B1" wp14:editId="1B03F95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D341EB" w14:paraId="21CBCE0B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27A6BD4" w14:textId="77777777" w:rsidR="00520F36" w:rsidRPr="00D341EB" w:rsidRDefault="00520F36" w:rsidP="00025BC2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D877CCF" w14:textId="77777777" w:rsidR="00520F36" w:rsidRPr="00D341EB" w:rsidRDefault="00520F36" w:rsidP="00025BC2">
            <w:pPr>
              <w:spacing w:before="0"/>
              <w:rPr>
                <w:b/>
                <w:bCs/>
              </w:rPr>
            </w:pPr>
          </w:p>
        </w:tc>
      </w:tr>
      <w:tr w:rsidR="00520F36" w:rsidRPr="00D341EB" w14:paraId="03A9645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2AC425B" w14:textId="77777777" w:rsidR="00520F36" w:rsidRPr="00D341EB" w:rsidRDefault="00520F36" w:rsidP="00025BC2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57A660A" w14:textId="77777777" w:rsidR="00520F36" w:rsidRPr="00D341EB" w:rsidRDefault="00520F36" w:rsidP="00025BC2">
            <w:pPr>
              <w:spacing w:before="0"/>
              <w:rPr>
                <w:b/>
                <w:bCs/>
              </w:rPr>
            </w:pPr>
          </w:p>
        </w:tc>
      </w:tr>
      <w:tr w:rsidR="00520F36" w:rsidRPr="00D341EB" w14:paraId="2B88A073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147AA410" w14:textId="3CFA1470" w:rsidR="00520F36" w:rsidRPr="00D341EB" w:rsidRDefault="006C443C" w:rsidP="00025BC2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D341EB">
              <w:rPr>
                <w:rFonts w:cs="Times"/>
                <w:b/>
                <w:bCs/>
                <w:szCs w:val="24"/>
              </w:rPr>
              <w:t>Point de l'ordre du jour: ADM 17</w:t>
            </w:r>
          </w:p>
        </w:tc>
        <w:tc>
          <w:tcPr>
            <w:tcW w:w="3261" w:type="dxa"/>
          </w:tcPr>
          <w:p w14:paraId="3FF4C078" w14:textId="72D79774" w:rsidR="00520F36" w:rsidRPr="00D341EB" w:rsidRDefault="00520F36" w:rsidP="00025BC2">
            <w:pPr>
              <w:spacing w:before="0"/>
              <w:rPr>
                <w:b/>
                <w:bCs/>
              </w:rPr>
            </w:pPr>
            <w:r w:rsidRPr="00D341EB">
              <w:rPr>
                <w:b/>
                <w:bCs/>
              </w:rPr>
              <w:t>Document C</w:t>
            </w:r>
            <w:r w:rsidR="009C353C" w:rsidRPr="00D341EB">
              <w:rPr>
                <w:b/>
                <w:bCs/>
              </w:rPr>
              <w:t>2</w:t>
            </w:r>
            <w:r w:rsidR="0083391C" w:rsidRPr="00D341EB">
              <w:rPr>
                <w:b/>
                <w:bCs/>
              </w:rPr>
              <w:t>2</w:t>
            </w:r>
            <w:r w:rsidRPr="00D341EB">
              <w:rPr>
                <w:b/>
                <w:bCs/>
              </w:rPr>
              <w:t>/</w:t>
            </w:r>
            <w:r w:rsidR="00E40B70">
              <w:rPr>
                <w:b/>
                <w:bCs/>
              </w:rPr>
              <w:t>62</w:t>
            </w:r>
            <w:r w:rsidRPr="00D341EB">
              <w:rPr>
                <w:b/>
                <w:bCs/>
              </w:rPr>
              <w:t>-F</w:t>
            </w:r>
          </w:p>
        </w:tc>
      </w:tr>
      <w:tr w:rsidR="00520F36" w:rsidRPr="00D341EB" w14:paraId="27E5EC94" w14:textId="77777777">
        <w:trPr>
          <w:cantSplit/>
          <w:trHeight w:val="20"/>
        </w:trPr>
        <w:tc>
          <w:tcPr>
            <w:tcW w:w="6912" w:type="dxa"/>
            <w:vMerge/>
          </w:tcPr>
          <w:p w14:paraId="338021FC" w14:textId="77777777" w:rsidR="00520F36" w:rsidRPr="00D341EB" w:rsidRDefault="00520F36" w:rsidP="00025BC2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5A4A1F4" w14:textId="20B00BF5" w:rsidR="00520F36" w:rsidRPr="00D341EB" w:rsidRDefault="00E40B70" w:rsidP="00025BC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11 février </w:t>
            </w:r>
            <w:r w:rsidR="00520F36" w:rsidRPr="00D341EB">
              <w:rPr>
                <w:b/>
                <w:bCs/>
              </w:rPr>
              <w:t>20</w:t>
            </w:r>
            <w:r w:rsidR="009C353C" w:rsidRPr="00D341EB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</w:tr>
      <w:tr w:rsidR="00520F36" w:rsidRPr="00D341EB" w14:paraId="292926CB" w14:textId="77777777">
        <w:trPr>
          <w:cantSplit/>
          <w:trHeight w:val="20"/>
        </w:trPr>
        <w:tc>
          <w:tcPr>
            <w:tcW w:w="6912" w:type="dxa"/>
            <w:vMerge/>
          </w:tcPr>
          <w:p w14:paraId="3AB1A290" w14:textId="77777777" w:rsidR="00520F36" w:rsidRPr="00D341EB" w:rsidRDefault="00520F36" w:rsidP="00025BC2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BB63C03" w14:textId="77777777" w:rsidR="00520F36" w:rsidRPr="00D341EB" w:rsidRDefault="00520F36" w:rsidP="00025BC2">
            <w:pPr>
              <w:spacing w:before="0"/>
              <w:rPr>
                <w:b/>
                <w:bCs/>
              </w:rPr>
            </w:pPr>
            <w:r w:rsidRPr="00D341EB">
              <w:rPr>
                <w:b/>
                <w:bCs/>
              </w:rPr>
              <w:t>Original: anglais</w:t>
            </w:r>
          </w:p>
        </w:tc>
      </w:tr>
      <w:tr w:rsidR="00520F36" w:rsidRPr="00D341EB" w14:paraId="6EF55B83" w14:textId="77777777">
        <w:trPr>
          <w:cantSplit/>
        </w:trPr>
        <w:tc>
          <w:tcPr>
            <w:tcW w:w="10173" w:type="dxa"/>
            <w:gridSpan w:val="2"/>
          </w:tcPr>
          <w:p w14:paraId="2AC1FC36" w14:textId="41B1C35B" w:rsidR="00520F36" w:rsidRPr="00D341EB" w:rsidRDefault="00E40B70" w:rsidP="00025BC2">
            <w:pPr>
              <w:pStyle w:val="Source"/>
            </w:pPr>
            <w:bookmarkStart w:id="6" w:name="dsource" w:colFirst="0" w:colLast="0"/>
            <w:bookmarkEnd w:id="5"/>
            <w:r>
              <w:t>Rapport du Secrétaire général</w:t>
            </w:r>
          </w:p>
        </w:tc>
      </w:tr>
      <w:tr w:rsidR="00520F36" w:rsidRPr="00D341EB" w14:paraId="72E50E57" w14:textId="77777777">
        <w:trPr>
          <w:cantSplit/>
        </w:trPr>
        <w:tc>
          <w:tcPr>
            <w:tcW w:w="10173" w:type="dxa"/>
            <w:gridSpan w:val="2"/>
          </w:tcPr>
          <w:p w14:paraId="55C49DC2" w14:textId="77C1D189" w:rsidR="00520F36" w:rsidRPr="00D341EB" w:rsidRDefault="00E40B70" w:rsidP="00025BC2">
            <w:pPr>
              <w:pStyle w:val="Title1"/>
            </w:pPr>
            <w:bookmarkStart w:id="7" w:name="dtitle1" w:colFirst="0" w:colLast="0"/>
            <w:bookmarkStart w:id="8" w:name="_Hlk97646151"/>
            <w:bookmarkEnd w:id="6"/>
            <w:r>
              <w:t xml:space="preserve">NOUVELLE APPROCHE RELATIVE </w:t>
            </w:r>
            <w:r w:rsidR="00D16E4D">
              <w:t>À</w:t>
            </w:r>
            <w:r>
              <w:t xml:space="preserve"> LA GESTION DES RISQUES FINANCIERS </w:t>
            </w:r>
            <w:r w:rsidR="00B51BC1">
              <w:br/>
            </w:r>
            <w:r w:rsidR="00B0508A">
              <w:t>li</w:t>
            </w:r>
            <w:r w:rsidR="00D5090E">
              <w:t>É</w:t>
            </w:r>
            <w:r w:rsidR="00B0508A">
              <w:t>s à</w:t>
            </w:r>
            <w:r>
              <w:t xml:space="preserve"> LA CONSTRUCTION</w:t>
            </w:r>
            <w:bookmarkEnd w:id="8"/>
          </w:p>
        </w:tc>
      </w:tr>
      <w:bookmarkEnd w:id="7"/>
    </w:tbl>
    <w:p w14:paraId="58640AE7" w14:textId="77777777" w:rsidR="00520F36" w:rsidRPr="00D341EB" w:rsidRDefault="00520F36" w:rsidP="00025BC2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D341EB" w14:paraId="620D9FC3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1DF5" w14:textId="77777777" w:rsidR="00520F36" w:rsidRPr="00D341EB" w:rsidRDefault="00520F36" w:rsidP="00025BC2">
            <w:pPr>
              <w:pStyle w:val="Headingb"/>
            </w:pPr>
            <w:r w:rsidRPr="00D341EB">
              <w:t>Résumé</w:t>
            </w:r>
          </w:p>
          <w:p w14:paraId="3FA0F1E8" w14:textId="556B6BFE" w:rsidR="00520F36" w:rsidRPr="00D341EB" w:rsidRDefault="00D16E4D" w:rsidP="00F6054F">
            <w:r>
              <w:t>À</w:t>
            </w:r>
            <w:r w:rsidR="00E40B70">
              <w:t xml:space="preserve"> la suite d'une contribution soumise par les </w:t>
            </w:r>
            <w:r>
              <w:t>É</w:t>
            </w:r>
            <w:r w:rsidR="00E40B70">
              <w:t xml:space="preserve">tats-Unis </w:t>
            </w:r>
            <w:r w:rsidR="00B0508A">
              <w:t xml:space="preserve">d'Amérique </w:t>
            </w:r>
            <w:r w:rsidR="00E40B70">
              <w:t xml:space="preserve">à la dernière réunion du </w:t>
            </w:r>
            <w:r w:rsidR="00B0508A" w:rsidRPr="00B0508A">
              <w:t>Groupe de travail du Conseil sur les ressources financières et les ressources humaines (GTC-FHR)</w:t>
            </w:r>
            <w:r w:rsidR="00E40B70">
              <w:t xml:space="preserve">, dans laquelle il était demandé au secrétariat de </w:t>
            </w:r>
            <w:r w:rsidR="00E40B70" w:rsidRPr="00D341EB">
              <w:rPr>
                <w:rFonts w:asciiTheme="minorHAnsi" w:hAnsiTheme="minorHAnsi" w:cstheme="minorHAnsi"/>
              </w:rPr>
              <w:t>recueillir davantage d'informations sur les coûts éventuels et d'envisager de recourir à une police d'assurance, afin de transférer les risques</w:t>
            </w:r>
            <w:r w:rsidR="00E40B70" w:rsidRPr="00D341EB">
              <w:rPr>
                <w:color w:val="000000"/>
              </w:rPr>
              <w:t xml:space="preserve"> comme solution de remplacement </w:t>
            </w:r>
            <w:r w:rsidR="00E40B70" w:rsidRPr="00D341EB">
              <w:rPr>
                <w:rFonts w:asciiTheme="minorHAnsi" w:hAnsiTheme="minorHAnsi" w:cstheme="minorHAnsi"/>
              </w:rPr>
              <w:t xml:space="preserve">au Fonds pour le registre des risques, et de faire rapport </w:t>
            </w:r>
            <w:r w:rsidR="00E40B70">
              <w:rPr>
                <w:rFonts w:asciiTheme="minorHAnsi" w:hAnsiTheme="minorHAnsi" w:cstheme="minorHAnsi"/>
              </w:rPr>
              <w:t xml:space="preserve">au Conseil à sa session de 2022 </w:t>
            </w:r>
            <w:r w:rsidR="00E40B70" w:rsidRPr="00D341EB">
              <w:rPr>
                <w:rFonts w:asciiTheme="minorHAnsi" w:hAnsiTheme="minorHAnsi" w:cstheme="minorHAnsi"/>
              </w:rPr>
              <w:t>à ce sujet</w:t>
            </w:r>
            <w:r w:rsidR="00E40B70">
              <w:rPr>
                <w:rFonts w:asciiTheme="minorHAnsi" w:hAnsiTheme="minorHAnsi" w:cstheme="minorHAnsi"/>
              </w:rPr>
              <w:t xml:space="preserve">, le secrétariat a </w:t>
            </w:r>
            <w:r w:rsidR="00F6054F">
              <w:rPr>
                <w:rFonts w:asciiTheme="minorHAnsi" w:hAnsiTheme="minorHAnsi" w:cstheme="minorHAnsi"/>
              </w:rPr>
              <w:t xml:space="preserve">consulté des courtiers et contacté d'autres organisations internationales basées à Genève </w:t>
            </w:r>
            <w:r w:rsidR="00B0508A">
              <w:rPr>
                <w:rFonts w:asciiTheme="minorHAnsi" w:hAnsiTheme="minorHAnsi" w:cstheme="minorHAnsi"/>
              </w:rPr>
              <w:t xml:space="preserve">qui ont récemment entrepris </w:t>
            </w:r>
            <w:r w:rsidR="00F6054F">
              <w:rPr>
                <w:rFonts w:asciiTheme="minorHAnsi" w:hAnsiTheme="minorHAnsi" w:cstheme="minorHAnsi"/>
              </w:rPr>
              <w:t>des projets de construction.</w:t>
            </w:r>
          </w:p>
          <w:p w14:paraId="1C6D2A13" w14:textId="77777777" w:rsidR="00520F36" w:rsidRPr="00D341EB" w:rsidRDefault="00520F36" w:rsidP="00025BC2">
            <w:pPr>
              <w:pStyle w:val="Headingb"/>
            </w:pPr>
            <w:r w:rsidRPr="00D341EB">
              <w:t>Suite à donner</w:t>
            </w:r>
          </w:p>
          <w:p w14:paraId="22F3D7BF" w14:textId="7A6B4C2E" w:rsidR="00520F36" w:rsidRPr="00D341EB" w:rsidRDefault="006C443C" w:rsidP="00025BC2">
            <w:r w:rsidRPr="00D341EB">
              <w:t xml:space="preserve">Le Conseil est invité à </w:t>
            </w:r>
            <w:r w:rsidRPr="00D341EB">
              <w:rPr>
                <w:b/>
                <w:bCs/>
              </w:rPr>
              <w:t>prendre note</w:t>
            </w:r>
            <w:r w:rsidRPr="00D341EB">
              <w:t xml:space="preserve"> du </w:t>
            </w:r>
            <w:r w:rsidR="00F6054F">
              <w:t>présent document et de</w:t>
            </w:r>
            <w:r w:rsidR="00B0508A">
              <w:t xml:space="preserve"> la </w:t>
            </w:r>
            <w:r w:rsidR="00F6054F">
              <w:t>recommandation qu'il contient</w:t>
            </w:r>
            <w:r w:rsidRPr="00D341EB">
              <w:t>.</w:t>
            </w:r>
          </w:p>
          <w:p w14:paraId="7FA880BE" w14:textId="77777777" w:rsidR="00520F36" w:rsidRPr="00D341EB" w:rsidRDefault="00520F36" w:rsidP="00025BC2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D341EB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7E5FE85D" w14:textId="77777777" w:rsidR="00520F36" w:rsidRPr="00D341EB" w:rsidRDefault="00520F36" w:rsidP="00025BC2">
            <w:pPr>
              <w:pStyle w:val="Headingb"/>
            </w:pPr>
            <w:r w:rsidRPr="00D341EB">
              <w:t>Références</w:t>
            </w:r>
          </w:p>
          <w:p w14:paraId="1297BBD5" w14:textId="5B9F5B43" w:rsidR="00520F36" w:rsidRPr="00D341EB" w:rsidRDefault="00F6054F" w:rsidP="00025BC2">
            <w:pPr>
              <w:spacing w:after="120"/>
              <w:rPr>
                <w:i/>
                <w:iCs/>
              </w:rPr>
            </w:pPr>
            <w:bookmarkStart w:id="9" w:name="lt_pId021"/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Document </w:t>
            </w:r>
            <w:hyperlink r:id="rId8" w:history="1">
              <w:r>
                <w:rPr>
                  <w:rStyle w:val="Hyperlink"/>
                  <w:rFonts w:asciiTheme="minorHAnsi" w:hAnsiTheme="minorHAnsi" w:cstheme="minorHAnsi"/>
                  <w:szCs w:val="24"/>
                </w:rPr>
                <w:t>CWG-FHR-15/21</w:t>
              </w:r>
            </w:hyperlink>
            <w:bookmarkEnd w:id="9"/>
          </w:p>
        </w:tc>
      </w:tr>
    </w:tbl>
    <w:p w14:paraId="520B1314" w14:textId="570884C6" w:rsidR="009F669F" w:rsidRDefault="009F669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14:paraId="0448E2C1" w14:textId="2CD83BE2" w:rsidR="006C443C" w:rsidRPr="00D341EB" w:rsidRDefault="006C443C" w:rsidP="00025BC2">
      <w:pPr>
        <w:pStyle w:val="Heading1"/>
      </w:pPr>
      <w:r w:rsidRPr="00D341EB">
        <w:lastRenderedPageBreak/>
        <w:t>1</w:t>
      </w:r>
      <w:r w:rsidRPr="00D341EB">
        <w:tab/>
      </w:r>
      <w:r w:rsidR="00F6054F">
        <w:t>Introduction</w:t>
      </w:r>
    </w:p>
    <w:p w14:paraId="487C1CA6" w14:textId="084F0E85" w:rsidR="006C443C" w:rsidRPr="00D341EB" w:rsidRDefault="006C443C" w:rsidP="007F2948">
      <w:r w:rsidRPr="00D341EB">
        <w:rPr>
          <w:rFonts w:eastAsia="SimSun"/>
          <w:lang w:eastAsia="en-AU"/>
        </w:rPr>
        <w:t>1.1</w:t>
      </w:r>
      <w:r w:rsidRPr="00D341EB">
        <w:rPr>
          <w:rFonts w:eastAsia="SimSun"/>
          <w:lang w:eastAsia="en-AU"/>
        </w:rPr>
        <w:tab/>
      </w:r>
      <w:r w:rsidR="00D16E4D">
        <w:rPr>
          <w:rFonts w:eastAsia="SimSun"/>
          <w:lang w:eastAsia="en-AU"/>
        </w:rPr>
        <w:t>À</w:t>
      </w:r>
      <w:r w:rsidR="007F2948">
        <w:rPr>
          <w:rFonts w:eastAsia="SimSun"/>
          <w:lang w:eastAsia="en-AU"/>
        </w:rPr>
        <w:t xml:space="preserve"> sa session additionnelle de septembre 2019, le Conseil a approuvé la Décision 619, en vertu de laquelle il a décidé </w:t>
      </w:r>
      <w:r w:rsidR="007F2948">
        <w:t>de prévoir une garantie financière additionnelle pour compenser les risques non atténuables à hauteur de 12 600 000 CHF, ce qui représente la limite cumulative de</w:t>
      </w:r>
      <w:r w:rsidR="00D16E4D">
        <w:t> </w:t>
      </w:r>
      <w:r w:rsidR="007F2948">
        <w:t>8% des estimations actuelles des coûts directs décrites dans le Document C19-ADD/2, en créant un Fonds pour le registre des risques qui sera financé au titre de décisions ultérieures du Conseil à partir de 2020, conformément au Règlement financier et aux Règles financières.</w:t>
      </w:r>
    </w:p>
    <w:p w14:paraId="5C63E7A4" w14:textId="7E937EE4" w:rsidR="00A4180D" w:rsidRDefault="006C443C" w:rsidP="00A4180D">
      <w:r w:rsidRPr="00D341EB">
        <w:t>1.2</w:t>
      </w:r>
      <w:r w:rsidR="00A4180D">
        <w:tab/>
      </w:r>
      <w:r w:rsidR="00A4180D" w:rsidRPr="00A4180D">
        <w:t xml:space="preserve">Lors </w:t>
      </w:r>
      <w:r w:rsidR="00A4180D">
        <w:t xml:space="preserve">de la réunion </w:t>
      </w:r>
      <w:r w:rsidR="00A4180D" w:rsidRPr="00A4180D">
        <w:t xml:space="preserve">du Groupe consultatif d'États Membres </w:t>
      </w:r>
      <w:r w:rsidR="00FF4D7E">
        <w:t>pour</w:t>
      </w:r>
      <w:r w:rsidR="00A4180D" w:rsidRPr="00A4180D">
        <w:t xml:space="preserve"> le projet de locaux du siège de l'Union</w:t>
      </w:r>
      <w:r w:rsidR="00A4180D">
        <w:t xml:space="preserve"> (Groupe </w:t>
      </w:r>
      <w:r w:rsidR="00A4180D" w:rsidRPr="00A4180D">
        <w:t>MSAG</w:t>
      </w:r>
      <w:r w:rsidR="00A4180D">
        <w:t>)</w:t>
      </w:r>
      <w:r w:rsidR="00A4180D" w:rsidRPr="00A4180D">
        <w:t xml:space="preserve"> du 15 décembre 2021</w:t>
      </w:r>
      <w:r w:rsidR="00A4180D">
        <w:t>,</w:t>
      </w:r>
      <w:r w:rsidR="00A4180D" w:rsidRPr="00A4180D">
        <w:t xml:space="preserve"> puis de la réunion du </w:t>
      </w:r>
      <w:r w:rsidR="00FF4D7E" w:rsidRPr="00B0508A">
        <w:t>Groupe de travail du Conseil sur les ressources financières et les ressources humaines (GTC-FHR)</w:t>
      </w:r>
      <w:r w:rsidR="00FF4D7E">
        <w:t xml:space="preserve">, </w:t>
      </w:r>
      <w:r w:rsidR="00A4180D">
        <w:t xml:space="preserve">tenue les </w:t>
      </w:r>
      <w:r w:rsidR="00B51BC1">
        <w:t>11 et </w:t>
      </w:r>
      <w:r w:rsidR="00A4180D" w:rsidRPr="00A4180D">
        <w:t>12</w:t>
      </w:r>
      <w:r w:rsidR="00D16E4D">
        <w:t> </w:t>
      </w:r>
      <w:r w:rsidR="00A4180D" w:rsidRPr="00A4180D">
        <w:t xml:space="preserve">janvier 2022, il a été demandé au secrétariat de </w:t>
      </w:r>
      <w:r w:rsidR="00A4180D">
        <w:t xml:space="preserve">recueillir </w:t>
      </w:r>
      <w:r w:rsidR="00A4180D" w:rsidRPr="00A4180D">
        <w:t xml:space="preserve">les informations nécessaires sur un éventuel transfert du risque de non-financement du </w:t>
      </w:r>
      <w:r w:rsidR="00A4180D" w:rsidRPr="00D341EB">
        <w:rPr>
          <w:rFonts w:asciiTheme="minorHAnsi" w:hAnsiTheme="minorHAnsi" w:cstheme="minorHAnsi"/>
        </w:rPr>
        <w:t>Fonds pour le registre des risques</w:t>
      </w:r>
      <w:r w:rsidR="00A4180D" w:rsidRPr="00A4180D">
        <w:t xml:space="preserve"> à une institution tierce.</w:t>
      </w:r>
    </w:p>
    <w:p w14:paraId="7CF353FC" w14:textId="3DE38BAA" w:rsidR="00A4180D" w:rsidRDefault="00A4180D" w:rsidP="00A4180D">
      <w:r>
        <w:t>1.3</w:t>
      </w:r>
      <w:r>
        <w:tab/>
      </w:r>
      <w:r w:rsidRPr="00A4180D">
        <w:t xml:space="preserve">Dès que les travaux du </w:t>
      </w:r>
      <w:r>
        <w:t>GTC</w:t>
      </w:r>
      <w:r w:rsidRPr="00A4180D">
        <w:t xml:space="preserve">-FHR ont été achevés, le secrétariat de l'UIT a commencé </w:t>
      </w:r>
      <w:r w:rsidR="00472C83">
        <w:t xml:space="preserve">de prendre contact avec </w:t>
      </w:r>
      <w:r w:rsidRPr="00A4180D">
        <w:t xml:space="preserve">des courtiers pour </w:t>
      </w:r>
      <w:r w:rsidR="00472C83">
        <w:t>déterminer</w:t>
      </w:r>
      <w:r w:rsidR="00472C83" w:rsidRPr="00A4180D">
        <w:t xml:space="preserve"> </w:t>
      </w:r>
      <w:r w:rsidRPr="00A4180D">
        <w:t xml:space="preserve">si une assurance </w:t>
      </w:r>
      <w:r>
        <w:t xml:space="preserve">de ce type </w:t>
      </w:r>
      <w:r w:rsidRPr="00A4180D">
        <w:t>était disponible sur le marché.</w:t>
      </w:r>
    </w:p>
    <w:p w14:paraId="420A7C6C" w14:textId="0398867A" w:rsidR="00A4180D" w:rsidRDefault="00A4180D" w:rsidP="00A4180D">
      <w:r>
        <w:t>1.4</w:t>
      </w:r>
      <w:r>
        <w:tab/>
      </w:r>
      <w:r w:rsidRPr="00A4180D">
        <w:t xml:space="preserve">Le secrétariat a </w:t>
      </w:r>
      <w:r w:rsidR="00472C83">
        <w:t xml:space="preserve">aussi mené une activité visant à dégager les </w:t>
      </w:r>
      <w:r>
        <w:t xml:space="preserve">enseignements de </w:t>
      </w:r>
      <w:r w:rsidRPr="00A4180D">
        <w:t xml:space="preserve">la gestion de projets </w:t>
      </w:r>
      <w:r w:rsidR="00472C83">
        <w:t xml:space="preserve">analogues </w:t>
      </w:r>
      <w:r>
        <w:t xml:space="preserve">menés </w:t>
      </w:r>
      <w:r w:rsidRPr="00A4180D">
        <w:t xml:space="preserve">par d'autres </w:t>
      </w:r>
      <w:r>
        <w:t xml:space="preserve">institutions </w:t>
      </w:r>
      <w:r w:rsidRPr="00A4180D">
        <w:t>des Nations Unies.</w:t>
      </w:r>
    </w:p>
    <w:p w14:paraId="2CA87B7A" w14:textId="17C6E625" w:rsidR="00A4180D" w:rsidRPr="00D341EB" w:rsidRDefault="00A4180D" w:rsidP="00A4180D">
      <w:r>
        <w:t>1.5</w:t>
      </w:r>
      <w:r>
        <w:tab/>
      </w:r>
      <w:r w:rsidRPr="00A4180D">
        <w:t xml:space="preserve">En outre, le secrétariat </w:t>
      </w:r>
      <w:r w:rsidR="00472C83">
        <w:t>s</w:t>
      </w:r>
      <w:r w:rsidR="00D5090E">
        <w:t>'</w:t>
      </w:r>
      <w:r w:rsidR="00472C83">
        <w:t xml:space="preserve">est mis en rapport avec </w:t>
      </w:r>
      <w:r w:rsidR="00727CDC">
        <w:t xml:space="preserve">les deux </w:t>
      </w:r>
      <w:r w:rsidR="00B15114">
        <w:t>entrepreneurs</w:t>
      </w:r>
      <w:r w:rsidR="00727CDC">
        <w:t xml:space="preserve"> </w:t>
      </w:r>
      <w:r w:rsidRPr="00A4180D">
        <w:t>CDTK et Hill</w:t>
      </w:r>
      <w:r w:rsidR="00D5090E">
        <w:t> </w:t>
      </w:r>
      <w:r w:rsidRPr="00A4180D">
        <w:t xml:space="preserve">International pour connaître leur avis sur </w:t>
      </w:r>
      <w:r w:rsidR="00727CDC">
        <w:t xml:space="preserve">la </w:t>
      </w:r>
      <w:r w:rsidRPr="00A4180D">
        <w:t xml:space="preserve">proposition </w:t>
      </w:r>
      <w:r w:rsidR="00870425">
        <w:t>visant</w:t>
      </w:r>
      <w:r w:rsidR="00FF4D7E">
        <w:t xml:space="preserve"> à </w:t>
      </w:r>
      <w:r w:rsidRPr="00A4180D">
        <w:t>assurer le registre des risques.</w:t>
      </w:r>
    </w:p>
    <w:p w14:paraId="2B44D548" w14:textId="17153C74" w:rsidR="006C443C" w:rsidRPr="00D341EB" w:rsidRDefault="006C443C" w:rsidP="00025BC2">
      <w:pPr>
        <w:pStyle w:val="Heading1"/>
      </w:pPr>
      <w:r w:rsidRPr="00D341EB">
        <w:t>2</w:t>
      </w:r>
      <w:r w:rsidRPr="00D341EB">
        <w:tab/>
      </w:r>
      <w:r w:rsidR="00870425">
        <w:t>Courtiers et e</w:t>
      </w:r>
      <w:r w:rsidR="00727CDC">
        <w:t xml:space="preserve">ntreprises partenaires </w:t>
      </w:r>
      <w:r w:rsidR="00870425">
        <w:t xml:space="preserve">du </w:t>
      </w:r>
      <w:r w:rsidR="00727CDC">
        <w:t>projet de nouveau bâtiment</w:t>
      </w:r>
    </w:p>
    <w:p w14:paraId="0AB6E528" w14:textId="448FE262" w:rsidR="006C443C" w:rsidRDefault="00727CDC" w:rsidP="00D16E4D">
      <w:r>
        <w:t>2.1</w:t>
      </w:r>
      <w:r>
        <w:tab/>
      </w:r>
      <w:r w:rsidRPr="00727CDC">
        <w:t xml:space="preserve">Sur la base du tableau du registre des risques présenté aux courtiers, aucun des risques examinés </w:t>
      </w:r>
      <w:r>
        <w:t xml:space="preserve">ne peut faire l'objet d'une assurance </w:t>
      </w:r>
      <w:r w:rsidRPr="00727CDC">
        <w:t xml:space="preserve">sur le marché, car il ne s'agit pas de risques liés à des pertes ou dommages </w:t>
      </w:r>
      <w:r>
        <w:t>matériels</w:t>
      </w:r>
      <w:r w:rsidRPr="00727CDC">
        <w:t xml:space="preserve"> ou à la responsabilité juridique, mais plutôt de risques commerciaux ou contractuels.</w:t>
      </w:r>
    </w:p>
    <w:p w14:paraId="3407018C" w14:textId="154B90EF" w:rsidR="00727CDC" w:rsidRDefault="00727CDC" w:rsidP="00D16E4D">
      <w:r>
        <w:t>2.2</w:t>
      </w:r>
      <w:r>
        <w:tab/>
      </w:r>
      <w:r w:rsidR="00384954">
        <w:t xml:space="preserve">Pour </w:t>
      </w:r>
      <w:r w:rsidRPr="00727CDC">
        <w:t xml:space="preserve">aborder la question de la maîtrise des risques en général dans un projet de construction, il </w:t>
      </w:r>
      <w:r w:rsidR="00384954">
        <w:t xml:space="preserve">est </w:t>
      </w:r>
      <w:r w:rsidRPr="00727CDC">
        <w:t xml:space="preserve">important de </w:t>
      </w:r>
      <w:r w:rsidR="00870425">
        <w:t>déterminer l</w:t>
      </w:r>
      <w:r w:rsidRPr="00727CDC">
        <w:t xml:space="preserve">es mesures à prendre pour faire face aux conséquences </w:t>
      </w:r>
      <w:r w:rsidR="00870425">
        <w:t>qu'il peut entraîner</w:t>
      </w:r>
      <w:r w:rsidR="00472C83">
        <w:t>, et donc pour:</w:t>
      </w:r>
    </w:p>
    <w:p w14:paraId="3E3ABBF5" w14:textId="16AE29B6" w:rsidR="00727CDC" w:rsidRPr="00727CDC" w:rsidRDefault="00D16E4D" w:rsidP="00D16E4D">
      <w:pPr>
        <w:pStyle w:val="enumlev1"/>
      </w:pPr>
      <w:r>
        <w:t>–</w:t>
      </w:r>
      <w:r>
        <w:tab/>
      </w:r>
      <w:r w:rsidR="00727CDC" w:rsidRPr="00727CDC">
        <w:t>éviter le risque en renonçant à</w:t>
      </w:r>
      <w:r w:rsidR="00384954">
        <w:t xml:space="preserve"> ce</w:t>
      </w:r>
      <w:r w:rsidR="00727CDC" w:rsidRPr="00727CDC">
        <w:t xml:space="preserve"> qui pourrait le provoquer (</w:t>
      </w:r>
      <w:r w:rsidR="00384954">
        <w:t xml:space="preserve">par exemple, une </w:t>
      </w:r>
      <w:r w:rsidR="00727CDC" w:rsidRPr="00727CDC">
        <w:t xml:space="preserve">technique de construction inappropriée), surtout </w:t>
      </w:r>
      <w:r w:rsidR="009B1D80">
        <w:t>en l</w:t>
      </w:r>
      <w:r w:rsidR="00D5090E">
        <w:t>'</w:t>
      </w:r>
      <w:r w:rsidR="009B1D80">
        <w:t>absence de couverture d</w:t>
      </w:r>
      <w:r w:rsidR="00D5090E">
        <w:t>'</w:t>
      </w:r>
      <w:r w:rsidR="009B1D80">
        <w:t>assurance possible;</w:t>
      </w:r>
    </w:p>
    <w:p w14:paraId="4E94E65A" w14:textId="188E45F5" w:rsidR="00727CDC" w:rsidRPr="00727CDC" w:rsidRDefault="00D16E4D" w:rsidP="00D16E4D">
      <w:pPr>
        <w:pStyle w:val="enumlev1"/>
      </w:pPr>
      <w:r>
        <w:t>–</w:t>
      </w:r>
      <w:r>
        <w:tab/>
      </w:r>
      <w:r w:rsidR="00727CDC" w:rsidRPr="00727CDC">
        <w:t>assumer les risques jugés supportables ou qui ne peuvent être assurés, tels que les dommages prévisibles (conditions météorologiques connues à un moment et en un lieu donnés</w:t>
      </w:r>
      <w:r w:rsidR="009B1D80">
        <w:t xml:space="preserve">, </w:t>
      </w:r>
      <w:r w:rsidR="00384954">
        <w:t xml:space="preserve">phénomènes </w:t>
      </w:r>
      <w:r w:rsidR="009B1D80">
        <w:t xml:space="preserve">de crue </w:t>
      </w:r>
      <w:r w:rsidR="00727CDC" w:rsidRPr="00727CDC">
        <w:t>connus</w:t>
      </w:r>
      <w:r w:rsidR="009B1D80">
        <w:t>, etc.</w:t>
      </w:r>
      <w:r w:rsidR="00727CDC" w:rsidRPr="00727CDC">
        <w:t>), les nuisances dues aux travaux (bruit</w:t>
      </w:r>
      <w:r w:rsidR="009B1D80">
        <w:t>,</w:t>
      </w:r>
      <w:r w:rsidR="00384954">
        <w:t xml:space="preserve"> </w:t>
      </w:r>
      <w:r w:rsidR="00727CDC" w:rsidRPr="00727CDC">
        <w:t>poussière</w:t>
      </w:r>
      <w:r w:rsidR="009B1D80">
        <w:t>, etc.</w:t>
      </w:r>
      <w:r w:rsidR="00727CDC" w:rsidRPr="00727CDC">
        <w:t>), et autres, en constituant des réserves;</w:t>
      </w:r>
    </w:p>
    <w:p w14:paraId="4155E489" w14:textId="1C8B19D5" w:rsidR="00727CDC" w:rsidRPr="00727CDC" w:rsidRDefault="00D16E4D" w:rsidP="00D16E4D">
      <w:pPr>
        <w:pStyle w:val="enumlev1"/>
      </w:pPr>
      <w:r>
        <w:t>–</w:t>
      </w:r>
      <w:r>
        <w:tab/>
      </w:r>
      <w:r w:rsidR="00727CDC" w:rsidRPr="00727CDC">
        <w:t xml:space="preserve">prendre des mesures préventives pour éviter </w:t>
      </w:r>
      <w:r w:rsidR="00384954">
        <w:t xml:space="preserve">que </w:t>
      </w:r>
      <w:r w:rsidR="00727CDC" w:rsidRPr="00727CDC">
        <w:t xml:space="preserve">l'événement redouté </w:t>
      </w:r>
      <w:r w:rsidR="00384954">
        <w:t xml:space="preserve">ne survienne </w:t>
      </w:r>
      <w:r w:rsidR="00727CDC" w:rsidRPr="00727CDC">
        <w:t xml:space="preserve">parce qu'il n'existe pas de solution d'assurance ou pour répondre à l'obligation </w:t>
      </w:r>
      <w:r w:rsidR="00384954">
        <w:t>du titulaire de l'</w:t>
      </w:r>
      <w:r w:rsidR="00727CDC" w:rsidRPr="00727CDC">
        <w:t>assurance de prendre de telles mesures;</w:t>
      </w:r>
    </w:p>
    <w:p w14:paraId="6A6ACD45" w14:textId="5F795C94" w:rsidR="00727CDC" w:rsidRDefault="00D16E4D" w:rsidP="00D16E4D">
      <w:pPr>
        <w:pStyle w:val="enumlev1"/>
      </w:pPr>
      <w:r>
        <w:t>–</w:t>
      </w:r>
      <w:r>
        <w:tab/>
      </w:r>
      <w:r w:rsidR="00727CDC" w:rsidRPr="00727CDC">
        <w:t xml:space="preserve">transférer certains risques à des assureurs ou autres, sachant que les assureurs ne sont pas </w:t>
      </w:r>
      <w:r w:rsidR="00870425">
        <w:t>prêts</w:t>
      </w:r>
      <w:r w:rsidR="00727CDC" w:rsidRPr="00727CDC">
        <w:t xml:space="preserve"> à assumer tous les risques, même dans le cadre d'une couverture donnée (exclusions).</w:t>
      </w:r>
    </w:p>
    <w:p w14:paraId="0A4C5FFC" w14:textId="77777777" w:rsidR="009D6985" w:rsidRDefault="009D698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B553044" w14:textId="70C680E9" w:rsidR="00384954" w:rsidRDefault="00384954" w:rsidP="00D16E4D">
      <w:r>
        <w:lastRenderedPageBreak/>
        <w:t>2.3</w:t>
      </w:r>
      <w:r>
        <w:tab/>
      </w:r>
      <w:r w:rsidR="00331084">
        <w:t>Le</w:t>
      </w:r>
      <w:r w:rsidRPr="00384954">
        <w:t xml:space="preserve"> registre des risques, </w:t>
      </w:r>
      <w:r w:rsidR="00870425">
        <w:t>sous sa forme actuelle</w:t>
      </w:r>
      <w:r w:rsidRPr="00384954">
        <w:t xml:space="preserve">, </w:t>
      </w:r>
      <w:r w:rsidR="00331084">
        <w:t xml:space="preserve">vise à </w:t>
      </w:r>
      <w:r w:rsidRPr="00384954">
        <w:t xml:space="preserve">contenir, </w:t>
      </w:r>
      <w:r w:rsidR="00331084">
        <w:t xml:space="preserve">à </w:t>
      </w:r>
      <w:r w:rsidRPr="00384954">
        <w:t xml:space="preserve">gérer et </w:t>
      </w:r>
      <w:r w:rsidR="00331084">
        <w:t xml:space="preserve">à </w:t>
      </w:r>
      <w:r w:rsidRPr="00384954">
        <w:t xml:space="preserve">atténuer tous les risques associés aux contrats liés aux travaux de construction et </w:t>
      </w:r>
      <w:r w:rsidR="00331084">
        <w:t xml:space="preserve">il </w:t>
      </w:r>
      <w:r w:rsidRPr="00384954">
        <w:t xml:space="preserve">sera inclus dans l'assurance de l'entrepreneur général ainsi que dans l'assurance </w:t>
      </w:r>
      <w:r w:rsidR="00331084">
        <w:t xml:space="preserve">en </w:t>
      </w:r>
      <w:r w:rsidRPr="00384954">
        <w:t xml:space="preserve">responsabilité civile de l'UIT. Cette dernière sera </w:t>
      </w:r>
      <w:r w:rsidR="00331084">
        <w:t xml:space="preserve">examinée </w:t>
      </w:r>
      <w:r w:rsidRPr="00384954">
        <w:t>avec le courtier.</w:t>
      </w:r>
    </w:p>
    <w:p w14:paraId="589EDAFE" w14:textId="11534477" w:rsidR="00331084" w:rsidRDefault="00331084" w:rsidP="00D16E4D">
      <w:r>
        <w:t>2.4</w:t>
      </w:r>
      <w:r>
        <w:tab/>
      </w:r>
      <w:r w:rsidRPr="00331084">
        <w:t xml:space="preserve">Il convient également de rappeler que tous ces risques sont couverts par la </w:t>
      </w:r>
      <w:r>
        <w:t>provision</w:t>
      </w:r>
      <w:r w:rsidRPr="00331084">
        <w:t xml:space="preserve">/réserve de 12,6 millions </w:t>
      </w:r>
      <w:r w:rsidR="009B1D80">
        <w:t xml:space="preserve">de </w:t>
      </w:r>
      <w:r>
        <w:t xml:space="preserve">CHF </w:t>
      </w:r>
      <w:r w:rsidRPr="00331084">
        <w:t>prévue à cet effet.</w:t>
      </w:r>
    </w:p>
    <w:p w14:paraId="612C1433" w14:textId="6EA392D9" w:rsidR="00331084" w:rsidRDefault="00331084" w:rsidP="00331084">
      <w:pPr>
        <w:pStyle w:val="Heading1"/>
      </w:pPr>
      <w:r>
        <w:t>3</w:t>
      </w:r>
      <w:r w:rsidRPr="00D341EB">
        <w:tab/>
      </w:r>
      <w:r>
        <w:t xml:space="preserve">Organisations internationales </w:t>
      </w:r>
      <w:r w:rsidR="009B1D80">
        <w:t xml:space="preserve">sises </w:t>
      </w:r>
      <w:r>
        <w:t>à Genève</w:t>
      </w:r>
    </w:p>
    <w:p w14:paraId="17A05693" w14:textId="56088E59" w:rsidR="00331084" w:rsidRDefault="00331084" w:rsidP="00331084">
      <w:r>
        <w:t>3.1</w:t>
      </w:r>
      <w:r>
        <w:tab/>
      </w:r>
      <w:r w:rsidRPr="00331084">
        <w:t xml:space="preserve">Le secrétariat </w:t>
      </w:r>
      <w:r w:rsidR="009B1D80">
        <w:t xml:space="preserve">a aussi pris contact </w:t>
      </w:r>
      <w:r w:rsidR="00870425">
        <w:t xml:space="preserve">avec </w:t>
      </w:r>
      <w:r>
        <w:t>le Bureau international du travail (B</w:t>
      </w:r>
      <w:r w:rsidRPr="00331084">
        <w:t>IT</w:t>
      </w:r>
      <w:r>
        <w:t>)</w:t>
      </w:r>
      <w:r w:rsidRPr="00331084">
        <w:t xml:space="preserve"> et l'</w:t>
      </w:r>
      <w:r>
        <w:t>Office des Nations Unies à Genève (</w:t>
      </w:r>
      <w:r w:rsidRPr="00331084">
        <w:t>ONUG</w:t>
      </w:r>
      <w:r>
        <w:t>)</w:t>
      </w:r>
      <w:r w:rsidRPr="00331084">
        <w:t xml:space="preserve">, qui ont récemment entrepris des projets </w:t>
      </w:r>
      <w:r w:rsidR="009B1D80">
        <w:t>analogues</w:t>
      </w:r>
      <w:r w:rsidRPr="00331084">
        <w:t>.</w:t>
      </w:r>
    </w:p>
    <w:p w14:paraId="3F375362" w14:textId="592A3340" w:rsidR="00331084" w:rsidRPr="00331084" w:rsidRDefault="00331084" w:rsidP="00331084">
      <w:r>
        <w:t>3.2</w:t>
      </w:r>
      <w:r>
        <w:tab/>
      </w:r>
      <w:r w:rsidRPr="00331084">
        <w:t xml:space="preserve">Le BIT confirme </w:t>
      </w:r>
      <w:r w:rsidR="00BF29CC">
        <w:t>avoir</w:t>
      </w:r>
      <w:r w:rsidRPr="00331084">
        <w:t xml:space="preserve"> </w:t>
      </w:r>
      <w:r>
        <w:t xml:space="preserve">adopté </w:t>
      </w:r>
      <w:r w:rsidRPr="00331084">
        <w:t xml:space="preserve">la même approche, à savoir la mise en place de plusieurs polices d'assurance pour couvrir les risques </w:t>
      </w:r>
      <w:r>
        <w:t xml:space="preserve">en fonction de </w:t>
      </w:r>
      <w:r w:rsidRPr="00331084">
        <w:t>leur nature:</w:t>
      </w:r>
    </w:p>
    <w:p w14:paraId="7EC4DBAA" w14:textId="69B55FF5" w:rsidR="00331084" w:rsidRDefault="00D16E4D" w:rsidP="00D16E4D">
      <w:pPr>
        <w:pStyle w:val="enumlev1"/>
      </w:pPr>
      <w:r>
        <w:t>–</w:t>
      </w:r>
      <w:r>
        <w:tab/>
      </w:r>
      <w:r w:rsidR="00307F56" w:rsidRPr="00307F56">
        <w:t xml:space="preserve">dommages, accidents, </w:t>
      </w:r>
      <w:r w:rsidR="00307F56">
        <w:t xml:space="preserve">dégât sur </w:t>
      </w:r>
      <w:r w:rsidR="00307F56" w:rsidRPr="00307F56">
        <w:t xml:space="preserve">la zone de travail, etc.: assurance tous risques </w:t>
      </w:r>
      <w:r w:rsidR="00D27954">
        <w:t xml:space="preserve">chantier </w:t>
      </w:r>
      <w:r w:rsidR="00307F56" w:rsidRPr="00307F56">
        <w:t xml:space="preserve">couvrant </w:t>
      </w:r>
      <w:r w:rsidR="00D27954">
        <w:t>l</w:t>
      </w:r>
      <w:r w:rsidR="00D5090E">
        <w:t>'</w:t>
      </w:r>
      <w:r w:rsidR="00D27954">
        <w:t>ensemble des intervenants</w:t>
      </w:r>
      <w:r w:rsidR="00307F56" w:rsidRPr="00307F56">
        <w:t xml:space="preserve"> (</w:t>
      </w:r>
      <w:r w:rsidR="008D016E">
        <w:t>maître d</w:t>
      </w:r>
      <w:r w:rsidR="00D5090E">
        <w:t>'</w:t>
      </w:r>
      <w:r w:rsidR="008D016E">
        <w:t>ouvrage</w:t>
      </w:r>
      <w:r w:rsidR="00307F56" w:rsidRPr="00307F56">
        <w:t xml:space="preserve">, </w:t>
      </w:r>
      <w:r w:rsidR="00307F56" w:rsidRPr="00D16E4D">
        <w:t>ET, SST</w:t>
      </w:r>
      <w:r w:rsidR="00307F56" w:rsidRPr="00307F56">
        <w:t xml:space="preserve">, </w:t>
      </w:r>
      <w:r w:rsidR="00D27954">
        <w:t>mandataires</w:t>
      </w:r>
      <w:r w:rsidR="00307F56" w:rsidRPr="00307F56">
        <w:t xml:space="preserve">, etc.) pendant la phase de </w:t>
      </w:r>
      <w:r w:rsidR="00D27954">
        <w:t>chantier</w:t>
      </w:r>
      <w:r w:rsidR="00307F56">
        <w:t>;</w:t>
      </w:r>
    </w:p>
    <w:p w14:paraId="66AE50BF" w14:textId="6E2F39C1" w:rsidR="00307F56" w:rsidRDefault="00D16E4D" w:rsidP="00D16E4D">
      <w:pPr>
        <w:pStyle w:val="enumlev1"/>
      </w:pPr>
      <w:r>
        <w:t>–</w:t>
      </w:r>
      <w:r>
        <w:tab/>
      </w:r>
      <w:r w:rsidR="00307F56" w:rsidRPr="00307F56">
        <w:t xml:space="preserve">erreurs de conception, spécifications incomplètes, etc.: inclus dans le </w:t>
      </w:r>
      <w:r w:rsidR="00B62ECE" w:rsidRPr="00307F56">
        <w:t>contrat d'entreprise général</w:t>
      </w:r>
      <w:r w:rsidR="00B62ECE">
        <w:t>e</w:t>
      </w:r>
      <w:r w:rsidR="00307F56" w:rsidRPr="00307F56">
        <w:t>, qui assume l'entière responsabilité de la conception et a une obligation de résultat</w:t>
      </w:r>
      <w:r w:rsidR="00307F56">
        <w:t>;</w:t>
      </w:r>
    </w:p>
    <w:p w14:paraId="30485418" w14:textId="104CF637" w:rsidR="00307F56" w:rsidRDefault="00D16E4D" w:rsidP="00D16E4D">
      <w:pPr>
        <w:pStyle w:val="enumlev1"/>
      </w:pPr>
      <w:r>
        <w:t>–</w:t>
      </w:r>
      <w:r>
        <w:tab/>
      </w:r>
      <w:r w:rsidR="00307F56" w:rsidRPr="00307F56">
        <w:t xml:space="preserve">dépassements budgétaires: inclus dans le contrat </w:t>
      </w:r>
      <w:r w:rsidR="00307F56">
        <w:t>d'entreprise générale</w:t>
      </w:r>
      <w:r w:rsidR="00307F56" w:rsidRPr="00307F56">
        <w:t xml:space="preserve"> </w:t>
      </w:r>
      <w:r w:rsidR="00C222D5">
        <w:t xml:space="preserve">en mettant </w:t>
      </w:r>
      <w:r w:rsidR="00307F56" w:rsidRPr="00307F56">
        <w:t>en place un prix plafond garanti</w:t>
      </w:r>
      <w:r w:rsidR="00307F56">
        <w:t>,</w:t>
      </w:r>
      <w:r w:rsidR="00307F56" w:rsidRPr="00307F56">
        <w:t xml:space="preserve"> qui couvre le risque d'augmentation des coûts (inflation, </w:t>
      </w:r>
      <w:r w:rsidR="00307F56">
        <w:t>conséquences du</w:t>
      </w:r>
      <w:r w:rsidR="00307F56" w:rsidRPr="00307F56">
        <w:t xml:space="preserve"> </w:t>
      </w:r>
      <w:r w:rsidR="00307F56">
        <w:t>COVID</w:t>
      </w:r>
      <w:r w:rsidR="00307F56" w:rsidRPr="00307F56">
        <w:t xml:space="preserve">, travaux imprévus nécessaires </w:t>
      </w:r>
      <w:r w:rsidR="00307F56">
        <w:t xml:space="preserve">pour </w:t>
      </w:r>
      <w:r w:rsidR="00307F56" w:rsidRPr="00307F56">
        <w:t xml:space="preserve">la livraison de l'ouvrage, </w:t>
      </w:r>
      <w:r w:rsidR="00307F56">
        <w:t xml:space="preserve">interruptions du </w:t>
      </w:r>
      <w:r w:rsidR="00307F56" w:rsidRPr="00307F56">
        <w:t>chantier, etc</w:t>
      </w:r>
      <w:r w:rsidR="00307F56">
        <w:t>.);</w:t>
      </w:r>
    </w:p>
    <w:p w14:paraId="22FBCF28" w14:textId="350F72BD" w:rsidR="00307F56" w:rsidRDefault="00D16E4D" w:rsidP="00D16E4D">
      <w:pPr>
        <w:pStyle w:val="enumlev1"/>
      </w:pPr>
      <w:r>
        <w:t>–</w:t>
      </w:r>
      <w:r>
        <w:tab/>
      </w:r>
      <w:r w:rsidR="00307F56" w:rsidRPr="00307F56">
        <w:t>retard: pénalités incluses dans le contrat d'entreprise général</w:t>
      </w:r>
      <w:r w:rsidR="00307F56">
        <w:t>e;</w:t>
      </w:r>
    </w:p>
    <w:p w14:paraId="687C85F1" w14:textId="31A8980A" w:rsidR="00307F56" w:rsidRDefault="00D16E4D" w:rsidP="00D16E4D">
      <w:pPr>
        <w:pStyle w:val="enumlev1"/>
      </w:pPr>
      <w:r>
        <w:t>–</w:t>
      </w:r>
      <w:r>
        <w:tab/>
      </w:r>
      <w:r w:rsidR="00307F56" w:rsidRPr="00307F56">
        <w:t xml:space="preserve">défauts: </w:t>
      </w:r>
      <w:r w:rsidR="00307F56">
        <w:t>mise en place</w:t>
      </w:r>
      <w:r w:rsidR="00307F56" w:rsidRPr="00307F56">
        <w:t xml:space="preserve"> d'une garantie de 10 ans (au lieu de 5 selon la SIA) </w:t>
      </w:r>
      <w:r w:rsidR="00B62ECE">
        <w:t>po</w:t>
      </w:r>
      <w:r w:rsidR="00307F56" w:rsidRPr="00307F56">
        <w:t>ur certains éléments tels que les façades et les toits</w:t>
      </w:r>
      <w:r w:rsidR="00307F56">
        <w:t>;</w:t>
      </w:r>
    </w:p>
    <w:p w14:paraId="428D2ED9" w14:textId="6B1A838B" w:rsidR="00307F56" w:rsidRDefault="00D16E4D" w:rsidP="00D16E4D">
      <w:pPr>
        <w:pStyle w:val="enumlev1"/>
      </w:pPr>
      <w:r>
        <w:t>–</w:t>
      </w:r>
      <w:r>
        <w:tab/>
      </w:r>
      <w:r w:rsidR="00362DCB">
        <w:t>dérive de la portée des travaux</w:t>
      </w:r>
      <w:r w:rsidR="00307F56" w:rsidRPr="00307F56">
        <w:t xml:space="preserve">: mécanismes d'économies partagées dans le contrat </w:t>
      </w:r>
      <w:r w:rsidR="00A43CBF">
        <w:t>d'entreprise générale</w:t>
      </w:r>
      <w:r w:rsidR="00307F56" w:rsidRPr="00307F56">
        <w:t>.</w:t>
      </w:r>
    </w:p>
    <w:p w14:paraId="6D63C252" w14:textId="2D56A552" w:rsidR="00A43CBF" w:rsidRDefault="00A43CBF" w:rsidP="00D16E4D">
      <w:r>
        <w:t>3.3</w:t>
      </w:r>
      <w:r>
        <w:tab/>
      </w:r>
      <w:r w:rsidRPr="00A43CBF">
        <w:t>Pour les autres risques,</w:t>
      </w:r>
      <w:r>
        <w:t xml:space="preserve"> qui sont nombreux,</w:t>
      </w:r>
      <w:r w:rsidRPr="00A43CBF">
        <w:t xml:space="preserve"> le BIT n'a souscrit </w:t>
      </w:r>
      <w:r>
        <w:t xml:space="preserve">aucune </w:t>
      </w:r>
      <w:r w:rsidRPr="00A43CBF">
        <w:t xml:space="preserve">assurance supplémentaire pour la gestion des risques au cas où ceux-ci se </w:t>
      </w:r>
      <w:r w:rsidR="00240B87">
        <w:t>concrétiseraient</w:t>
      </w:r>
      <w:r w:rsidRPr="00A43CBF">
        <w:t>.</w:t>
      </w:r>
    </w:p>
    <w:p w14:paraId="7011008B" w14:textId="73356B65" w:rsidR="00240B87" w:rsidRDefault="00240B87" w:rsidP="00D16E4D">
      <w:r>
        <w:t>3.4</w:t>
      </w:r>
      <w:r>
        <w:tab/>
      </w:r>
      <w:r w:rsidRPr="00240B87">
        <w:t xml:space="preserve">À l'ONUG, dans le cadre du </w:t>
      </w:r>
      <w:r>
        <w:t xml:space="preserve">projet de </w:t>
      </w:r>
      <w:r w:rsidRPr="00240B87">
        <w:t>Plan stratégique patrimo</w:t>
      </w:r>
      <w:r>
        <w:t xml:space="preserve">nial, </w:t>
      </w:r>
      <w:r w:rsidRPr="00240B87">
        <w:t xml:space="preserve">les responsables du projet de construction et de rénovation </w:t>
      </w:r>
      <w:r>
        <w:t xml:space="preserve">n'ont pas connaissance </w:t>
      </w:r>
      <w:r w:rsidRPr="00240B87">
        <w:t xml:space="preserve">de l'existence d'une assurance couvrant des montants hypothétiques dans un registre de risques. Ils préconisent l'utilisation de la </w:t>
      </w:r>
      <w:r>
        <w:t>provision</w:t>
      </w:r>
      <w:r w:rsidRPr="00240B87">
        <w:t xml:space="preserve">/réserve </w:t>
      </w:r>
      <w:r>
        <w:t xml:space="preserve">du </w:t>
      </w:r>
      <w:r w:rsidRPr="00240B87">
        <w:t>budget total qui est allouée aux différents risques en fonction de leur probabilité et du moment où ces risques pourraient se produire.</w:t>
      </w:r>
    </w:p>
    <w:p w14:paraId="52EDB101" w14:textId="43F81F23" w:rsidR="00240B87" w:rsidRDefault="00522CD3" w:rsidP="00240B87">
      <w:pPr>
        <w:pStyle w:val="Heading1"/>
      </w:pPr>
      <w:r>
        <w:t>4</w:t>
      </w:r>
      <w:r w:rsidR="00240B87" w:rsidRPr="00D341EB">
        <w:tab/>
      </w:r>
      <w:r w:rsidR="00240B87">
        <w:t>Entre</w:t>
      </w:r>
      <w:r w:rsidR="00B15114">
        <w:t>preneurs (</w:t>
      </w:r>
      <w:r w:rsidR="00240B87">
        <w:t>CDTK, ECPSS et Hill Int.</w:t>
      </w:r>
      <w:r w:rsidR="00B15114">
        <w:t>)</w:t>
      </w:r>
    </w:p>
    <w:p w14:paraId="75469B91" w14:textId="1A9CDBD3" w:rsidR="00240B87" w:rsidRDefault="00240B87" w:rsidP="00240B87">
      <w:r>
        <w:t>4.1</w:t>
      </w:r>
      <w:r>
        <w:tab/>
      </w:r>
      <w:r w:rsidRPr="00240B87">
        <w:t xml:space="preserve">Le secrétariat </w:t>
      </w:r>
      <w:r>
        <w:t xml:space="preserve">s'est </w:t>
      </w:r>
      <w:r w:rsidR="00C222D5">
        <w:t>aussi mis en rapport</w:t>
      </w:r>
      <w:r>
        <w:t xml:space="preserve"> avec </w:t>
      </w:r>
      <w:r w:rsidRPr="00240B87">
        <w:t xml:space="preserve">CDTK et Hill International pour obtenir leur avis sur cette proposition. Ces deux </w:t>
      </w:r>
      <w:r>
        <w:t>entreprises</w:t>
      </w:r>
      <w:r w:rsidRPr="00240B87">
        <w:t xml:space="preserve"> ne sont pas convaincues du bien-fondé d'une telle assurance qui, selon elles, n'existe pas sur le marché local et ne serait, en tout état de cause, pas conforme aux normes et pratiques </w:t>
      </w:r>
      <w:r w:rsidR="00B15114">
        <w:t xml:space="preserve">suisses </w:t>
      </w:r>
      <w:r w:rsidRPr="00240B87">
        <w:t>SIA.</w:t>
      </w:r>
    </w:p>
    <w:p w14:paraId="654EBA7C" w14:textId="500350B8" w:rsidR="00240B87" w:rsidRDefault="00522CD3" w:rsidP="00240B87">
      <w:pPr>
        <w:pStyle w:val="Heading1"/>
      </w:pPr>
      <w:r>
        <w:lastRenderedPageBreak/>
        <w:t>5</w:t>
      </w:r>
      <w:r w:rsidR="00240B87" w:rsidRPr="00D341EB">
        <w:tab/>
      </w:r>
      <w:r w:rsidR="00240B87">
        <w:t>Recommandation</w:t>
      </w:r>
    </w:p>
    <w:p w14:paraId="7E88392C" w14:textId="78A80C12" w:rsidR="00240B87" w:rsidRDefault="00240B87" w:rsidP="009F669F">
      <w:r>
        <w:t>5.1</w:t>
      </w:r>
      <w:r>
        <w:tab/>
      </w:r>
      <w:r w:rsidR="0093274C" w:rsidRPr="0093274C">
        <w:t xml:space="preserve">Il est recommandé de continuer </w:t>
      </w:r>
      <w:r w:rsidR="00C222D5">
        <w:t>de</w:t>
      </w:r>
      <w:r w:rsidR="0093274C" w:rsidRPr="0093274C">
        <w:t xml:space="preserve"> donner la priorité au provisionnement du Fonds du registre des risques plutôt que de </w:t>
      </w:r>
      <w:r w:rsidR="00B15114">
        <w:t>transférer les risques à</w:t>
      </w:r>
      <w:r w:rsidR="0093274C" w:rsidRPr="0093274C">
        <w:t xml:space="preserve"> une assurance qui</w:t>
      </w:r>
      <w:r w:rsidR="00B15114">
        <w:t xml:space="preserve"> </w:t>
      </w:r>
      <w:r w:rsidR="0093274C" w:rsidRPr="0093274C">
        <w:t xml:space="preserve">n'existe pas </w:t>
      </w:r>
      <w:r w:rsidR="00B15114">
        <w:t xml:space="preserve">en tant que telle </w:t>
      </w:r>
      <w:r w:rsidR="0093274C" w:rsidRPr="0093274C">
        <w:t>sur le marché</w:t>
      </w:r>
      <w:r w:rsidR="00B15114">
        <w:t xml:space="preserve"> actuel</w:t>
      </w:r>
      <w:r w:rsidR="0093274C" w:rsidRPr="0093274C">
        <w:t>.</w:t>
      </w:r>
    </w:p>
    <w:p w14:paraId="244C6943" w14:textId="790492AF" w:rsidR="00240B87" w:rsidRDefault="0093274C" w:rsidP="009F669F">
      <w:r>
        <w:t>5.2</w:t>
      </w:r>
      <w:r>
        <w:tab/>
      </w:r>
      <w:r w:rsidRPr="0093274C">
        <w:t>Il convient de rappeler que les fonds</w:t>
      </w:r>
      <w:r>
        <w:t xml:space="preserve"> </w:t>
      </w:r>
      <w:r w:rsidR="00924661">
        <w:t xml:space="preserve">qui resteraient </w:t>
      </w:r>
      <w:r w:rsidRPr="0093274C">
        <w:t xml:space="preserve">sur ce compte à la fin de la construction seront versés </w:t>
      </w:r>
      <w:r>
        <w:t xml:space="preserve">dans </w:t>
      </w:r>
      <w:r w:rsidRPr="0093274C">
        <w:t xml:space="preserve">le </w:t>
      </w:r>
      <w:r>
        <w:t xml:space="preserve">Fonds </w:t>
      </w:r>
      <w:r w:rsidRPr="0093274C">
        <w:t>de réserve</w:t>
      </w:r>
      <w:r>
        <w:t>,</w:t>
      </w:r>
      <w:r w:rsidRPr="0093274C">
        <w:t xml:space="preserve"> conformément à la </w:t>
      </w:r>
      <w:r w:rsidR="00033333">
        <w:t>D</w:t>
      </w:r>
      <w:r w:rsidRPr="0093274C">
        <w:t>écision 619.</w:t>
      </w:r>
    </w:p>
    <w:p w14:paraId="56C12FEE" w14:textId="77777777" w:rsidR="00D341EB" w:rsidRPr="00D341EB" w:rsidRDefault="00D341EB" w:rsidP="00D341EB">
      <w:pPr>
        <w:spacing w:before="360"/>
        <w:jc w:val="center"/>
      </w:pPr>
      <w:r w:rsidRPr="00D341EB">
        <w:t>______________</w:t>
      </w:r>
    </w:p>
    <w:sectPr w:rsidR="00D341EB" w:rsidRPr="00D341EB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44B5" w14:textId="77777777" w:rsidR="00226400" w:rsidRDefault="00226400">
      <w:r>
        <w:separator/>
      </w:r>
    </w:p>
  </w:endnote>
  <w:endnote w:type="continuationSeparator" w:id="0">
    <w:p w14:paraId="22520A52" w14:textId="77777777" w:rsidR="00226400" w:rsidRDefault="0022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2DE5" w14:textId="21FAA93C" w:rsidR="00732045" w:rsidRDefault="00B10012">
    <w:pPr>
      <w:pStyle w:val="Footer"/>
    </w:pPr>
    <w:fldSimple w:instr=" FILENAME \p \* MERGEFORMAT ">
      <w:r w:rsidR="00522CD3">
        <w:t>P:\FRA\SG\CONSEIL\C22\000\062F.docx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E0488">
      <w:t>08.03.22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22CD3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F139" w14:textId="6CFF290A" w:rsidR="00732045" w:rsidRPr="00D16E4D" w:rsidRDefault="00B10012">
    <w:pPr>
      <w:pStyle w:val="Footer"/>
    </w:pPr>
    <w:r w:rsidRPr="002E0488">
      <w:rPr>
        <w:color w:val="F2F2F2" w:themeColor="background1" w:themeShade="F2"/>
      </w:rPr>
      <w:fldChar w:fldCharType="begin"/>
    </w:r>
    <w:r w:rsidRPr="002E0488">
      <w:rPr>
        <w:color w:val="F2F2F2" w:themeColor="background1" w:themeShade="F2"/>
      </w:rPr>
      <w:instrText xml:space="preserve"> FILENAME \p \* MERGEFORMAT </w:instrText>
    </w:r>
    <w:r w:rsidRPr="002E0488">
      <w:rPr>
        <w:color w:val="F2F2F2" w:themeColor="background1" w:themeShade="F2"/>
      </w:rPr>
      <w:fldChar w:fldCharType="separate"/>
    </w:r>
    <w:r w:rsidR="00522CD3" w:rsidRPr="002E0488">
      <w:rPr>
        <w:color w:val="F2F2F2" w:themeColor="background1" w:themeShade="F2"/>
      </w:rPr>
      <w:t>P:\FRA\SG\CONSEIL\C22\000\062F.docx</w:t>
    </w:r>
    <w:r w:rsidRPr="002E0488">
      <w:rPr>
        <w:color w:val="F2F2F2" w:themeColor="background1" w:themeShade="F2"/>
      </w:rPr>
      <w:fldChar w:fldCharType="end"/>
    </w:r>
    <w:r w:rsidR="00B51BC1" w:rsidRPr="002E0488">
      <w:rPr>
        <w:color w:val="F2F2F2" w:themeColor="background1" w:themeShade="F2"/>
      </w:rPr>
      <w:t xml:space="preserve"> (501630</w:t>
    </w:r>
    <w:r w:rsidR="00025BC2" w:rsidRPr="002E0488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D6F2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F73E" w14:textId="77777777" w:rsidR="00226400" w:rsidRDefault="00226400">
      <w:r>
        <w:t>____________________</w:t>
      </w:r>
    </w:p>
  </w:footnote>
  <w:footnote w:type="continuationSeparator" w:id="0">
    <w:p w14:paraId="26780F02" w14:textId="77777777" w:rsidR="00226400" w:rsidRDefault="0022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3D1E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5A39106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54F6" w14:textId="5646FAF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10012">
      <w:rPr>
        <w:noProof/>
      </w:rPr>
      <w:t>4</w:t>
    </w:r>
    <w:r>
      <w:rPr>
        <w:noProof/>
      </w:rPr>
      <w:fldChar w:fldCharType="end"/>
    </w:r>
  </w:p>
  <w:p w14:paraId="3B5155A8" w14:textId="68DA1D1C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D16E4D">
      <w:t>62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2A11"/>
    <w:multiLevelType w:val="hybridMultilevel"/>
    <w:tmpl w:val="370E7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6EF4"/>
    <w:multiLevelType w:val="hybridMultilevel"/>
    <w:tmpl w:val="451EFF4A"/>
    <w:lvl w:ilvl="0" w:tplc="08E82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23CC"/>
    <w:multiLevelType w:val="hybridMultilevel"/>
    <w:tmpl w:val="12E67A06"/>
    <w:lvl w:ilvl="0" w:tplc="08E82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3C"/>
    <w:rsid w:val="00025BC2"/>
    <w:rsid w:val="0003333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400"/>
    <w:rsid w:val="00240B87"/>
    <w:rsid w:val="002477A2"/>
    <w:rsid w:val="00263A51"/>
    <w:rsid w:val="00267E02"/>
    <w:rsid w:val="002A5D44"/>
    <w:rsid w:val="002C05C9"/>
    <w:rsid w:val="002E0488"/>
    <w:rsid w:val="002E0BC4"/>
    <w:rsid w:val="002F1B76"/>
    <w:rsid w:val="00307F56"/>
    <w:rsid w:val="00331084"/>
    <w:rsid w:val="0033568E"/>
    <w:rsid w:val="00355FF5"/>
    <w:rsid w:val="00361350"/>
    <w:rsid w:val="00362DCB"/>
    <w:rsid w:val="00384954"/>
    <w:rsid w:val="003C3FAE"/>
    <w:rsid w:val="004038CB"/>
    <w:rsid w:val="0040546F"/>
    <w:rsid w:val="0042404A"/>
    <w:rsid w:val="0044618F"/>
    <w:rsid w:val="0046769A"/>
    <w:rsid w:val="00472C83"/>
    <w:rsid w:val="00475FB3"/>
    <w:rsid w:val="004C37A9"/>
    <w:rsid w:val="004D1D50"/>
    <w:rsid w:val="004E47F0"/>
    <w:rsid w:val="004F259E"/>
    <w:rsid w:val="00511F1D"/>
    <w:rsid w:val="00520F36"/>
    <w:rsid w:val="00522CD3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2530D"/>
    <w:rsid w:val="006643AB"/>
    <w:rsid w:val="006C443C"/>
    <w:rsid w:val="007210CD"/>
    <w:rsid w:val="00727CDC"/>
    <w:rsid w:val="00732045"/>
    <w:rsid w:val="007369DB"/>
    <w:rsid w:val="007956C2"/>
    <w:rsid w:val="007A187E"/>
    <w:rsid w:val="007C72C2"/>
    <w:rsid w:val="007D4436"/>
    <w:rsid w:val="007F257A"/>
    <w:rsid w:val="007F2948"/>
    <w:rsid w:val="007F3665"/>
    <w:rsid w:val="00800037"/>
    <w:rsid w:val="00810754"/>
    <w:rsid w:val="0083391C"/>
    <w:rsid w:val="00861D73"/>
    <w:rsid w:val="00870425"/>
    <w:rsid w:val="00897553"/>
    <w:rsid w:val="008A4E87"/>
    <w:rsid w:val="008C46D3"/>
    <w:rsid w:val="008D016E"/>
    <w:rsid w:val="008D76E6"/>
    <w:rsid w:val="0092392D"/>
    <w:rsid w:val="00924661"/>
    <w:rsid w:val="0093234A"/>
    <w:rsid w:val="0093274C"/>
    <w:rsid w:val="009457F7"/>
    <w:rsid w:val="0097363B"/>
    <w:rsid w:val="009B1D80"/>
    <w:rsid w:val="009C307F"/>
    <w:rsid w:val="009C353C"/>
    <w:rsid w:val="009D6985"/>
    <w:rsid w:val="009F669F"/>
    <w:rsid w:val="00A2113E"/>
    <w:rsid w:val="00A23A51"/>
    <w:rsid w:val="00A24607"/>
    <w:rsid w:val="00A25CD3"/>
    <w:rsid w:val="00A4180D"/>
    <w:rsid w:val="00A43CBF"/>
    <w:rsid w:val="00A709FE"/>
    <w:rsid w:val="00A82767"/>
    <w:rsid w:val="00AA332F"/>
    <w:rsid w:val="00AA7BBB"/>
    <w:rsid w:val="00AB64A8"/>
    <w:rsid w:val="00AC0266"/>
    <w:rsid w:val="00AD24EC"/>
    <w:rsid w:val="00B0508A"/>
    <w:rsid w:val="00B10012"/>
    <w:rsid w:val="00B15114"/>
    <w:rsid w:val="00B309F9"/>
    <w:rsid w:val="00B32B60"/>
    <w:rsid w:val="00B51BC1"/>
    <w:rsid w:val="00B61619"/>
    <w:rsid w:val="00B62ECE"/>
    <w:rsid w:val="00BB4545"/>
    <w:rsid w:val="00BD5873"/>
    <w:rsid w:val="00BF29CC"/>
    <w:rsid w:val="00C04BE3"/>
    <w:rsid w:val="00C222D5"/>
    <w:rsid w:val="00C25D29"/>
    <w:rsid w:val="00C27A7C"/>
    <w:rsid w:val="00C325F7"/>
    <w:rsid w:val="00CA08ED"/>
    <w:rsid w:val="00CD67CB"/>
    <w:rsid w:val="00CF183B"/>
    <w:rsid w:val="00D16E4D"/>
    <w:rsid w:val="00D27954"/>
    <w:rsid w:val="00D341EB"/>
    <w:rsid w:val="00D375CD"/>
    <w:rsid w:val="00D5090E"/>
    <w:rsid w:val="00D553A2"/>
    <w:rsid w:val="00D774D3"/>
    <w:rsid w:val="00D904E8"/>
    <w:rsid w:val="00DA08C3"/>
    <w:rsid w:val="00DB5A3E"/>
    <w:rsid w:val="00DC22AA"/>
    <w:rsid w:val="00DF74DD"/>
    <w:rsid w:val="00E25AD0"/>
    <w:rsid w:val="00E40B70"/>
    <w:rsid w:val="00E413C9"/>
    <w:rsid w:val="00EB6350"/>
    <w:rsid w:val="00F15B57"/>
    <w:rsid w:val="00F427DB"/>
    <w:rsid w:val="00F6054F"/>
    <w:rsid w:val="00FA5EB1"/>
    <w:rsid w:val="00FA7439"/>
    <w:rsid w:val="00FC4EC0"/>
    <w:rsid w:val="00FE5260"/>
    <w:rsid w:val="00FF0181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63E25"/>
  <w15:docId w15:val="{25ED9344-C5F6-4FBB-AF2D-CBCA2852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4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C44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443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43C"/>
    <w:rPr>
      <w:rFonts w:ascii="Calibri" w:hAnsi="Calibri"/>
      <w:lang w:val="fr-FR" w:eastAsia="en-US"/>
    </w:rPr>
  </w:style>
  <w:style w:type="paragraph" w:styleId="ListParagraph">
    <w:name w:val="List Paragraph"/>
    <w:basedOn w:val="Normal"/>
    <w:uiPriority w:val="34"/>
    <w:qFormat/>
    <w:rsid w:val="00727CDC"/>
    <w:pPr>
      <w:ind w:left="720"/>
      <w:contextualSpacing/>
    </w:pPr>
  </w:style>
  <w:style w:type="paragraph" w:styleId="Revision">
    <w:name w:val="Revision"/>
    <w:hidden/>
    <w:uiPriority w:val="99"/>
    <w:semiHidden/>
    <w:rsid w:val="004E47F0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WGFHR15-C-0021/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6410</Characters>
  <Application>Microsoft Office Word</Application>
  <DocSecurity>0</DocSecurity>
  <Lines>200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Compte rendu des travaux du Groupe consultatif d'Etats Membres concernant le projet de locaux du siege de l'Union</vt:lpstr>
      <vt:lpstr>Compte rendu des travaux du Groupe consultatif d'Etats Membres concernant le projet de locaux du siege de l'Union</vt:lpstr>
    </vt:vector>
  </TitlesOfParts>
  <Manager>Secrétariat général - Pool</Manager>
  <Company>Union internationale des télécommunications (UIT)</Company>
  <LinksUpToDate>false</LinksUpToDate>
  <CharactersWithSpaces>7532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approche relative à la gestion des risques financiers liés à la construction</dc:title>
  <dc:subject>Conseil 2022</dc:subject>
  <dc:creator>French</dc:creator>
  <cp:keywords>C2022, C22, Council-22</cp:keywords>
  <dc:description/>
  <cp:lastModifiedBy>Xue, Kun</cp:lastModifiedBy>
  <cp:revision>3</cp:revision>
  <cp:lastPrinted>2000-07-18T08:55:00Z</cp:lastPrinted>
  <dcterms:created xsi:type="dcterms:W3CDTF">2022-03-08T14:48:00Z</dcterms:created>
  <dcterms:modified xsi:type="dcterms:W3CDTF">2022-03-08T14:49:00Z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