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56448D06" w:rsidR="002A2188" w:rsidRPr="00813E5E" w:rsidRDefault="002A2188" w:rsidP="00B84B9D">
            <w:pPr>
              <w:spacing w:before="360" w:after="48" w:line="240" w:lineRule="atLeast"/>
              <w:rPr>
                <w:position w:val="6"/>
              </w:rPr>
            </w:pPr>
            <w:bookmarkStart w:id="0" w:name="_Hlk66378539"/>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0"/>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line="240" w:lineRule="atLeast"/>
            </w:pPr>
            <w:bookmarkStart w:id="1" w:name="ditulogo"/>
            <w:bookmarkEnd w:id="1"/>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2E4C69">
            <w:pPr>
              <w:rPr>
                <w:b/>
                <w:smallCaps/>
                <w:szCs w:val="24"/>
              </w:rPr>
            </w:pPr>
          </w:p>
        </w:tc>
        <w:tc>
          <w:tcPr>
            <w:tcW w:w="3120" w:type="dxa"/>
            <w:tcBorders>
              <w:bottom w:val="single" w:sz="12" w:space="0" w:color="auto"/>
            </w:tcBorders>
          </w:tcPr>
          <w:p w14:paraId="76506FC1" w14:textId="77777777" w:rsidR="002A2188" w:rsidRPr="00813E5E" w:rsidRDefault="002A2188" w:rsidP="002E4C69">
            <w:pPr>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2E4C69">
            <w:pPr>
              <w:rPr>
                <w:b/>
                <w:smallCaps/>
                <w:szCs w:val="24"/>
              </w:rPr>
            </w:pPr>
          </w:p>
        </w:tc>
        <w:tc>
          <w:tcPr>
            <w:tcW w:w="3120" w:type="dxa"/>
            <w:tcBorders>
              <w:top w:val="single" w:sz="12" w:space="0" w:color="auto"/>
            </w:tcBorders>
          </w:tcPr>
          <w:p w14:paraId="49C653C0" w14:textId="77777777" w:rsidR="002A2188" w:rsidRPr="00813E5E" w:rsidRDefault="002A2188" w:rsidP="002E4C69">
            <w:pPr>
              <w:rPr>
                <w:szCs w:val="24"/>
              </w:rPr>
            </w:pPr>
          </w:p>
        </w:tc>
      </w:tr>
      <w:tr w:rsidR="002A2188" w:rsidRPr="00813E5E" w14:paraId="15B0AE9E" w14:textId="77777777" w:rsidTr="00464B6C">
        <w:trPr>
          <w:cantSplit/>
          <w:trHeight w:val="23"/>
        </w:trPr>
        <w:tc>
          <w:tcPr>
            <w:tcW w:w="6911" w:type="dxa"/>
            <w:vMerge w:val="restart"/>
          </w:tcPr>
          <w:p w14:paraId="6F107B8A" w14:textId="61AD140B" w:rsidR="002A2188" w:rsidRPr="00E85629" w:rsidRDefault="0014634F" w:rsidP="002E4C69">
            <w:pPr>
              <w:tabs>
                <w:tab w:val="left" w:pos="851"/>
              </w:tabs>
              <w:rPr>
                <w:b/>
              </w:rPr>
            </w:pPr>
            <w:bookmarkStart w:id="2" w:name="dmeeting" w:colFirst="0" w:colLast="0"/>
            <w:bookmarkStart w:id="3" w:name="dnum" w:colFirst="1" w:colLast="1"/>
            <w:r>
              <w:rPr>
                <w:b/>
              </w:rPr>
              <w:t>Agenda item:</w:t>
            </w:r>
            <w:r w:rsidR="00596A03">
              <w:rPr>
                <w:b/>
              </w:rPr>
              <w:t xml:space="preserve"> </w:t>
            </w:r>
            <w:r w:rsidR="00CB0476">
              <w:rPr>
                <w:b/>
              </w:rPr>
              <w:t xml:space="preserve">ADM </w:t>
            </w:r>
            <w:r w:rsidR="002D01E3">
              <w:rPr>
                <w:b/>
              </w:rPr>
              <w:t>17</w:t>
            </w:r>
          </w:p>
        </w:tc>
        <w:tc>
          <w:tcPr>
            <w:tcW w:w="3120" w:type="dxa"/>
          </w:tcPr>
          <w:p w14:paraId="66604129" w14:textId="547E2158" w:rsidR="002A2188" w:rsidRPr="00E85629" w:rsidRDefault="002A2188" w:rsidP="002E4C69">
            <w:pPr>
              <w:tabs>
                <w:tab w:val="left" w:pos="851"/>
              </w:tabs>
              <w:rPr>
                <w:b/>
              </w:rPr>
            </w:pPr>
            <w:r>
              <w:rPr>
                <w:b/>
              </w:rPr>
              <w:t>Document C</w:t>
            </w:r>
            <w:r w:rsidR="004A1B8B">
              <w:rPr>
                <w:b/>
              </w:rPr>
              <w:t>2</w:t>
            </w:r>
            <w:r w:rsidR="0014634F">
              <w:rPr>
                <w:b/>
              </w:rPr>
              <w:t>2</w:t>
            </w:r>
            <w:r>
              <w:rPr>
                <w:b/>
              </w:rPr>
              <w:t>/</w:t>
            </w:r>
            <w:r w:rsidR="00CF4CA1">
              <w:rPr>
                <w:b/>
              </w:rPr>
              <w:t>62</w:t>
            </w:r>
            <w:r w:rsidR="00A42648">
              <w:rPr>
                <w:b/>
              </w:rPr>
              <w:t>-</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2E4C69">
            <w:pPr>
              <w:tabs>
                <w:tab w:val="left" w:pos="851"/>
              </w:tabs>
              <w:rPr>
                <w:b/>
              </w:rPr>
            </w:pPr>
            <w:bookmarkStart w:id="4" w:name="ddate" w:colFirst="1" w:colLast="1"/>
            <w:bookmarkEnd w:id="2"/>
            <w:bookmarkEnd w:id="3"/>
          </w:p>
        </w:tc>
        <w:tc>
          <w:tcPr>
            <w:tcW w:w="3120" w:type="dxa"/>
          </w:tcPr>
          <w:p w14:paraId="2B0CDBEF" w14:textId="132E7C39" w:rsidR="002A2188" w:rsidRPr="00E85629" w:rsidRDefault="002D01E3" w:rsidP="002E4C69">
            <w:pPr>
              <w:tabs>
                <w:tab w:val="left" w:pos="993"/>
              </w:tabs>
              <w:rPr>
                <w:b/>
              </w:rPr>
            </w:pPr>
            <w:r>
              <w:rPr>
                <w:b/>
              </w:rPr>
              <w:t>1</w:t>
            </w:r>
            <w:r w:rsidR="00BC2D93">
              <w:rPr>
                <w:rFonts w:hint="eastAsia"/>
                <w:b/>
                <w:lang w:eastAsia="zh-CN"/>
              </w:rPr>
              <w:t>8</w:t>
            </w:r>
            <w:r w:rsidR="002A2188">
              <w:rPr>
                <w:b/>
              </w:rPr>
              <w:t xml:space="preserve"> </w:t>
            </w:r>
            <w:r w:rsidR="00596A03">
              <w:rPr>
                <w:b/>
              </w:rPr>
              <w:t>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2E4C69">
            <w:pPr>
              <w:tabs>
                <w:tab w:val="left" w:pos="851"/>
              </w:tabs>
              <w:rPr>
                <w:b/>
              </w:rPr>
            </w:pPr>
            <w:bookmarkStart w:id="5" w:name="dorlang" w:colFirst="1" w:colLast="1"/>
            <w:bookmarkEnd w:id="4"/>
          </w:p>
        </w:tc>
        <w:tc>
          <w:tcPr>
            <w:tcW w:w="3120" w:type="dxa"/>
          </w:tcPr>
          <w:p w14:paraId="7EAC0E79" w14:textId="77777777" w:rsidR="002A2188" w:rsidRPr="00E85629" w:rsidRDefault="002A2188" w:rsidP="002E4C69">
            <w:pPr>
              <w:tabs>
                <w:tab w:val="left" w:pos="993"/>
              </w:tabs>
              <w:rPr>
                <w:b/>
              </w:rPr>
            </w:pPr>
            <w:r>
              <w:rPr>
                <w:b/>
              </w:rPr>
              <w:t>Original: English</w:t>
            </w:r>
          </w:p>
        </w:tc>
      </w:tr>
      <w:tr w:rsidR="002A2188" w:rsidRPr="00813E5E" w14:paraId="79546A94" w14:textId="77777777" w:rsidTr="00464B6C">
        <w:trPr>
          <w:cantSplit/>
        </w:trPr>
        <w:tc>
          <w:tcPr>
            <w:tcW w:w="10031" w:type="dxa"/>
            <w:gridSpan w:val="2"/>
          </w:tcPr>
          <w:p w14:paraId="7EEA3085" w14:textId="01395EF3" w:rsidR="002A2188" w:rsidRPr="00813E5E" w:rsidRDefault="009249E8" w:rsidP="00C25E21">
            <w:pPr>
              <w:pStyle w:val="Source"/>
              <w:framePr w:hSpace="0" w:wrap="auto" w:hAnchor="text" w:yAlign="inline"/>
            </w:pPr>
            <w:bookmarkStart w:id="6" w:name="dsource" w:colFirst="0" w:colLast="0"/>
            <w:bookmarkEnd w:id="5"/>
            <w:r w:rsidRPr="00355D77">
              <w:t>Report by the Secretary-General</w:t>
            </w:r>
          </w:p>
        </w:tc>
      </w:tr>
      <w:tr w:rsidR="00FC4062" w:rsidRPr="00813E5E" w14:paraId="5B5E8CC5" w14:textId="77777777" w:rsidTr="00464B6C">
        <w:trPr>
          <w:cantSplit/>
        </w:trPr>
        <w:tc>
          <w:tcPr>
            <w:tcW w:w="10031" w:type="dxa"/>
            <w:gridSpan w:val="2"/>
          </w:tcPr>
          <w:p w14:paraId="1EB39A0B" w14:textId="09151B61" w:rsidR="00FC4062" w:rsidRDefault="009249E8" w:rsidP="00043605">
            <w:pPr>
              <w:pStyle w:val="Title1"/>
              <w:framePr w:hSpace="0" w:wrap="auto" w:hAnchor="text" w:yAlign="inline"/>
            </w:pPr>
            <w:bookmarkStart w:id="7" w:name="dtitle1" w:colFirst="0" w:colLast="0"/>
            <w:bookmarkEnd w:id="6"/>
            <w:r w:rsidRPr="009249E8">
              <w:t>New approach to financial risk management of construction</w:t>
            </w:r>
          </w:p>
          <w:p w14:paraId="3689B12B" w14:textId="30EA11A4" w:rsidR="009249E8" w:rsidRPr="009249E8" w:rsidRDefault="009249E8" w:rsidP="00CF4CA1">
            <w:pPr>
              <w:pStyle w:val="Title2"/>
              <w:framePr w:hSpace="0" w:wrap="auto" w:hAnchor="text" w:yAlign="inline"/>
              <w:jc w:val="left"/>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4014B"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44CAD894" w14:textId="77777777" w:rsidR="002A2188" w:rsidRPr="00E4014B" w:rsidRDefault="002A2188" w:rsidP="004C2E86">
            <w:pPr>
              <w:pStyle w:val="Headingb"/>
              <w:spacing w:before="120" w:after="120"/>
              <w:rPr>
                <w:rFonts w:asciiTheme="minorHAnsi" w:hAnsiTheme="minorHAnsi" w:cstheme="minorHAnsi"/>
                <w:szCs w:val="24"/>
              </w:rPr>
            </w:pPr>
            <w:r w:rsidRPr="00E4014B">
              <w:rPr>
                <w:rFonts w:asciiTheme="minorHAnsi" w:hAnsiTheme="minorHAnsi" w:cstheme="minorHAnsi"/>
                <w:szCs w:val="24"/>
              </w:rPr>
              <w:t>Summary</w:t>
            </w:r>
          </w:p>
          <w:p w14:paraId="34E38646" w14:textId="489C09F2" w:rsidR="002A2188" w:rsidRPr="00E4014B" w:rsidRDefault="002961E9" w:rsidP="004C2E86">
            <w:pPr>
              <w:spacing w:before="120" w:after="120"/>
              <w:jc w:val="both"/>
              <w:rPr>
                <w:rFonts w:asciiTheme="minorHAnsi" w:hAnsiTheme="minorHAnsi" w:cstheme="minorHAnsi"/>
                <w:szCs w:val="24"/>
              </w:rPr>
            </w:pPr>
            <w:r w:rsidRPr="00E4014B">
              <w:rPr>
                <w:rFonts w:asciiTheme="minorHAnsi" w:hAnsiTheme="minorHAnsi" w:cstheme="minorHAnsi"/>
                <w:color w:val="000000"/>
                <w:szCs w:val="24"/>
              </w:rPr>
              <w:t xml:space="preserve">Following a contribution from the United States of America at the last CWG-FHR </w:t>
            </w:r>
            <w:r w:rsidR="00C453EB">
              <w:rPr>
                <w:rFonts w:asciiTheme="minorHAnsi" w:hAnsiTheme="minorHAnsi" w:cstheme="minorHAnsi"/>
                <w:color w:val="000000"/>
                <w:szCs w:val="24"/>
              </w:rPr>
              <w:t>meeting</w:t>
            </w:r>
            <w:r w:rsidR="007715B5">
              <w:rPr>
                <w:rFonts w:asciiTheme="minorHAnsi" w:hAnsiTheme="minorHAnsi" w:cstheme="minorHAnsi"/>
                <w:color w:val="000000"/>
                <w:szCs w:val="24"/>
              </w:rPr>
              <w:t xml:space="preserve"> </w:t>
            </w:r>
            <w:r w:rsidRPr="00E4014B">
              <w:rPr>
                <w:rFonts w:asciiTheme="minorHAnsi" w:hAnsiTheme="minorHAnsi" w:cstheme="minorHAnsi"/>
                <w:color w:val="000000"/>
                <w:szCs w:val="24"/>
              </w:rPr>
              <w:t xml:space="preserve">requesting the </w:t>
            </w:r>
            <w:r w:rsidR="005A51D7">
              <w:rPr>
                <w:rFonts w:asciiTheme="minorHAnsi" w:hAnsiTheme="minorHAnsi" w:cstheme="minorHAnsi"/>
                <w:color w:val="000000"/>
                <w:szCs w:val="24"/>
              </w:rPr>
              <w:t>s</w:t>
            </w:r>
            <w:r w:rsidRPr="00E4014B">
              <w:rPr>
                <w:rFonts w:asciiTheme="minorHAnsi" w:hAnsiTheme="minorHAnsi" w:cstheme="minorHAnsi"/>
                <w:color w:val="000000"/>
                <w:szCs w:val="24"/>
              </w:rPr>
              <w:t xml:space="preserve">ecretariat </w:t>
            </w:r>
            <w:r w:rsidR="001668BE" w:rsidRPr="00E4014B">
              <w:rPr>
                <w:rFonts w:asciiTheme="minorHAnsi" w:hAnsiTheme="minorHAnsi" w:cstheme="minorHAnsi"/>
                <w:color w:val="000000"/>
                <w:szCs w:val="24"/>
              </w:rPr>
              <w:t>to gather more information about the possible costs and consider the use of insurance as a means of transferring risk as an alternative to the Risk Register Fund (RRF) and report to Council 2022</w:t>
            </w:r>
            <w:r w:rsidR="00C453EB">
              <w:rPr>
                <w:rFonts w:asciiTheme="minorHAnsi" w:hAnsiTheme="minorHAnsi" w:cstheme="minorHAnsi"/>
                <w:color w:val="000000"/>
                <w:szCs w:val="24"/>
              </w:rPr>
              <w:t>,</w:t>
            </w:r>
            <w:r w:rsidRPr="00E4014B">
              <w:rPr>
                <w:rFonts w:asciiTheme="minorHAnsi" w:hAnsiTheme="minorHAnsi" w:cstheme="minorHAnsi"/>
                <w:color w:val="000000"/>
                <w:szCs w:val="24"/>
              </w:rPr>
              <w:t xml:space="preserve"> </w:t>
            </w:r>
            <w:r w:rsidR="00C453EB">
              <w:rPr>
                <w:rFonts w:asciiTheme="minorHAnsi" w:hAnsiTheme="minorHAnsi" w:cstheme="minorHAnsi"/>
                <w:color w:val="000000"/>
                <w:szCs w:val="24"/>
              </w:rPr>
              <w:t>t</w:t>
            </w:r>
            <w:r w:rsidRPr="00E4014B">
              <w:rPr>
                <w:rFonts w:asciiTheme="minorHAnsi" w:hAnsiTheme="minorHAnsi" w:cstheme="minorHAnsi"/>
                <w:color w:val="000000"/>
                <w:szCs w:val="24"/>
              </w:rPr>
              <w:t xml:space="preserve">he secretariat surveyed brokers </w:t>
            </w:r>
            <w:r w:rsidR="00C25E21" w:rsidRPr="00E4014B">
              <w:rPr>
                <w:rFonts w:asciiTheme="minorHAnsi" w:hAnsiTheme="minorHAnsi" w:cstheme="minorHAnsi"/>
                <w:color w:val="000000"/>
                <w:szCs w:val="24"/>
              </w:rPr>
              <w:t>and</w:t>
            </w:r>
            <w:r w:rsidRPr="00E4014B">
              <w:rPr>
                <w:rFonts w:asciiTheme="minorHAnsi" w:hAnsiTheme="minorHAnsi" w:cstheme="minorHAnsi"/>
                <w:color w:val="000000"/>
                <w:szCs w:val="24"/>
              </w:rPr>
              <w:t xml:space="preserve"> contacted other Geneva-based international organi</w:t>
            </w:r>
            <w:r w:rsidR="00A55F23">
              <w:rPr>
                <w:rFonts w:asciiTheme="minorHAnsi" w:hAnsiTheme="minorHAnsi" w:cstheme="minorHAnsi"/>
                <w:color w:val="000000"/>
                <w:szCs w:val="24"/>
              </w:rPr>
              <w:t>z</w:t>
            </w:r>
            <w:r w:rsidRPr="00E4014B">
              <w:rPr>
                <w:rFonts w:asciiTheme="minorHAnsi" w:hAnsiTheme="minorHAnsi" w:cstheme="minorHAnsi"/>
                <w:color w:val="000000"/>
                <w:szCs w:val="24"/>
              </w:rPr>
              <w:t>ations that have had recent construction projects.</w:t>
            </w:r>
            <w:r w:rsidR="001668BE" w:rsidRPr="00E4014B">
              <w:rPr>
                <w:rFonts w:asciiTheme="minorHAnsi" w:hAnsiTheme="minorHAnsi" w:cstheme="minorHAnsi"/>
                <w:color w:val="000000"/>
                <w:szCs w:val="24"/>
              </w:rPr>
              <w:t xml:space="preserve"> </w:t>
            </w:r>
          </w:p>
          <w:p w14:paraId="17A30379" w14:textId="7FE21F24" w:rsidR="002A2188" w:rsidRPr="00E4014B" w:rsidRDefault="002A2188" w:rsidP="004C2E86">
            <w:pPr>
              <w:pStyle w:val="Headingb"/>
              <w:spacing w:before="120" w:after="120"/>
              <w:rPr>
                <w:rFonts w:asciiTheme="minorHAnsi" w:hAnsiTheme="minorHAnsi" w:cstheme="minorHAnsi"/>
                <w:szCs w:val="24"/>
              </w:rPr>
            </w:pPr>
            <w:r w:rsidRPr="00E4014B">
              <w:rPr>
                <w:rFonts w:asciiTheme="minorHAnsi" w:hAnsiTheme="minorHAnsi" w:cstheme="minorHAnsi"/>
                <w:szCs w:val="24"/>
              </w:rPr>
              <w:t>Action required</w:t>
            </w:r>
          </w:p>
          <w:p w14:paraId="20D194CD" w14:textId="1079AF67" w:rsidR="00C25E21" w:rsidRPr="00E4014B" w:rsidRDefault="00C25E21" w:rsidP="004C2E86">
            <w:pPr>
              <w:spacing w:before="120" w:after="120"/>
              <w:rPr>
                <w:rFonts w:asciiTheme="minorHAnsi" w:hAnsiTheme="minorHAnsi" w:cstheme="minorHAnsi"/>
                <w:szCs w:val="24"/>
              </w:rPr>
            </w:pPr>
            <w:r w:rsidRPr="00E4014B">
              <w:rPr>
                <w:rFonts w:asciiTheme="minorHAnsi" w:hAnsiTheme="minorHAnsi" w:cstheme="minorHAnsi"/>
                <w:szCs w:val="24"/>
              </w:rPr>
              <w:t xml:space="preserve">The Council is invited to </w:t>
            </w:r>
            <w:r w:rsidRPr="007715B5">
              <w:rPr>
                <w:rFonts w:asciiTheme="minorHAnsi" w:hAnsiTheme="minorHAnsi" w:cstheme="minorHAnsi"/>
                <w:b/>
                <w:bCs/>
                <w:szCs w:val="24"/>
              </w:rPr>
              <w:t>take note</w:t>
            </w:r>
            <w:r w:rsidRPr="00E4014B">
              <w:rPr>
                <w:rFonts w:asciiTheme="minorHAnsi" w:hAnsiTheme="minorHAnsi" w:cstheme="minorHAnsi"/>
                <w:szCs w:val="24"/>
              </w:rPr>
              <w:t xml:space="preserve"> of this document and </w:t>
            </w:r>
            <w:r w:rsidR="00BE2234">
              <w:rPr>
                <w:rFonts w:asciiTheme="minorHAnsi" w:hAnsiTheme="minorHAnsi" w:cstheme="minorHAnsi"/>
                <w:szCs w:val="24"/>
              </w:rPr>
              <w:t xml:space="preserve">its </w:t>
            </w:r>
            <w:r w:rsidRPr="00E4014B">
              <w:rPr>
                <w:rFonts w:asciiTheme="minorHAnsi" w:hAnsiTheme="minorHAnsi" w:cstheme="minorHAnsi"/>
                <w:szCs w:val="24"/>
              </w:rPr>
              <w:t>recommendation</w:t>
            </w:r>
            <w:r w:rsidR="00BE2234">
              <w:rPr>
                <w:rFonts w:asciiTheme="minorHAnsi" w:hAnsiTheme="minorHAnsi" w:cstheme="minorHAnsi"/>
                <w:szCs w:val="24"/>
              </w:rPr>
              <w:t>.</w:t>
            </w:r>
          </w:p>
          <w:p w14:paraId="3098B3AD" w14:textId="2A631205" w:rsidR="002A2188" w:rsidRPr="00E4014B" w:rsidRDefault="002A2188" w:rsidP="004C2E86">
            <w:pPr>
              <w:pStyle w:val="Table"/>
              <w:keepNext w:val="0"/>
              <w:spacing w:before="120"/>
              <w:rPr>
                <w:rFonts w:asciiTheme="minorHAnsi" w:hAnsiTheme="minorHAnsi" w:cstheme="minorHAnsi"/>
                <w:caps w:val="0"/>
                <w:szCs w:val="24"/>
              </w:rPr>
            </w:pPr>
            <w:r w:rsidRPr="00E4014B">
              <w:rPr>
                <w:rFonts w:asciiTheme="minorHAnsi" w:hAnsiTheme="minorHAnsi" w:cstheme="minorHAnsi"/>
                <w:caps w:val="0"/>
                <w:szCs w:val="24"/>
              </w:rPr>
              <w:t>____________</w:t>
            </w:r>
          </w:p>
          <w:p w14:paraId="6D31B914" w14:textId="7AE7B4CD" w:rsidR="002A2188" w:rsidRPr="00E4014B" w:rsidRDefault="002A2188" w:rsidP="004C2E86">
            <w:pPr>
              <w:pStyle w:val="Headingb"/>
              <w:spacing w:before="120" w:after="120"/>
              <w:rPr>
                <w:rFonts w:asciiTheme="minorHAnsi" w:hAnsiTheme="minorHAnsi" w:cstheme="minorHAnsi"/>
                <w:szCs w:val="24"/>
              </w:rPr>
            </w:pPr>
            <w:r w:rsidRPr="00E4014B">
              <w:rPr>
                <w:rFonts w:asciiTheme="minorHAnsi" w:hAnsiTheme="minorHAnsi" w:cstheme="minorHAnsi"/>
                <w:szCs w:val="24"/>
              </w:rPr>
              <w:t>Reference</w:t>
            </w:r>
          </w:p>
          <w:p w14:paraId="47763C34" w14:textId="4246F946" w:rsidR="002A2188" w:rsidRPr="00E4014B" w:rsidRDefault="00EE2827" w:rsidP="004C2E86">
            <w:pPr>
              <w:spacing w:before="120" w:after="120"/>
              <w:rPr>
                <w:rFonts w:asciiTheme="minorHAnsi" w:hAnsiTheme="minorHAnsi" w:cstheme="minorHAnsi"/>
                <w:i/>
                <w:iCs/>
                <w:szCs w:val="24"/>
              </w:rPr>
            </w:pPr>
            <w:r>
              <w:rPr>
                <w:rFonts w:asciiTheme="minorHAnsi" w:hAnsiTheme="minorHAnsi" w:cstheme="minorHAnsi"/>
                <w:color w:val="000000"/>
                <w:szCs w:val="24"/>
              </w:rPr>
              <w:t xml:space="preserve">Document </w:t>
            </w:r>
            <w:hyperlink r:id="rId9" w:history="1">
              <w:r w:rsidR="001668BE" w:rsidRPr="00EE2827">
                <w:rPr>
                  <w:rStyle w:val="Hyperlink"/>
                  <w:rFonts w:asciiTheme="minorHAnsi" w:hAnsiTheme="minorHAnsi" w:cstheme="minorHAnsi"/>
                  <w:szCs w:val="24"/>
                </w:rPr>
                <w:t>CWG-FHR-15/21</w:t>
              </w:r>
            </w:hyperlink>
            <w:r w:rsidR="00043605" w:rsidRPr="00E4014B">
              <w:rPr>
                <w:rFonts w:asciiTheme="minorHAnsi" w:hAnsiTheme="minorHAnsi" w:cstheme="minorHAnsi"/>
                <w:color w:val="000000"/>
                <w:szCs w:val="24"/>
              </w:rPr>
              <w:t xml:space="preserve"> </w:t>
            </w:r>
          </w:p>
        </w:tc>
      </w:tr>
    </w:tbl>
    <w:p w14:paraId="2A1AE6D0" w14:textId="20D50E98" w:rsidR="004552A1" w:rsidRPr="002E4C69" w:rsidRDefault="004552A1">
      <w:pPr>
        <w:rPr>
          <w:rFonts w:asciiTheme="minorHAnsi" w:hAnsiTheme="minorHAnsi" w:cstheme="minorHAnsi"/>
          <w:szCs w:val="24"/>
          <w:lang w:val="en-US"/>
        </w:rPr>
      </w:pPr>
      <w:bookmarkStart w:id="8" w:name="dstart"/>
      <w:bookmarkStart w:id="9" w:name="dbreak"/>
      <w:bookmarkEnd w:id="8"/>
      <w:bookmarkEnd w:id="9"/>
      <w:r w:rsidRPr="00E4014B">
        <w:rPr>
          <w:rFonts w:asciiTheme="minorHAnsi" w:hAnsiTheme="minorHAnsi" w:cstheme="minorHAnsi"/>
          <w:color w:val="4F81BD" w:themeColor="accent1"/>
          <w:szCs w:val="24"/>
          <w:lang w:val="en-US"/>
        </w:rPr>
        <w:br w:type="page"/>
      </w:r>
    </w:p>
    <w:p w14:paraId="743A1053" w14:textId="1D30E7FF" w:rsidR="00AC2487" w:rsidRPr="00E4014B" w:rsidRDefault="00ED55DD" w:rsidP="002E4C69">
      <w:pPr>
        <w:tabs>
          <w:tab w:val="left" w:pos="709"/>
          <w:tab w:val="left" w:pos="5283"/>
        </w:tabs>
        <w:spacing w:before="360" w:after="120"/>
        <w:rPr>
          <w:rFonts w:asciiTheme="minorHAnsi" w:hAnsiTheme="minorHAnsi" w:cstheme="minorHAnsi"/>
          <w:szCs w:val="24"/>
          <w:lang w:val="en-US"/>
        </w:rPr>
      </w:pPr>
      <w:r>
        <w:rPr>
          <w:rFonts w:asciiTheme="minorHAnsi" w:hAnsiTheme="minorHAnsi" w:cstheme="minorHAnsi"/>
          <w:b/>
          <w:bCs/>
          <w:szCs w:val="24"/>
          <w:lang w:val="en-US"/>
        </w:rPr>
        <w:lastRenderedPageBreak/>
        <w:t>1</w:t>
      </w:r>
      <w:r w:rsidR="002535F1">
        <w:rPr>
          <w:rFonts w:asciiTheme="minorHAnsi" w:hAnsiTheme="minorHAnsi" w:cstheme="minorHAnsi"/>
          <w:b/>
          <w:bCs/>
          <w:szCs w:val="24"/>
          <w:lang w:val="en-US"/>
        </w:rPr>
        <w:tab/>
      </w:r>
      <w:r w:rsidR="00D91489" w:rsidRPr="00747354">
        <w:rPr>
          <w:rFonts w:asciiTheme="minorHAnsi" w:hAnsiTheme="minorHAnsi" w:cstheme="minorHAnsi"/>
          <w:b/>
          <w:bCs/>
          <w:szCs w:val="24"/>
          <w:lang w:val="en-US"/>
        </w:rPr>
        <w:t>Introduction</w:t>
      </w:r>
      <w:r w:rsidR="002E4C69">
        <w:rPr>
          <w:rFonts w:asciiTheme="minorHAnsi" w:hAnsiTheme="minorHAnsi" w:cstheme="minorHAnsi"/>
          <w:b/>
          <w:bCs/>
          <w:szCs w:val="24"/>
          <w:lang w:val="en-US"/>
        </w:rPr>
        <w:tab/>
      </w:r>
    </w:p>
    <w:p w14:paraId="1F15EFBC" w14:textId="307C29C0" w:rsidR="00EE282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1.1</w:t>
      </w:r>
      <w:r w:rsidR="00747354">
        <w:rPr>
          <w:rFonts w:asciiTheme="minorHAnsi" w:hAnsiTheme="minorHAnsi" w:cstheme="minorHAnsi"/>
          <w:color w:val="000000"/>
        </w:rPr>
        <w:tab/>
      </w:r>
      <w:r w:rsidR="00EF7391" w:rsidRPr="00E4014B">
        <w:rPr>
          <w:rFonts w:asciiTheme="minorHAnsi" w:hAnsiTheme="minorHAnsi" w:cstheme="minorHAnsi"/>
          <w:color w:val="000000"/>
        </w:rPr>
        <w:t>Through Decision 619 approved at its additional session in September 2019, the Council decided to provide an additional financial guarantee to compensate for non-mitigable risks up to CHF</w:t>
      </w:r>
      <w:r w:rsidR="002E4C69">
        <w:rPr>
          <w:rFonts w:asciiTheme="minorHAnsi" w:hAnsiTheme="minorHAnsi" w:cstheme="minorHAnsi"/>
          <w:color w:val="000000"/>
        </w:rPr>
        <w:t> </w:t>
      </w:r>
      <w:r w:rsidR="00EF7391" w:rsidRPr="00E4014B">
        <w:rPr>
          <w:rFonts w:asciiTheme="minorHAnsi" w:hAnsiTheme="minorHAnsi" w:cstheme="minorHAnsi"/>
          <w:color w:val="000000"/>
        </w:rPr>
        <w:t>12</w:t>
      </w:r>
      <w:r w:rsidR="000A5077">
        <w:rPr>
          <w:rFonts w:asciiTheme="minorHAnsi" w:hAnsiTheme="minorHAnsi" w:cstheme="minorHAnsi"/>
          <w:color w:val="000000"/>
        </w:rPr>
        <w:t>.</w:t>
      </w:r>
      <w:r w:rsidR="00EF7391" w:rsidRPr="00E4014B">
        <w:rPr>
          <w:rFonts w:asciiTheme="minorHAnsi" w:hAnsiTheme="minorHAnsi" w:cstheme="minorHAnsi"/>
          <w:color w:val="000000"/>
        </w:rPr>
        <w:t>6</w:t>
      </w:r>
      <w:r w:rsidR="000A5077">
        <w:rPr>
          <w:rFonts w:asciiTheme="minorHAnsi" w:hAnsiTheme="minorHAnsi" w:cstheme="minorHAnsi"/>
          <w:color w:val="000000"/>
        </w:rPr>
        <w:t>million</w:t>
      </w:r>
      <w:r w:rsidR="00EF7391" w:rsidRPr="00E4014B">
        <w:rPr>
          <w:rFonts w:asciiTheme="minorHAnsi" w:hAnsiTheme="minorHAnsi" w:cstheme="minorHAnsi"/>
          <w:color w:val="000000"/>
        </w:rPr>
        <w:t>, which represents the cumulative limit of 8</w:t>
      </w:r>
      <w:r w:rsidR="00BE2234">
        <w:rPr>
          <w:rFonts w:asciiTheme="minorHAnsi" w:hAnsiTheme="minorHAnsi" w:cstheme="minorHAnsi"/>
          <w:color w:val="000000"/>
        </w:rPr>
        <w:t xml:space="preserve"> per cent</w:t>
      </w:r>
      <w:r w:rsidR="00EF7391" w:rsidRPr="00E4014B">
        <w:rPr>
          <w:rFonts w:asciiTheme="minorHAnsi" w:hAnsiTheme="minorHAnsi" w:cstheme="minorHAnsi"/>
          <w:color w:val="000000"/>
        </w:rPr>
        <w:t xml:space="preserve"> of the current direct cost estimates described in </w:t>
      </w:r>
      <w:r w:rsidR="00444623">
        <w:rPr>
          <w:rFonts w:asciiTheme="minorHAnsi" w:hAnsiTheme="minorHAnsi" w:cstheme="minorHAnsi"/>
          <w:color w:val="000000"/>
        </w:rPr>
        <w:t>d</w:t>
      </w:r>
      <w:r w:rsidR="00EF7391" w:rsidRPr="00E4014B">
        <w:rPr>
          <w:rFonts w:asciiTheme="minorHAnsi" w:hAnsiTheme="minorHAnsi" w:cstheme="minorHAnsi"/>
          <w:color w:val="000000"/>
        </w:rPr>
        <w:t xml:space="preserve">ocument C19-ADD/2, by establishing a Risk Register Fund to be financed under subsequent Council decisions from 2020 onwards, in accordance with the Financial Regulations and </w:t>
      </w:r>
      <w:r w:rsidR="00BE2234">
        <w:rPr>
          <w:rFonts w:asciiTheme="minorHAnsi" w:hAnsiTheme="minorHAnsi" w:cstheme="minorHAnsi"/>
          <w:color w:val="000000"/>
        </w:rPr>
        <w:t xml:space="preserve">Financial </w:t>
      </w:r>
      <w:r w:rsidR="00EF7391" w:rsidRPr="00E4014B">
        <w:rPr>
          <w:rFonts w:asciiTheme="minorHAnsi" w:hAnsiTheme="minorHAnsi" w:cstheme="minorHAnsi"/>
          <w:color w:val="000000"/>
        </w:rPr>
        <w:t>Rules.</w:t>
      </w:r>
    </w:p>
    <w:p w14:paraId="75787FB6" w14:textId="78930EC9" w:rsidR="00EE282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1.2</w:t>
      </w:r>
      <w:r>
        <w:rPr>
          <w:rFonts w:asciiTheme="minorHAnsi" w:hAnsiTheme="minorHAnsi" w:cstheme="minorHAnsi"/>
          <w:color w:val="000000"/>
        </w:rPr>
        <w:tab/>
      </w:r>
      <w:r w:rsidR="00EF7391" w:rsidRPr="00E4014B">
        <w:rPr>
          <w:rFonts w:asciiTheme="minorHAnsi" w:hAnsiTheme="minorHAnsi" w:cstheme="minorHAnsi"/>
          <w:color w:val="000000"/>
        </w:rPr>
        <w:t>At the MSAG of 15 December 2021 and subsequently the CWG-FHR</w:t>
      </w:r>
      <w:r w:rsidR="00BE2234">
        <w:rPr>
          <w:rFonts w:asciiTheme="minorHAnsi" w:hAnsiTheme="minorHAnsi" w:cstheme="minorHAnsi"/>
          <w:color w:val="000000"/>
        </w:rPr>
        <w:t xml:space="preserve"> meeting</w:t>
      </w:r>
      <w:r w:rsidR="00EF7391" w:rsidRPr="00E4014B">
        <w:rPr>
          <w:rFonts w:asciiTheme="minorHAnsi" w:hAnsiTheme="minorHAnsi" w:cstheme="minorHAnsi"/>
          <w:color w:val="000000"/>
        </w:rPr>
        <w:t xml:space="preserve"> of 11 and 12</w:t>
      </w:r>
      <w:r w:rsidR="00BE2234">
        <w:rPr>
          <w:rFonts w:asciiTheme="minorHAnsi" w:hAnsiTheme="minorHAnsi" w:cstheme="minorHAnsi"/>
          <w:color w:val="000000"/>
        </w:rPr>
        <w:t> </w:t>
      </w:r>
      <w:r w:rsidR="00EF7391" w:rsidRPr="00E4014B">
        <w:rPr>
          <w:rFonts w:asciiTheme="minorHAnsi" w:hAnsiTheme="minorHAnsi" w:cstheme="minorHAnsi"/>
          <w:color w:val="000000"/>
        </w:rPr>
        <w:t>January</w:t>
      </w:r>
      <w:r w:rsidR="00BE2234">
        <w:rPr>
          <w:rFonts w:asciiTheme="minorHAnsi" w:hAnsiTheme="minorHAnsi" w:cstheme="minorHAnsi"/>
          <w:color w:val="000000"/>
        </w:rPr>
        <w:t> </w:t>
      </w:r>
      <w:r w:rsidR="00EF7391" w:rsidRPr="00E4014B">
        <w:rPr>
          <w:rFonts w:asciiTheme="minorHAnsi" w:hAnsiTheme="minorHAnsi" w:cstheme="minorHAnsi"/>
          <w:color w:val="000000"/>
        </w:rPr>
        <w:t xml:space="preserve">2022, the </w:t>
      </w:r>
      <w:r w:rsidR="00BE2234">
        <w:rPr>
          <w:rFonts w:asciiTheme="minorHAnsi" w:hAnsiTheme="minorHAnsi" w:cstheme="minorHAnsi"/>
          <w:color w:val="000000"/>
        </w:rPr>
        <w:t>s</w:t>
      </w:r>
      <w:r w:rsidR="00EF7391" w:rsidRPr="00E4014B">
        <w:rPr>
          <w:rFonts w:asciiTheme="minorHAnsi" w:hAnsiTheme="minorHAnsi" w:cstheme="minorHAnsi"/>
          <w:color w:val="000000"/>
        </w:rPr>
        <w:t xml:space="preserve">ecretariat was requested to </w:t>
      </w:r>
      <w:r w:rsidR="000A5077">
        <w:rPr>
          <w:rFonts w:asciiTheme="minorHAnsi" w:hAnsiTheme="minorHAnsi" w:cstheme="minorHAnsi"/>
          <w:color w:val="000000"/>
        </w:rPr>
        <w:t>gather</w:t>
      </w:r>
      <w:r w:rsidR="00EF7391" w:rsidRPr="00E4014B">
        <w:rPr>
          <w:rFonts w:asciiTheme="minorHAnsi" w:hAnsiTheme="minorHAnsi" w:cstheme="minorHAnsi"/>
          <w:color w:val="000000"/>
        </w:rPr>
        <w:t xml:space="preserve"> the necessary information on a possible transfer of the risk of a </w:t>
      </w:r>
      <w:r w:rsidR="00E41628" w:rsidRPr="00E4014B">
        <w:rPr>
          <w:rFonts w:asciiTheme="minorHAnsi" w:hAnsiTheme="minorHAnsi" w:cstheme="minorHAnsi"/>
          <w:color w:val="000000"/>
        </w:rPr>
        <w:t>non-funding</w:t>
      </w:r>
      <w:r w:rsidR="00EF7391" w:rsidRPr="00E4014B">
        <w:rPr>
          <w:rFonts w:asciiTheme="minorHAnsi" w:hAnsiTheme="minorHAnsi" w:cstheme="minorHAnsi"/>
          <w:color w:val="000000"/>
        </w:rPr>
        <w:t xml:space="preserve"> of the Risk </w:t>
      </w:r>
      <w:r w:rsidR="006566CE">
        <w:rPr>
          <w:rFonts w:asciiTheme="minorHAnsi" w:hAnsiTheme="minorHAnsi" w:cstheme="minorHAnsi"/>
          <w:color w:val="000000"/>
        </w:rPr>
        <w:t>R</w:t>
      </w:r>
      <w:r w:rsidR="00EF7391" w:rsidRPr="00E4014B">
        <w:rPr>
          <w:rFonts w:asciiTheme="minorHAnsi" w:hAnsiTheme="minorHAnsi" w:cstheme="minorHAnsi"/>
          <w:color w:val="000000"/>
        </w:rPr>
        <w:t xml:space="preserve">egister </w:t>
      </w:r>
      <w:r w:rsidR="006566CE">
        <w:rPr>
          <w:rFonts w:asciiTheme="minorHAnsi" w:hAnsiTheme="minorHAnsi" w:cstheme="minorHAnsi"/>
          <w:color w:val="000000"/>
        </w:rPr>
        <w:t>F</w:t>
      </w:r>
      <w:r w:rsidR="00EF7391" w:rsidRPr="00E4014B">
        <w:rPr>
          <w:rFonts w:asciiTheme="minorHAnsi" w:hAnsiTheme="minorHAnsi" w:cstheme="minorHAnsi"/>
          <w:color w:val="000000"/>
        </w:rPr>
        <w:t>und to a third institution.</w:t>
      </w:r>
    </w:p>
    <w:p w14:paraId="623E85FC" w14:textId="3CAB2470" w:rsidR="00EE282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1.3</w:t>
      </w:r>
      <w:r>
        <w:rPr>
          <w:rFonts w:asciiTheme="minorHAnsi" w:hAnsiTheme="minorHAnsi" w:cstheme="minorHAnsi"/>
          <w:color w:val="000000"/>
        </w:rPr>
        <w:tab/>
      </w:r>
      <w:r w:rsidR="00EF7391" w:rsidRPr="00E4014B">
        <w:rPr>
          <w:rFonts w:asciiTheme="minorHAnsi" w:hAnsiTheme="minorHAnsi" w:cstheme="minorHAnsi"/>
          <w:color w:val="000000"/>
        </w:rPr>
        <w:t xml:space="preserve">As soon as the work of the CWG-FHR was completed, the </w:t>
      </w:r>
      <w:r w:rsidR="00E41628" w:rsidRPr="00E4014B">
        <w:rPr>
          <w:rFonts w:asciiTheme="minorHAnsi" w:hAnsiTheme="minorHAnsi" w:cstheme="minorHAnsi"/>
          <w:color w:val="000000"/>
        </w:rPr>
        <w:t>ITU</w:t>
      </w:r>
      <w:r w:rsidR="00EF7391" w:rsidRPr="00E4014B">
        <w:rPr>
          <w:rFonts w:asciiTheme="minorHAnsi" w:hAnsiTheme="minorHAnsi" w:cstheme="minorHAnsi"/>
          <w:color w:val="000000"/>
        </w:rPr>
        <w:t xml:space="preserve"> </w:t>
      </w:r>
      <w:r w:rsidR="00BE2234">
        <w:rPr>
          <w:rFonts w:asciiTheme="minorHAnsi" w:hAnsiTheme="minorHAnsi" w:cstheme="minorHAnsi"/>
          <w:color w:val="000000"/>
        </w:rPr>
        <w:t>s</w:t>
      </w:r>
      <w:r w:rsidR="00EF7391" w:rsidRPr="00E4014B">
        <w:rPr>
          <w:rFonts w:asciiTheme="minorHAnsi" w:hAnsiTheme="minorHAnsi" w:cstheme="minorHAnsi"/>
          <w:color w:val="000000"/>
        </w:rPr>
        <w:t xml:space="preserve">ecretariat began to approach brokers to </w:t>
      </w:r>
      <w:r w:rsidR="00502E0B">
        <w:rPr>
          <w:rFonts w:asciiTheme="minorHAnsi" w:hAnsiTheme="minorHAnsi" w:cstheme="minorHAnsi"/>
          <w:color w:val="000000"/>
        </w:rPr>
        <w:t>investigate whether</w:t>
      </w:r>
      <w:r w:rsidR="00EF7391" w:rsidRPr="00E4014B">
        <w:rPr>
          <w:rFonts w:asciiTheme="minorHAnsi" w:hAnsiTheme="minorHAnsi" w:cstheme="minorHAnsi"/>
          <w:color w:val="000000"/>
        </w:rPr>
        <w:t xml:space="preserve"> such insurance was available on the market. </w:t>
      </w:r>
    </w:p>
    <w:p w14:paraId="085BA363" w14:textId="0CA1BA6D" w:rsidR="00EE282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1.4</w:t>
      </w:r>
      <w:r>
        <w:rPr>
          <w:rFonts w:asciiTheme="minorHAnsi" w:hAnsiTheme="minorHAnsi" w:cstheme="minorHAnsi"/>
          <w:color w:val="000000"/>
        </w:rPr>
        <w:tab/>
      </w:r>
      <w:r w:rsidR="00EF7391" w:rsidRPr="00E4014B">
        <w:rPr>
          <w:rFonts w:asciiTheme="minorHAnsi" w:hAnsiTheme="minorHAnsi" w:cstheme="minorHAnsi"/>
          <w:color w:val="000000"/>
        </w:rPr>
        <w:t xml:space="preserve">The </w:t>
      </w:r>
      <w:r w:rsidR="000A5077">
        <w:rPr>
          <w:rFonts w:asciiTheme="minorHAnsi" w:hAnsiTheme="minorHAnsi" w:cstheme="minorHAnsi"/>
          <w:color w:val="000000"/>
        </w:rPr>
        <w:t>s</w:t>
      </w:r>
      <w:r w:rsidR="00EF7391" w:rsidRPr="00E4014B">
        <w:rPr>
          <w:rFonts w:asciiTheme="minorHAnsi" w:hAnsiTheme="minorHAnsi" w:cstheme="minorHAnsi"/>
          <w:color w:val="000000"/>
        </w:rPr>
        <w:t>ecretariat also carried out a</w:t>
      </w:r>
      <w:r w:rsidR="00B80207">
        <w:rPr>
          <w:rFonts w:asciiTheme="minorHAnsi" w:hAnsiTheme="minorHAnsi" w:cstheme="minorHAnsi"/>
          <w:color w:val="000000"/>
        </w:rPr>
        <w:t xml:space="preserve"> lesson learned exercise</w:t>
      </w:r>
      <w:r w:rsidR="00EF7391" w:rsidRPr="00E4014B">
        <w:rPr>
          <w:rFonts w:asciiTheme="minorHAnsi" w:hAnsiTheme="minorHAnsi" w:cstheme="minorHAnsi"/>
          <w:color w:val="000000"/>
        </w:rPr>
        <w:t xml:space="preserve"> with the management of similar projects carried out by other UN agencies.</w:t>
      </w:r>
    </w:p>
    <w:p w14:paraId="26C35353" w14:textId="3379A3FE" w:rsidR="00FB601D" w:rsidRPr="00B8020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1.5</w:t>
      </w:r>
      <w:r>
        <w:rPr>
          <w:rFonts w:asciiTheme="minorHAnsi" w:hAnsiTheme="minorHAnsi" w:cstheme="minorHAnsi"/>
          <w:color w:val="000000"/>
        </w:rPr>
        <w:tab/>
      </w:r>
      <w:r w:rsidR="00047C28">
        <w:rPr>
          <w:rFonts w:asciiTheme="minorHAnsi" w:hAnsiTheme="minorHAnsi" w:cstheme="minorHAnsi"/>
          <w:color w:val="000000"/>
        </w:rPr>
        <w:t>Moreover, t</w:t>
      </w:r>
      <w:r w:rsidR="00EF7391" w:rsidRPr="00E4014B">
        <w:rPr>
          <w:rFonts w:asciiTheme="minorHAnsi" w:hAnsiTheme="minorHAnsi" w:cstheme="minorHAnsi"/>
          <w:color w:val="000000"/>
        </w:rPr>
        <w:t xml:space="preserve">he </w:t>
      </w:r>
      <w:r w:rsidR="000A5077">
        <w:rPr>
          <w:rFonts w:asciiTheme="minorHAnsi" w:hAnsiTheme="minorHAnsi" w:cstheme="minorHAnsi"/>
          <w:color w:val="000000"/>
        </w:rPr>
        <w:t>s</w:t>
      </w:r>
      <w:r w:rsidR="00EF7391" w:rsidRPr="00E4014B">
        <w:rPr>
          <w:rFonts w:asciiTheme="minorHAnsi" w:hAnsiTheme="minorHAnsi" w:cstheme="minorHAnsi"/>
          <w:color w:val="000000"/>
        </w:rPr>
        <w:t>ecretariat approached the</w:t>
      </w:r>
      <w:r w:rsidR="00A24F73">
        <w:rPr>
          <w:rFonts w:asciiTheme="minorHAnsi" w:hAnsiTheme="minorHAnsi" w:cstheme="minorHAnsi"/>
          <w:color w:val="000000"/>
        </w:rPr>
        <w:t>ir contractors</w:t>
      </w:r>
      <w:r w:rsidR="00EF7391" w:rsidRPr="00E4014B">
        <w:rPr>
          <w:rFonts w:asciiTheme="minorHAnsi" w:hAnsiTheme="minorHAnsi" w:cstheme="minorHAnsi"/>
          <w:color w:val="000000"/>
        </w:rPr>
        <w:t xml:space="preserve"> CDTK and Hill International to </w:t>
      </w:r>
      <w:r w:rsidR="0059128C">
        <w:rPr>
          <w:rFonts w:asciiTheme="minorHAnsi" w:hAnsiTheme="minorHAnsi" w:cstheme="minorHAnsi"/>
          <w:color w:val="000000"/>
        </w:rPr>
        <w:t>receive</w:t>
      </w:r>
      <w:r w:rsidR="00EF7391" w:rsidRPr="00E4014B">
        <w:rPr>
          <w:rFonts w:asciiTheme="minorHAnsi" w:hAnsiTheme="minorHAnsi" w:cstheme="minorHAnsi"/>
          <w:color w:val="000000"/>
        </w:rPr>
        <w:t xml:space="preserve"> their opinions on this proposal to insure </w:t>
      </w:r>
      <w:r w:rsidR="00A24F73">
        <w:rPr>
          <w:rFonts w:asciiTheme="minorHAnsi" w:hAnsiTheme="minorHAnsi" w:cstheme="minorHAnsi"/>
          <w:color w:val="000000"/>
        </w:rPr>
        <w:t xml:space="preserve">the </w:t>
      </w:r>
      <w:r w:rsidR="00EF7391" w:rsidRPr="00E4014B">
        <w:rPr>
          <w:rFonts w:asciiTheme="minorHAnsi" w:hAnsiTheme="minorHAnsi" w:cstheme="minorHAnsi"/>
          <w:color w:val="000000"/>
        </w:rPr>
        <w:t>risk</w:t>
      </w:r>
      <w:r w:rsidR="00A24F73">
        <w:rPr>
          <w:rFonts w:asciiTheme="minorHAnsi" w:hAnsiTheme="minorHAnsi" w:cstheme="minorHAnsi"/>
          <w:color w:val="000000"/>
        </w:rPr>
        <w:t xml:space="preserve"> register</w:t>
      </w:r>
      <w:r w:rsidR="00EF7391" w:rsidRPr="00E4014B">
        <w:rPr>
          <w:rFonts w:asciiTheme="minorHAnsi" w:hAnsiTheme="minorHAnsi" w:cstheme="minorHAnsi"/>
          <w:color w:val="000000"/>
        </w:rPr>
        <w:t>.</w:t>
      </w:r>
    </w:p>
    <w:p w14:paraId="48DC3B1B" w14:textId="5C950A2F" w:rsidR="00502E10" w:rsidRPr="00E4014B" w:rsidRDefault="00ED55DD" w:rsidP="004C2E86">
      <w:pPr>
        <w:tabs>
          <w:tab w:val="left" w:pos="709"/>
        </w:tabs>
        <w:spacing w:before="360" w:after="120"/>
        <w:rPr>
          <w:rFonts w:asciiTheme="minorHAnsi" w:hAnsiTheme="minorHAnsi" w:cstheme="minorHAnsi"/>
          <w:color w:val="000000"/>
          <w:szCs w:val="24"/>
        </w:rPr>
      </w:pPr>
      <w:r>
        <w:rPr>
          <w:rFonts w:asciiTheme="minorHAnsi" w:hAnsiTheme="minorHAnsi" w:cstheme="minorHAnsi"/>
          <w:b/>
          <w:bCs/>
          <w:szCs w:val="24"/>
        </w:rPr>
        <w:t>2</w:t>
      </w:r>
      <w:r w:rsidR="00747354">
        <w:rPr>
          <w:rFonts w:asciiTheme="minorHAnsi" w:hAnsiTheme="minorHAnsi" w:cstheme="minorHAnsi"/>
          <w:b/>
          <w:bCs/>
          <w:szCs w:val="24"/>
        </w:rPr>
        <w:tab/>
      </w:r>
      <w:r w:rsidR="00E41628" w:rsidRPr="00747354">
        <w:rPr>
          <w:rFonts w:asciiTheme="minorHAnsi" w:hAnsiTheme="minorHAnsi" w:cstheme="minorHAnsi"/>
          <w:b/>
          <w:bCs/>
          <w:szCs w:val="24"/>
        </w:rPr>
        <w:t>Brokers and partner companies in the new building project</w:t>
      </w:r>
      <w:r w:rsidR="0080565D" w:rsidRPr="00747354">
        <w:rPr>
          <w:rFonts w:asciiTheme="minorHAnsi" w:hAnsiTheme="minorHAnsi" w:cstheme="minorHAnsi"/>
          <w:b/>
          <w:bCs/>
          <w:szCs w:val="24"/>
        </w:rPr>
        <w:t xml:space="preserve"> </w:t>
      </w:r>
    </w:p>
    <w:p w14:paraId="5CF18A6D" w14:textId="5CB48EC7" w:rsidR="00EE2827" w:rsidRDefault="008B440A" w:rsidP="004C2E86">
      <w:pPr>
        <w:tabs>
          <w:tab w:val="left" w:pos="709"/>
          <w:tab w:val="left" w:pos="851"/>
        </w:tabs>
        <w:spacing w:before="120" w:after="120"/>
        <w:jc w:val="both"/>
        <w:rPr>
          <w:rFonts w:asciiTheme="minorHAnsi" w:hAnsiTheme="minorHAnsi" w:cstheme="minorHAnsi"/>
          <w:color w:val="000000"/>
          <w:szCs w:val="24"/>
        </w:rPr>
      </w:pPr>
      <w:r>
        <w:rPr>
          <w:rFonts w:asciiTheme="minorHAnsi" w:hAnsiTheme="minorHAnsi" w:cstheme="minorHAnsi"/>
          <w:color w:val="000000"/>
          <w:szCs w:val="24"/>
        </w:rPr>
        <w:t>2.1</w:t>
      </w:r>
      <w:r w:rsidR="002535F1">
        <w:rPr>
          <w:rFonts w:asciiTheme="minorHAnsi" w:hAnsiTheme="minorHAnsi" w:cstheme="minorHAnsi"/>
          <w:color w:val="000000"/>
          <w:szCs w:val="24"/>
        </w:rPr>
        <w:tab/>
      </w:r>
      <w:r w:rsidR="00E41628" w:rsidRPr="00E4014B">
        <w:rPr>
          <w:rFonts w:asciiTheme="minorHAnsi" w:hAnsiTheme="minorHAnsi" w:cstheme="minorHAnsi"/>
          <w:color w:val="000000"/>
          <w:szCs w:val="24"/>
        </w:rPr>
        <w:t xml:space="preserve">Based on the risk register table presented to the brokers, none of the risks examined are </w:t>
      </w:r>
      <w:proofErr w:type="gramStart"/>
      <w:r w:rsidR="00E41628" w:rsidRPr="00E4014B">
        <w:rPr>
          <w:rFonts w:asciiTheme="minorHAnsi" w:hAnsiTheme="minorHAnsi" w:cstheme="minorHAnsi"/>
          <w:color w:val="000000"/>
          <w:szCs w:val="24"/>
        </w:rPr>
        <w:t>actually insurable</w:t>
      </w:r>
      <w:proofErr w:type="gramEnd"/>
      <w:r w:rsidR="00E41628" w:rsidRPr="00E4014B">
        <w:rPr>
          <w:rFonts w:asciiTheme="minorHAnsi" w:hAnsiTheme="minorHAnsi" w:cstheme="minorHAnsi"/>
          <w:color w:val="000000"/>
          <w:szCs w:val="24"/>
        </w:rPr>
        <w:t xml:space="preserve"> on the market, as they are not risks related to physical loss or damage or legal liability, but rather business or contractual risks. </w:t>
      </w:r>
    </w:p>
    <w:p w14:paraId="0FB41F46" w14:textId="265A6FC3" w:rsidR="00EE2827" w:rsidRPr="00B80207" w:rsidRDefault="008B440A" w:rsidP="004C2E86">
      <w:pPr>
        <w:tabs>
          <w:tab w:val="left" w:pos="709"/>
        </w:tabs>
        <w:spacing w:before="120" w:after="120"/>
        <w:jc w:val="both"/>
        <w:rPr>
          <w:rFonts w:asciiTheme="minorHAnsi" w:hAnsiTheme="minorHAnsi" w:cstheme="minorHAnsi"/>
          <w:color w:val="000000"/>
          <w:szCs w:val="24"/>
        </w:rPr>
      </w:pPr>
      <w:r>
        <w:rPr>
          <w:rFonts w:asciiTheme="minorHAnsi" w:hAnsiTheme="minorHAnsi" w:cstheme="minorHAnsi"/>
          <w:color w:val="000000"/>
          <w:szCs w:val="24"/>
        </w:rPr>
        <w:t>2.2</w:t>
      </w:r>
      <w:r>
        <w:rPr>
          <w:rFonts w:asciiTheme="minorHAnsi" w:hAnsiTheme="minorHAnsi" w:cstheme="minorHAnsi"/>
          <w:color w:val="000000"/>
          <w:szCs w:val="24"/>
        </w:rPr>
        <w:tab/>
      </w:r>
      <w:r w:rsidR="00E41628" w:rsidRPr="00B80207">
        <w:rPr>
          <w:rFonts w:asciiTheme="minorHAnsi" w:hAnsiTheme="minorHAnsi" w:cstheme="minorHAnsi"/>
          <w:color w:val="000000"/>
          <w:szCs w:val="24"/>
        </w:rPr>
        <w:t>If we were to address the issue of risk control in general in a construction project, it would be important to decide on measures to deal with the possible consequences and thus:</w:t>
      </w:r>
    </w:p>
    <w:p w14:paraId="0B7A03ED" w14:textId="4E279661" w:rsidR="00E41628" w:rsidRPr="00E4014B" w:rsidRDefault="008B440A" w:rsidP="004C2E86">
      <w:pPr>
        <w:pStyle w:val="ListParagraph"/>
        <w:numPr>
          <w:ilvl w:val="0"/>
          <w:numId w:val="6"/>
        </w:numPr>
        <w:spacing w:before="120" w:after="120"/>
        <w:ind w:left="1134" w:hanging="425"/>
        <w:contextualSpacing w:val="0"/>
        <w:jc w:val="both"/>
        <w:rPr>
          <w:rFonts w:asciiTheme="minorHAnsi" w:hAnsiTheme="minorHAnsi" w:cstheme="minorHAnsi"/>
          <w:szCs w:val="24"/>
        </w:rPr>
      </w:pPr>
      <w:r>
        <w:rPr>
          <w:rFonts w:asciiTheme="minorHAnsi" w:hAnsiTheme="minorHAnsi" w:cstheme="minorHAnsi"/>
          <w:szCs w:val="24"/>
        </w:rPr>
        <w:t>a</w:t>
      </w:r>
      <w:r w:rsidR="00E41628" w:rsidRPr="00E4014B">
        <w:rPr>
          <w:rFonts w:asciiTheme="minorHAnsi" w:hAnsiTheme="minorHAnsi" w:cstheme="minorHAnsi"/>
          <w:szCs w:val="24"/>
        </w:rPr>
        <w:t xml:space="preserve">void the risk by foregoing what might cause it (inappropriate construction technique, etc.), especially if there is no possible insurance </w:t>
      </w:r>
      <w:proofErr w:type="gramStart"/>
      <w:r w:rsidR="0080565D" w:rsidRPr="00E4014B">
        <w:rPr>
          <w:rFonts w:asciiTheme="minorHAnsi" w:hAnsiTheme="minorHAnsi" w:cstheme="minorHAnsi"/>
          <w:szCs w:val="24"/>
        </w:rPr>
        <w:t>cover</w:t>
      </w:r>
      <w:r>
        <w:rPr>
          <w:rFonts w:asciiTheme="minorHAnsi" w:hAnsiTheme="minorHAnsi" w:cstheme="minorHAnsi"/>
          <w:szCs w:val="24"/>
        </w:rPr>
        <w:t>;</w:t>
      </w:r>
      <w:proofErr w:type="gramEnd"/>
    </w:p>
    <w:p w14:paraId="62F559F6" w14:textId="07D7B34D" w:rsidR="00E41628" w:rsidRPr="00E4014B" w:rsidRDefault="008B440A" w:rsidP="004C2E86">
      <w:pPr>
        <w:pStyle w:val="ListParagraph"/>
        <w:numPr>
          <w:ilvl w:val="0"/>
          <w:numId w:val="6"/>
        </w:numPr>
        <w:spacing w:before="120" w:after="120"/>
        <w:ind w:left="1134" w:hanging="425"/>
        <w:contextualSpacing w:val="0"/>
        <w:jc w:val="both"/>
        <w:rPr>
          <w:rFonts w:asciiTheme="minorHAnsi" w:hAnsiTheme="minorHAnsi" w:cstheme="minorHAnsi"/>
          <w:szCs w:val="24"/>
        </w:rPr>
      </w:pPr>
      <w:r>
        <w:rPr>
          <w:rFonts w:asciiTheme="minorHAnsi" w:hAnsiTheme="minorHAnsi" w:cstheme="minorHAnsi"/>
          <w:szCs w:val="24"/>
        </w:rPr>
        <w:t>a</w:t>
      </w:r>
      <w:r w:rsidR="00E41628" w:rsidRPr="00E4014B">
        <w:rPr>
          <w:rFonts w:asciiTheme="minorHAnsi" w:hAnsiTheme="minorHAnsi" w:cstheme="minorHAnsi"/>
          <w:szCs w:val="24"/>
        </w:rPr>
        <w:t xml:space="preserve">ssume risks that are deemed to be bearable or that cannot be insured, such as foreseeable damage (known weather conditions at a given time and place, known floods, etc.), nuisance due to the work (noise, dust, etc.), and others, by constituting </w:t>
      </w:r>
      <w:proofErr w:type="gramStart"/>
      <w:r w:rsidR="00E41628" w:rsidRPr="00E4014B">
        <w:rPr>
          <w:rFonts w:asciiTheme="minorHAnsi" w:hAnsiTheme="minorHAnsi" w:cstheme="minorHAnsi"/>
          <w:szCs w:val="24"/>
        </w:rPr>
        <w:t>reserves;</w:t>
      </w:r>
      <w:proofErr w:type="gramEnd"/>
    </w:p>
    <w:p w14:paraId="79891B6A" w14:textId="7A1E9B0F" w:rsidR="00E41628" w:rsidRPr="00E4014B" w:rsidRDefault="008B440A" w:rsidP="004C2E86">
      <w:pPr>
        <w:pStyle w:val="ListParagraph"/>
        <w:numPr>
          <w:ilvl w:val="0"/>
          <w:numId w:val="6"/>
        </w:numPr>
        <w:spacing w:before="120" w:after="120"/>
        <w:ind w:left="1134" w:hanging="425"/>
        <w:contextualSpacing w:val="0"/>
        <w:jc w:val="both"/>
        <w:rPr>
          <w:rFonts w:asciiTheme="minorHAnsi" w:hAnsiTheme="minorHAnsi" w:cstheme="minorHAnsi"/>
          <w:szCs w:val="24"/>
        </w:rPr>
      </w:pPr>
      <w:r>
        <w:rPr>
          <w:rFonts w:asciiTheme="minorHAnsi" w:hAnsiTheme="minorHAnsi" w:cstheme="minorHAnsi"/>
          <w:szCs w:val="24"/>
        </w:rPr>
        <w:t>t</w:t>
      </w:r>
      <w:r w:rsidR="00E41628" w:rsidRPr="00E4014B">
        <w:rPr>
          <w:rFonts w:asciiTheme="minorHAnsi" w:hAnsiTheme="minorHAnsi" w:cstheme="minorHAnsi"/>
          <w:szCs w:val="24"/>
        </w:rPr>
        <w:t xml:space="preserve">ake preventive measures to avoid the occurrence of the feared event because there is no insurance solution or to meet the policyholder's obligation to take such </w:t>
      </w:r>
      <w:proofErr w:type="gramStart"/>
      <w:r w:rsidR="00E41628" w:rsidRPr="00E4014B">
        <w:rPr>
          <w:rFonts w:asciiTheme="minorHAnsi" w:hAnsiTheme="minorHAnsi" w:cstheme="minorHAnsi"/>
          <w:szCs w:val="24"/>
        </w:rPr>
        <w:t>measures</w:t>
      </w:r>
      <w:r>
        <w:rPr>
          <w:rFonts w:asciiTheme="minorHAnsi" w:hAnsiTheme="minorHAnsi" w:cstheme="minorHAnsi"/>
          <w:szCs w:val="24"/>
        </w:rPr>
        <w:t>;</w:t>
      </w:r>
      <w:proofErr w:type="gramEnd"/>
    </w:p>
    <w:p w14:paraId="691C7ECF" w14:textId="16EBEB9C" w:rsidR="00EE2827" w:rsidRPr="004C2E86" w:rsidRDefault="008B440A" w:rsidP="004C2E86">
      <w:pPr>
        <w:pStyle w:val="ListParagraph"/>
        <w:numPr>
          <w:ilvl w:val="0"/>
          <w:numId w:val="6"/>
        </w:numPr>
        <w:spacing w:before="120" w:after="120"/>
        <w:ind w:left="1134" w:hanging="425"/>
        <w:contextualSpacing w:val="0"/>
        <w:jc w:val="both"/>
        <w:rPr>
          <w:rFonts w:asciiTheme="minorHAnsi" w:hAnsiTheme="minorHAnsi" w:cstheme="minorHAnsi"/>
          <w:szCs w:val="24"/>
        </w:rPr>
      </w:pPr>
      <w:r w:rsidRPr="004C2E86">
        <w:rPr>
          <w:rFonts w:asciiTheme="minorHAnsi" w:hAnsiTheme="minorHAnsi" w:cstheme="minorHAnsi"/>
          <w:szCs w:val="24"/>
        </w:rPr>
        <w:t>t</w:t>
      </w:r>
      <w:r w:rsidR="00E41628" w:rsidRPr="004C2E86">
        <w:rPr>
          <w:rFonts w:asciiTheme="minorHAnsi" w:hAnsiTheme="minorHAnsi" w:cstheme="minorHAnsi"/>
          <w:szCs w:val="24"/>
        </w:rPr>
        <w:t>ransferring certain risks to insurers or others, knowing that insurers are not willing to assume all risks, even within a given coverage (exclusions).</w:t>
      </w:r>
    </w:p>
    <w:p w14:paraId="3F0AFB59" w14:textId="73BA8EDE" w:rsidR="006C0E7E" w:rsidRDefault="008B440A" w:rsidP="004C2E86">
      <w:pPr>
        <w:spacing w:before="120" w:after="120"/>
        <w:jc w:val="both"/>
        <w:rPr>
          <w:rFonts w:asciiTheme="minorHAnsi" w:hAnsiTheme="minorHAnsi" w:cstheme="minorHAnsi"/>
          <w:szCs w:val="24"/>
        </w:rPr>
      </w:pPr>
      <w:r>
        <w:rPr>
          <w:rFonts w:asciiTheme="minorHAnsi" w:hAnsiTheme="minorHAnsi" w:cstheme="minorHAnsi"/>
          <w:szCs w:val="24"/>
        </w:rPr>
        <w:t>2.3</w:t>
      </w:r>
      <w:r>
        <w:rPr>
          <w:rFonts w:asciiTheme="minorHAnsi" w:hAnsiTheme="minorHAnsi" w:cstheme="minorHAnsi"/>
          <w:szCs w:val="24"/>
        </w:rPr>
        <w:tab/>
      </w:r>
      <w:r w:rsidR="00E41628" w:rsidRPr="00E4014B">
        <w:rPr>
          <w:rFonts w:asciiTheme="minorHAnsi" w:hAnsiTheme="minorHAnsi" w:cstheme="minorHAnsi"/>
          <w:szCs w:val="24"/>
        </w:rPr>
        <w:t xml:space="preserve">The purpose of the risk </w:t>
      </w:r>
      <w:proofErr w:type="gramStart"/>
      <w:r w:rsidR="00A24F73" w:rsidRPr="00E4014B">
        <w:rPr>
          <w:rFonts w:asciiTheme="minorHAnsi" w:hAnsiTheme="minorHAnsi" w:cstheme="minorHAnsi"/>
          <w:szCs w:val="24"/>
        </w:rPr>
        <w:t>register</w:t>
      </w:r>
      <w:proofErr w:type="gramEnd"/>
      <w:r w:rsidR="00E41628" w:rsidRPr="00E4014B">
        <w:rPr>
          <w:rFonts w:asciiTheme="minorHAnsi" w:hAnsiTheme="minorHAnsi" w:cstheme="minorHAnsi"/>
          <w:szCs w:val="24"/>
        </w:rPr>
        <w:t xml:space="preserve"> as currently established contains, </w:t>
      </w:r>
      <w:r w:rsidR="00A24F73" w:rsidRPr="00E4014B">
        <w:rPr>
          <w:rFonts w:asciiTheme="minorHAnsi" w:hAnsiTheme="minorHAnsi" w:cstheme="minorHAnsi"/>
          <w:szCs w:val="24"/>
        </w:rPr>
        <w:t>manages,</w:t>
      </w:r>
      <w:r w:rsidR="00E41628" w:rsidRPr="00E4014B">
        <w:rPr>
          <w:rFonts w:asciiTheme="minorHAnsi" w:hAnsiTheme="minorHAnsi" w:cstheme="minorHAnsi"/>
          <w:szCs w:val="24"/>
        </w:rPr>
        <w:t xml:space="preserve"> and mitigates all risks associated with </w:t>
      </w:r>
      <w:r w:rsidR="00224E06">
        <w:rPr>
          <w:rFonts w:asciiTheme="minorHAnsi" w:hAnsiTheme="minorHAnsi" w:cstheme="minorHAnsi"/>
          <w:szCs w:val="24"/>
        </w:rPr>
        <w:t>contract</w:t>
      </w:r>
      <w:r w:rsidR="00047C28">
        <w:rPr>
          <w:rFonts w:asciiTheme="minorHAnsi" w:hAnsiTheme="minorHAnsi" w:cstheme="minorHAnsi"/>
          <w:szCs w:val="24"/>
        </w:rPr>
        <w:t>s</w:t>
      </w:r>
      <w:r w:rsidR="00224E06">
        <w:rPr>
          <w:rFonts w:asciiTheme="minorHAnsi" w:hAnsiTheme="minorHAnsi" w:cstheme="minorHAnsi"/>
          <w:szCs w:val="24"/>
        </w:rPr>
        <w:t xml:space="preserve"> related to </w:t>
      </w:r>
      <w:r w:rsidR="00E41628" w:rsidRPr="00E4014B">
        <w:rPr>
          <w:rFonts w:asciiTheme="minorHAnsi" w:hAnsiTheme="minorHAnsi" w:cstheme="minorHAnsi"/>
          <w:szCs w:val="24"/>
        </w:rPr>
        <w:t>the construction works and will be included in the general contractor's insurance as well as the ITU's liability insurance. The latter will be reviewed with the broker.</w:t>
      </w:r>
    </w:p>
    <w:p w14:paraId="0CAFCA67" w14:textId="5707DAA0" w:rsidR="0003194B" w:rsidRPr="00E4014B" w:rsidRDefault="008B440A" w:rsidP="004C2E86">
      <w:pPr>
        <w:spacing w:before="120" w:after="120"/>
        <w:jc w:val="both"/>
        <w:rPr>
          <w:rFonts w:asciiTheme="minorHAnsi" w:hAnsiTheme="minorHAnsi" w:cstheme="minorHAnsi"/>
          <w:color w:val="000000"/>
        </w:rPr>
      </w:pPr>
      <w:r>
        <w:rPr>
          <w:rFonts w:asciiTheme="minorHAnsi" w:hAnsiTheme="minorHAnsi" w:cstheme="minorHAnsi"/>
          <w:szCs w:val="24"/>
        </w:rPr>
        <w:t>2.4</w:t>
      </w:r>
      <w:r>
        <w:rPr>
          <w:rFonts w:asciiTheme="minorHAnsi" w:hAnsiTheme="minorHAnsi" w:cstheme="minorHAnsi"/>
          <w:szCs w:val="24"/>
        </w:rPr>
        <w:tab/>
      </w:r>
      <w:r w:rsidR="00E41628" w:rsidRPr="00E4014B">
        <w:rPr>
          <w:rFonts w:asciiTheme="minorHAnsi" w:hAnsiTheme="minorHAnsi" w:cstheme="minorHAnsi"/>
          <w:szCs w:val="24"/>
        </w:rPr>
        <w:t>It should also be recalled that all these risks are covered by the contingency/reserve of CHF</w:t>
      </w:r>
      <w:r w:rsidR="002535F1">
        <w:rPr>
          <w:rFonts w:asciiTheme="minorHAnsi" w:hAnsiTheme="minorHAnsi" w:cstheme="minorHAnsi"/>
          <w:szCs w:val="24"/>
        </w:rPr>
        <w:t> </w:t>
      </w:r>
      <w:r w:rsidR="00E41628" w:rsidRPr="00E4014B">
        <w:rPr>
          <w:rFonts w:asciiTheme="minorHAnsi" w:hAnsiTheme="minorHAnsi" w:cstheme="minorHAnsi"/>
          <w:szCs w:val="24"/>
        </w:rPr>
        <w:t>12.6</w:t>
      </w:r>
      <w:r w:rsidR="002535F1">
        <w:rPr>
          <w:rFonts w:asciiTheme="minorHAnsi" w:hAnsiTheme="minorHAnsi" w:cstheme="minorHAnsi"/>
          <w:szCs w:val="24"/>
        </w:rPr>
        <w:t xml:space="preserve"> million</w:t>
      </w:r>
      <w:r w:rsidR="00E41628" w:rsidRPr="00E4014B">
        <w:rPr>
          <w:rFonts w:asciiTheme="minorHAnsi" w:hAnsiTheme="minorHAnsi" w:cstheme="minorHAnsi"/>
          <w:szCs w:val="24"/>
        </w:rPr>
        <w:t xml:space="preserve"> provided for in this respect</w:t>
      </w:r>
      <w:r w:rsidR="00A24F73">
        <w:rPr>
          <w:rFonts w:asciiTheme="minorHAnsi" w:hAnsiTheme="minorHAnsi" w:cstheme="minorHAnsi"/>
          <w:szCs w:val="24"/>
        </w:rPr>
        <w:t>.</w:t>
      </w:r>
    </w:p>
    <w:p w14:paraId="43593475" w14:textId="71C2F5C9" w:rsidR="0003194B" w:rsidRPr="00E4014B" w:rsidRDefault="00ED55DD" w:rsidP="004C2E86">
      <w:pPr>
        <w:pStyle w:val="NormalWeb"/>
        <w:tabs>
          <w:tab w:val="left" w:pos="709"/>
          <w:tab w:val="left" w:pos="851"/>
        </w:tabs>
        <w:spacing w:before="360" w:beforeAutospacing="0" w:after="120" w:afterAutospacing="0"/>
        <w:jc w:val="both"/>
        <w:rPr>
          <w:rFonts w:asciiTheme="minorHAnsi" w:hAnsiTheme="minorHAnsi" w:cstheme="minorHAnsi"/>
          <w:color w:val="000000"/>
        </w:rPr>
      </w:pPr>
      <w:r>
        <w:rPr>
          <w:rFonts w:asciiTheme="minorHAnsi" w:hAnsiTheme="minorHAnsi" w:cstheme="minorHAnsi"/>
          <w:b/>
          <w:bCs/>
          <w:color w:val="000000"/>
        </w:rPr>
        <w:t>3</w:t>
      </w:r>
      <w:r w:rsidR="002535F1">
        <w:rPr>
          <w:rFonts w:asciiTheme="minorHAnsi" w:hAnsiTheme="minorHAnsi" w:cstheme="minorHAnsi"/>
          <w:b/>
          <w:bCs/>
          <w:color w:val="000000"/>
        </w:rPr>
        <w:tab/>
      </w:r>
      <w:r w:rsidR="00E41628" w:rsidRPr="00E4014B">
        <w:rPr>
          <w:rFonts w:asciiTheme="minorHAnsi" w:hAnsiTheme="minorHAnsi" w:cstheme="minorHAnsi"/>
          <w:b/>
          <w:bCs/>
          <w:color w:val="000000"/>
        </w:rPr>
        <w:t xml:space="preserve">International </w:t>
      </w:r>
      <w:r w:rsidR="009B6ADD">
        <w:rPr>
          <w:rFonts w:asciiTheme="minorHAnsi" w:hAnsiTheme="minorHAnsi" w:cstheme="minorHAnsi"/>
          <w:b/>
          <w:bCs/>
          <w:color w:val="000000"/>
        </w:rPr>
        <w:t>o</w:t>
      </w:r>
      <w:r w:rsidR="00E41628" w:rsidRPr="00E4014B">
        <w:rPr>
          <w:rFonts w:asciiTheme="minorHAnsi" w:hAnsiTheme="minorHAnsi" w:cstheme="minorHAnsi"/>
          <w:b/>
          <w:bCs/>
          <w:color w:val="000000"/>
        </w:rPr>
        <w:t>rgani</w:t>
      </w:r>
      <w:r w:rsidR="00B215AE">
        <w:rPr>
          <w:rFonts w:asciiTheme="minorHAnsi" w:hAnsiTheme="minorHAnsi" w:cstheme="minorHAnsi"/>
          <w:b/>
          <w:bCs/>
          <w:color w:val="000000"/>
        </w:rPr>
        <w:t>z</w:t>
      </w:r>
      <w:r w:rsidR="009B6ADD">
        <w:rPr>
          <w:rFonts w:asciiTheme="minorHAnsi" w:hAnsiTheme="minorHAnsi" w:cstheme="minorHAnsi"/>
          <w:b/>
          <w:bCs/>
          <w:color w:val="000000"/>
        </w:rPr>
        <w:t>a</w:t>
      </w:r>
      <w:r w:rsidR="00E41628" w:rsidRPr="00E4014B">
        <w:rPr>
          <w:rFonts w:asciiTheme="minorHAnsi" w:hAnsiTheme="minorHAnsi" w:cstheme="minorHAnsi"/>
          <w:b/>
          <w:bCs/>
          <w:color w:val="000000"/>
        </w:rPr>
        <w:t xml:space="preserve">tions based in Geneva </w:t>
      </w:r>
    </w:p>
    <w:p w14:paraId="13265826" w14:textId="36368118" w:rsidR="00EE2827" w:rsidRDefault="008B440A" w:rsidP="004C2E86">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3.1</w:t>
      </w:r>
      <w:r>
        <w:rPr>
          <w:rFonts w:asciiTheme="minorHAnsi" w:hAnsiTheme="minorHAnsi" w:cstheme="minorHAnsi"/>
          <w:color w:val="000000"/>
        </w:rPr>
        <w:tab/>
      </w:r>
      <w:r w:rsidR="00E41628" w:rsidRPr="00E4014B">
        <w:rPr>
          <w:rFonts w:asciiTheme="minorHAnsi" w:hAnsiTheme="minorHAnsi" w:cstheme="minorHAnsi"/>
          <w:color w:val="000000"/>
        </w:rPr>
        <w:t xml:space="preserve">The </w:t>
      </w:r>
      <w:r w:rsidR="00047C28">
        <w:rPr>
          <w:rFonts w:asciiTheme="minorHAnsi" w:hAnsiTheme="minorHAnsi" w:cstheme="minorHAnsi"/>
          <w:color w:val="000000"/>
        </w:rPr>
        <w:t>s</w:t>
      </w:r>
      <w:r w:rsidR="00E41628" w:rsidRPr="00E4014B">
        <w:rPr>
          <w:rFonts w:asciiTheme="minorHAnsi" w:hAnsiTheme="minorHAnsi" w:cstheme="minorHAnsi"/>
          <w:color w:val="000000"/>
        </w:rPr>
        <w:t>ecretariat has also contacted the ILO and UNOG, which have recently undertaken similar projects.</w:t>
      </w:r>
    </w:p>
    <w:p w14:paraId="2D8409B7" w14:textId="25366AB3" w:rsidR="00083E9C" w:rsidRPr="00E4014B" w:rsidRDefault="008B440A" w:rsidP="004C2E86">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lastRenderedPageBreak/>
        <w:t>3.2</w:t>
      </w:r>
      <w:r>
        <w:rPr>
          <w:rFonts w:asciiTheme="minorHAnsi" w:hAnsiTheme="minorHAnsi" w:cstheme="minorHAnsi"/>
          <w:color w:val="000000"/>
        </w:rPr>
        <w:tab/>
      </w:r>
      <w:r w:rsidR="00E41628" w:rsidRPr="00E4014B">
        <w:rPr>
          <w:rFonts w:asciiTheme="minorHAnsi" w:hAnsiTheme="minorHAnsi" w:cstheme="minorHAnsi"/>
          <w:color w:val="000000"/>
        </w:rPr>
        <w:t xml:space="preserve">The ILO confirms that it has used the same approach, </w:t>
      </w:r>
      <w:proofErr w:type="gramStart"/>
      <w:r w:rsidR="00E41628" w:rsidRPr="00E4014B">
        <w:rPr>
          <w:rFonts w:asciiTheme="minorHAnsi" w:hAnsiTheme="minorHAnsi" w:cstheme="minorHAnsi"/>
          <w:color w:val="000000"/>
        </w:rPr>
        <w:t>i.e.</w:t>
      </w:r>
      <w:proofErr w:type="gramEnd"/>
      <w:r w:rsidR="00E41628" w:rsidRPr="00E4014B">
        <w:rPr>
          <w:rFonts w:asciiTheme="minorHAnsi" w:hAnsiTheme="minorHAnsi" w:cstheme="minorHAnsi"/>
          <w:color w:val="000000"/>
        </w:rPr>
        <w:t xml:space="preserve"> the setting up of several insurance policies to cover the risks according to their nature:</w:t>
      </w:r>
    </w:p>
    <w:p w14:paraId="13556C70" w14:textId="767E4A7A" w:rsidR="00083E9C" w:rsidRPr="00E4014B" w:rsidRDefault="008B440A" w:rsidP="004C2E86">
      <w:pPr>
        <w:spacing w:before="120" w:after="120"/>
        <w:ind w:left="1134" w:hanging="425"/>
        <w:jc w:val="both"/>
        <w:rPr>
          <w:rFonts w:asciiTheme="minorHAnsi" w:hAnsiTheme="minorHAnsi" w:cstheme="minorHAnsi"/>
          <w:color w:val="000000"/>
          <w:szCs w:val="24"/>
        </w:rPr>
      </w:pPr>
      <w:r>
        <w:rPr>
          <w:rFonts w:asciiTheme="minorHAnsi" w:hAnsiTheme="minorHAnsi" w:cstheme="minorHAnsi"/>
          <w:color w:val="000000"/>
          <w:szCs w:val="24"/>
        </w:rPr>
        <w:t>-</w:t>
      </w:r>
      <w:r w:rsidR="002535F1">
        <w:rPr>
          <w:rFonts w:asciiTheme="minorHAnsi" w:hAnsiTheme="minorHAnsi" w:cstheme="minorHAnsi"/>
          <w:color w:val="000000"/>
          <w:szCs w:val="24"/>
        </w:rPr>
        <w:tab/>
        <w:t>d</w:t>
      </w:r>
      <w:r w:rsidR="00083E9C" w:rsidRPr="00E4014B">
        <w:rPr>
          <w:rFonts w:asciiTheme="minorHAnsi" w:hAnsiTheme="minorHAnsi" w:cstheme="minorHAnsi"/>
          <w:color w:val="000000"/>
          <w:szCs w:val="24"/>
        </w:rPr>
        <w:t xml:space="preserve">amage, accidents, damage to the working area, etc.: all-risk construction insurance covering all parties involved (Owner, ET, SST, agents, etc.) during the construction </w:t>
      </w:r>
      <w:proofErr w:type="gramStart"/>
      <w:r w:rsidR="00083E9C" w:rsidRPr="00E4014B">
        <w:rPr>
          <w:rFonts w:asciiTheme="minorHAnsi" w:hAnsiTheme="minorHAnsi" w:cstheme="minorHAnsi"/>
          <w:color w:val="000000"/>
          <w:szCs w:val="24"/>
        </w:rPr>
        <w:t>phase</w:t>
      </w:r>
      <w:r w:rsidR="002535F1">
        <w:rPr>
          <w:rFonts w:asciiTheme="minorHAnsi" w:hAnsiTheme="minorHAnsi" w:cstheme="minorHAnsi"/>
          <w:color w:val="000000"/>
          <w:szCs w:val="24"/>
        </w:rPr>
        <w:t>;</w:t>
      </w:r>
      <w:proofErr w:type="gramEnd"/>
    </w:p>
    <w:p w14:paraId="4F2DB6E4" w14:textId="17D34E10" w:rsidR="00083E9C" w:rsidRPr="00E4014B" w:rsidRDefault="00083E9C" w:rsidP="004C2E86">
      <w:pPr>
        <w:spacing w:before="120" w:after="120"/>
        <w:ind w:left="1134" w:hanging="425"/>
        <w:jc w:val="both"/>
        <w:rPr>
          <w:rFonts w:asciiTheme="minorHAnsi" w:hAnsiTheme="minorHAnsi" w:cstheme="minorHAnsi"/>
          <w:color w:val="000000"/>
          <w:szCs w:val="24"/>
        </w:rPr>
      </w:pPr>
      <w:r w:rsidRPr="00E4014B">
        <w:rPr>
          <w:rFonts w:asciiTheme="minorHAnsi" w:hAnsiTheme="minorHAnsi" w:cstheme="minorHAnsi"/>
          <w:color w:val="000000"/>
          <w:szCs w:val="24"/>
        </w:rPr>
        <w:t xml:space="preserve">- </w:t>
      </w:r>
      <w:r w:rsidR="002535F1">
        <w:rPr>
          <w:rFonts w:asciiTheme="minorHAnsi" w:hAnsiTheme="minorHAnsi" w:cstheme="minorHAnsi"/>
          <w:color w:val="000000"/>
          <w:szCs w:val="24"/>
        </w:rPr>
        <w:tab/>
        <w:t>d</w:t>
      </w:r>
      <w:r w:rsidRPr="00E4014B">
        <w:rPr>
          <w:rFonts w:asciiTheme="minorHAnsi" w:hAnsiTheme="minorHAnsi" w:cstheme="minorHAnsi"/>
          <w:color w:val="000000"/>
          <w:szCs w:val="24"/>
        </w:rPr>
        <w:t xml:space="preserve">esign errors, incomplete specifications, etc.: included in the total </w:t>
      </w:r>
      <w:r w:rsidR="00B80207">
        <w:rPr>
          <w:rFonts w:asciiTheme="minorHAnsi" w:hAnsiTheme="minorHAnsi" w:cstheme="minorHAnsi"/>
          <w:color w:val="000000"/>
          <w:szCs w:val="24"/>
        </w:rPr>
        <w:t xml:space="preserve">contractor </w:t>
      </w:r>
      <w:r w:rsidRPr="00E4014B">
        <w:rPr>
          <w:rFonts w:asciiTheme="minorHAnsi" w:hAnsiTheme="minorHAnsi" w:cstheme="minorHAnsi"/>
          <w:color w:val="000000"/>
          <w:szCs w:val="24"/>
        </w:rPr>
        <w:t xml:space="preserve">contract, which takes full responsibility for the design and has an obligation of </w:t>
      </w:r>
      <w:proofErr w:type="gramStart"/>
      <w:r w:rsidRPr="00E4014B">
        <w:rPr>
          <w:rFonts w:asciiTheme="minorHAnsi" w:hAnsiTheme="minorHAnsi" w:cstheme="minorHAnsi"/>
          <w:color w:val="000000"/>
          <w:szCs w:val="24"/>
        </w:rPr>
        <w:t>result</w:t>
      </w:r>
      <w:r w:rsidR="002535F1">
        <w:rPr>
          <w:rFonts w:asciiTheme="minorHAnsi" w:hAnsiTheme="minorHAnsi" w:cstheme="minorHAnsi"/>
          <w:color w:val="000000"/>
          <w:szCs w:val="24"/>
        </w:rPr>
        <w:t>;</w:t>
      </w:r>
      <w:proofErr w:type="gramEnd"/>
    </w:p>
    <w:p w14:paraId="27CE1721" w14:textId="1C740333" w:rsidR="00083E9C" w:rsidRPr="00E4014B" w:rsidRDefault="00083E9C" w:rsidP="004C2E86">
      <w:pPr>
        <w:spacing w:before="120" w:after="120"/>
        <w:ind w:left="1134" w:hanging="425"/>
        <w:jc w:val="both"/>
        <w:rPr>
          <w:rFonts w:asciiTheme="minorHAnsi" w:hAnsiTheme="minorHAnsi" w:cstheme="minorHAnsi"/>
          <w:color w:val="000000"/>
          <w:szCs w:val="24"/>
        </w:rPr>
      </w:pPr>
      <w:r w:rsidRPr="00E4014B">
        <w:rPr>
          <w:rFonts w:asciiTheme="minorHAnsi" w:hAnsiTheme="minorHAnsi" w:cstheme="minorHAnsi"/>
          <w:color w:val="000000"/>
          <w:szCs w:val="24"/>
        </w:rPr>
        <w:t xml:space="preserve">- </w:t>
      </w:r>
      <w:r w:rsidR="002535F1">
        <w:rPr>
          <w:rFonts w:asciiTheme="minorHAnsi" w:hAnsiTheme="minorHAnsi" w:cstheme="minorHAnsi"/>
          <w:color w:val="000000"/>
          <w:szCs w:val="24"/>
        </w:rPr>
        <w:tab/>
        <w:t>b</w:t>
      </w:r>
      <w:r w:rsidRPr="00E4014B">
        <w:rPr>
          <w:rFonts w:asciiTheme="minorHAnsi" w:hAnsiTheme="minorHAnsi" w:cstheme="minorHAnsi"/>
          <w:color w:val="000000"/>
          <w:szCs w:val="24"/>
        </w:rPr>
        <w:t xml:space="preserve">udget overruns: included in </w:t>
      </w:r>
      <w:r w:rsidR="00224E06">
        <w:rPr>
          <w:rFonts w:asciiTheme="minorHAnsi" w:hAnsiTheme="minorHAnsi" w:cstheme="minorHAnsi"/>
          <w:color w:val="000000"/>
          <w:szCs w:val="24"/>
        </w:rPr>
        <w:t xml:space="preserve">General Enterprise </w:t>
      </w:r>
      <w:r w:rsidR="00224E06" w:rsidRPr="00E4014B">
        <w:rPr>
          <w:rFonts w:asciiTheme="minorHAnsi" w:hAnsiTheme="minorHAnsi" w:cstheme="minorHAnsi"/>
          <w:color w:val="000000"/>
          <w:szCs w:val="24"/>
        </w:rPr>
        <w:t>contract</w:t>
      </w:r>
      <w:r w:rsidR="00224E06">
        <w:rPr>
          <w:rFonts w:asciiTheme="minorHAnsi" w:hAnsiTheme="minorHAnsi" w:cstheme="minorHAnsi"/>
          <w:color w:val="000000"/>
          <w:szCs w:val="24"/>
        </w:rPr>
        <w:t xml:space="preserve"> </w:t>
      </w:r>
      <w:r w:rsidRPr="00E4014B">
        <w:rPr>
          <w:rFonts w:asciiTheme="minorHAnsi" w:hAnsiTheme="minorHAnsi" w:cstheme="minorHAnsi"/>
          <w:color w:val="000000"/>
          <w:szCs w:val="24"/>
        </w:rPr>
        <w:t>via the implementation of a guaranteed price ceiling (GMP) which covers the risk of cost increases (inflation, covid effect, unforeseen work necessary for delivery of the work, site stoppages, etc.</w:t>
      </w:r>
      <w:proofErr w:type="gramStart"/>
      <w:r w:rsidRPr="00E4014B">
        <w:rPr>
          <w:rFonts w:asciiTheme="minorHAnsi" w:hAnsiTheme="minorHAnsi" w:cstheme="minorHAnsi"/>
          <w:color w:val="000000"/>
          <w:szCs w:val="24"/>
        </w:rPr>
        <w:t>)</w:t>
      </w:r>
      <w:r w:rsidR="002535F1">
        <w:rPr>
          <w:rFonts w:asciiTheme="minorHAnsi" w:hAnsiTheme="minorHAnsi" w:cstheme="minorHAnsi"/>
          <w:color w:val="000000"/>
          <w:szCs w:val="24"/>
        </w:rPr>
        <w:t>;</w:t>
      </w:r>
      <w:proofErr w:type="gramEnd"/>
    </w:p>
    <w:p w14:paraId="285A1FB6" w14:textId="26ADB351" w:rsidR="00083E9C" w:rsidRPr="00E4014B" w:rsidRDefault="00083E9C" w:rsidP="004C2E86">
      <w:pPr>
        <w:spacing w:before="120" w:after="120"/>
        <w:ind w:left="1134" w:hanging="425"/>
        <w:jc w:val="both"/>
        <w:rPr>
          <w:rFonts w:asciiTheme="minorHAnsi" w:hAnsiTheme="minorHAnsi" w:cstheme="minorHAnsi"/>
          <w:color w:val="000000"/>
          <w:szCs w:val="24"/>
        </w:rPr>
      </w:pPr>
      <w:r w:rsidRPr="00E4014B">
        <w:rPr>
          <w:rFonts w:asciiTheme="minorHAnsi" w:hAnsiTheme="minorHAnsi" w:cstheme="minorHAnsi"/>
          <w:color w:val="000000"/>
          <w:szCs w:val="24"/>
        </w:rPr>
        <w:t xml:space="preserve">- </w:t>
      </w:r>
      <w:r w:rsidR="002535F1">
        <w:rPr>
          <w:rFonts w:asciiTheme="minorHAnsi" w:hAnsiTheme="minorHAnsi" w:cstheme="minorHAnsi"/>
          <w:color w:val="000000"/>
          <w:szCs w:val="24"/>
        </w:rPr>
        <w:tab/>
        <w:t>d</w:t>
      </w:r>
      <w:r w:rsidRPr="00E4014B">
        <w:rPr>
          <w:rFonts w:asciiTheme="minorHAnsi" w:hAnsiTheme="minorHAnsi" w:cstheme="minorHAnsi"/>
          <w:color w:val="000000"/>
          <w:szCs w:val="24"/>
        </w:rPr>
        <w:t>elay: penalties included in the</w:t>
      </w:r>
      <w:r w:rsidR="00224E06" w:rsidRPr="00224E06">
        <w:rPr>
          <w:rFonts w:asciiTheme="minorHAnsi" w:hAnsiTheme="minorHAnsi" w:cstheme="minorHAnsi"/>
          <w:color w:val="000000"/>
          <w:szCs w:val="24"/>
        </w:rPr>
        <w:t xml:space="preserve"> </w:t>
      </w:r>
      <w:r w:rsidR="00224E06">
        <w:rPr>
          <w:rFonts w:asciiTheme="minorHAnsi" w:hAnsiTheme="minorHAnsi" w:cstheme="minorHAnsi"/>
          <w:color w:val="000000"/>
          <w:szCs w:val="24"/>
        </w:rPr>
        <w:t>General Enterprise</w:t>
      </w:r>
      <w:r w:rsidRPr="00E4014B">
        <w:rPr>
          <w:rFonts w:asciiTheme="minorHAnsi" w:hAnsiTheme="minorHAnsi" w:cstheme="minorHAnsi"/>
          <w:color w:val="000000"/>
          <w:szCs w:val="24"/>
        </w:rPr>
        <w:t xml:space="preserve"> </w:t>
      </w:r>
      <w:proofErr w:type="gramStart"/>
      <w:r w:rsidRPr="00E4014B">
        <w:rPr>
          <w:rFonts w:asciiTheme="minorHAnsi" w:hAnsiTheme="minorHAnsi" w:cstheme="minorHAnsi"/>
          <w:color w:val="000000"/>
          <w:szCs w:val="24"/>
        </w:rPr>
        <w:t>contract</w:t>
      </w:r>
      <w:r w:rsidR="00AC1DA9">
        <w:rPr>
          <w:rFonts w:asciiTheme="minorHAnsi" w:hAnsiTheme="minorHAnsi" w:cstheme="minorHAnsi"/>
          <w:color w:val="000000"/>
          <w:szCs w:val="24"/>
        </w:rPr>
        <w:t>;</w:t>
      </w:r>
      <w:proofErr w:type="gramEnd"/>
    </w:p>
    <w:p w14:paraId="247F50FA" w14:textId="10FD72B8" w:rsidR="00083E9C" w:rsidRPr="00E4014B" w:rsidRDefault="00083E9C" w:rsidP="004C2E86">
      <w:pPr>
        <w:spacing w:before="120" w:after="120"/>
        <w:ind w:left="1134" w:hanging="425"/>
        <w:jc w:val="both"/>
        <w:rPr>
          <w:rFonts w:asciiTheme="minorHAnsi" w:hAnsiTheme="minorHAnsi" w:cstheme="minorHAnsi"/>
          <w:color w:val="000000"/>
          <w:szCs w:val="24"/>
        </w:rPr>
      </w:pPr>
      <w:r w:rsidRPr="00E4014B">
        <w:rPr>
          <w:rFonts w:asciiTheme="minorHAnsi" w:hAnsiTheme="minorHAnsi" w:cstheme="minorHAnsi"/>
          <w:color w:val="000000"/>
          <w:szCs w:val="24"/>
        </w:rPr>
        <w:t xml:space="preserve">- </w:t>
      </w:r>
      <w:r w:rsidR="002535F1">
        <w:rPr>
          <w:rFonts w:asciiTheme="minorHAnsi" w:hAnsiTheme="minorHAnsi" w:cstheme="minorHAnsi"/>
          <w:color w:val="000000"/>
          <w:szCs w:val="24"/>
        </w:rPr>
        <w:tab/>
        <w:t>d</w:t>
      </w:r>
      <w:r w:rsidRPr="00E4014B">
        <w:rPr>
          <w:rFonts w:asciiTheme="minorHAnsi" w:hAnsiTheme="minorHAnsi" w:cstheme="minorHAnsi"/>
          <w:color w:val="000000"/>
          <w:szCs w:val="24"/>
        </w:rPr>
        <w:t xml:space="preserve">efects: introduction of a 10-year guarantee (instead of </w:t>
      </w:r>
      <w:r w:rsidR="00AC1DA9">
        <w:rPr>
          <w:rFonts w:asciiTheme="minorHAnsi" w:hAnsiTheme="minorHAnsi" w:cstheme="minorHAnsi"/>
          <w:color w:val="000000"/>
          <w:szCs w:val="24"/>
        </w:rPr>
        <w:t>five</w:t>
      </w:r>
      <w:r w:rsidRPr="00E4014B">
        <w:rPr>
          <w:rFonts w:asciiTheme="minorHAnsi" w:hAnsiTheme="minorHAnsi" w:cstheme="minorHAnsi"/>
          <w:color w:val="000000"/>
          <w:szCs w:val="24"/>
        </w:rPr>
        <w:t xml:space="preserve"> according to the SIA) on certain elements such as facades and </w:t>
      </w:r>
      <w:proofErr w:type="gramStart"/>
      <w:r w:rsidRPr="00E4014B">
        <w:rPr>
          <w:rFonts w:asciiTheme="minorHAnsi" w:hAnsiTheme="minorHAnsi" w:cstheme="minorHAnsi"/>
          <w:color w:val="000000"/>
          <w:szCs w:val="24"/>
        </w:rPr>
        <w:t>roofs</w:t>
      </w:r>
      <w:r w:rsidR="002535F1">
        <w:rPr>
          <w:rFonts w:asciiTheme="minorHAnsi" w:hAnsiTheme="minorHAnsi" w:cstheme="minorHAnsi"/>
          <w:color w:val="000000"/>
          <w:szCs w:val="24"/>
        </w:rPr>
        <w:t>;</w:t>
      </w:r>
      <w:proofErr w:type="gramEnd"/>
    </w:p>
    <w:p w14:paraId="720412E2" w14:textId="6AF69650" w:rsidR="008B440A" w:rsidRPr="00E4014B" w:rsidRDefault="00083E9C" w:rsidP="004C2E86">
      <w:pPr>
        <w:spacing w:before="120" w:after="120"/>
        <w:ind w:left="1134" w:hanging="425"/>
        <w:jc w:val="both"/>
        <w:rPr>
          <w:rFonts w:asciiTheme="minorHAnsi" w:hAnsiTheme="minorHAnsi" w:cstheme="minorHAnsi"/>
          <w:color w:val="000000"/>
          <w:szCs w:val="24"/>
        </w:rPr>
      </w:pPr>
      <w:r w:rsidRPr="00E4014B">
        <w:rPr>
          <w:rFonts w:asciiTheme="minorHAnsi" w:hAnsiTheme="minorHAnsi" w:cstheme="minorHAnsi"/>
          <w:color w:val="000000"/>
          <w:szCs w:val="24"/>
        </w:rPr>
        <w:t xml:space="preserve">- </w:t>
      </w:r>
      <w:r w:rsidR="002535F1">
        <w:rPr>
          <w:rFonts w:asciiTheme="minorHAnsi" w:hAnsiTheme="minorHAnsi" w:cstheme="minorHAnsi"/>
          <w:color w:val="000000"/>
          <w:szCs w:val="24"/>
        </w:rPr>
        <w:tab/>
        <w:t>s</w:t>
      </w:r>
      <w:r w:rsidRPr="00E4014B">
        <w:rPr>
          <w:rFonts w:asciiTheme="minorHAnsi" w:hAnsiTheme="minorHAnsi" w:cstheme="minorHAnsi"/>
          <w:color w:val="000000"/>
          <w:szCs w:val="24"/>
        </w:rPr>
        <w:t xml:space="preserve">cope creep: shared savings mechanisms in the </w:t>
      </w:r>
      <w:r w:rsidR="0080565D" w:rsidRPr="00E4014B">
        <w:rPr>
          <w:rFonts w:asciiTheme="minorHAnsi" w:hAnsiTheme="minorHAnsi" w:cstheme="minorHAnsi"/>
          <w:color w:val="000000"/>
          <w:szCs w:val="24"/>
        </w:rPr>
        <w:t>General</w:t>
      </w:r>
      <w:r w:rsidRPr="00E4014B">
        <w:rPr>
          <w:rFonts w:asciiTheme="minorHAnsi" w:hAnsiTheme="minorHAnsi" w:cstheme="minorHAnsi"/>
          <w:color w:val="000000"/>
          <w:szCs w:val="24"/>
        </w:rPr>
        <w:t xml:space="preserve"> Enterprise contract</w:t>
      </w:r>
      <w:r w:rsidR="00C3488A">
        <w:rPr>
          <w:rFonts w:asciiTheme="minorHAnsi" w:hAnsiTheme="minorHAnsi" w:cstheme="minorHAnsi"/>
          <w:color w:val="000000"/>
          <w:szCs w:val="24"/>
        </w:rPr>
        <w:t>.</w:t>
      </w:r>
    </w:p>
    <w:p w14:paraId="265F874E" w14:textId="10F16D55" w:rsidR="00EE282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3.3</w:t>
      </w:r>
      <w:r>
        <w:rPr>
          <w:rFonts w:asciiTheme="minorHAnsi" w:hAnsiTheme="minorHAnsi" w:cstheme="minorHAnsi"/>
          <w:color w:val="000000"/>
        </w:rPr>
        <w:tab/>
      </w:r>
      <w:r w:rsidR="00083E9C" w:rsidRPr="00E4014B">
        <w:rPr>
          <w:rFonts w:asciiTheme="minorHAnsi" w:hAnsiTheme="minorHAnsi" w:cstheme="minorHAnsi"/>
          <w:color w:val="000000"/>
        </w:rPr>
        <w:t xml:space="preserve">For the other (numerous) risks, the ILO has not taken out additional insurance for risk management in case these risks materialise. </w:t>
      </w:r>
    </w:p>
    <w:p w14:paraId="45BCCF2A" w14:textId="18FC0982" w:rsidR="00562DF4" w:rsidRPr="00B8020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3.4</w:t>
      </w:r>
      <w:r>
        <w:rPr>
          <w:rFonts w:asciiTheme="minorHAnsi" w:hAnsiTheme="minorHAnsi" w:cstheme="minorHAnsi"/>
          <w:color w:val="000000"/>
        </w:rPr>
        <w:tab/>
      </w:r>
      <w:r w:rsidR="00224E06" w:rsidRPr="00E4014B">
        <w:rPr>
          <w:rFonts w:asciiTheme="minorHAnsi" w:hAnsiTheme="minorHAnsi" w:cstheme="minorHAnsi"/>
          <w:color w:val="000000"/>
        </w:rPr>
        <w:t xml:space="preserve">At the </w:t>
      </w:r>
      <w:r w:rsidR="00224E06">
        <w:rPr>
          <w:rFonts w:asciiTheme="minorHAnsi" w:hAnsiTheme="minorHAnsi" w:cstheme="minorHAnsi"/>
          <w:color w:val="000000"/>
        </w:rPr>
        <w:t>UNOG, Strategic Heritage Plan (</w:t>
      </w:r>
      <w:r w:rsidR="00224E06" w:rsidRPr="00E4014B">
        <w:rPr>
          <w:rFonts w:asciiTheme="minorHAnsi" w:hAnsiTheme="minorHAnsi" w:cstheme="minorHAnsi"/>
          <w:color w:val="000000"/>
        </w:rPr>
        <w:t>SHP</w:t>
      </w:r>
      <w:r w:rsidR="00224E06">
        <w:rPr>
          <w:rFonts w:asciiTheme="minorHAnsi" w:hAnsiTheme="minorHAnsi" w:cstheme="minorHAnsi"/>
          <w:color w:val="000000"/>
        </w:rPr>
        <w:t xml:space="preserve">) project, </w:t>
      </w:r>
      <w:r w:rsidR="00083E9C" w:rsidRPr="00E4014B">
        <w:rPr>
          <w:rFonts w:asciiTheme="minorHAnsi" w:hAnsiTheme="minorHAnsi" w:cstheme="minorHAnsi"/>
          <w:color w:val="000000"/>
        </w:rPr>
        <w:t xml:space="preserve">the construction and renovation project management </w:t>
      </w:r>
      <w:proofErr w:type="gramStart"/>
      <w:r w:rsidR="00083E9C" w:rsidRPr="00E4014B">
        <w:rPr>
          <w:rFonts w:asciiTheme="minorHAnsi" w:hAnsiTheme="minorHAnsi" w:cstheme="minorHAnsi"/>
          <w:color w:val="000000"/>
        </w:rPr>
        <w:t>is</w:t>
      </w:r>
      <w:proofErr w:type="gramEnd"/>
      <w:r w:rsidR="00083E9C" w:rsidRPr="00E4014B">
        <w:rPr>
          <w:rFonts w:asciiTheme="minorHAnsi" w:hAnsiTheme="minorHAnsi" w:cstheme="minorHAnsi"/>
          <w:color w:val="000000"/>
        </w:rPr>
        <w:t xml:space="preserve"> not aware of the existence of insurance cover</w:t>
      </w:r>
      <w:r w:rsidR="00C3488A">
        <w:rPr>
          <w:rFonts w:asciiTheme="minorHAnsi" w:hAnsiTheme="minorHAnsi" w:cstheme="minorHAnsi"/>
          <w:color w:val="000000"/>
        </w:rPr>
        <w:t>ing</w:t>
      </w:r>
      <w:r w:rsidR="00083E9C" w:rsidRPr="00E4014B">
        <w:rPr>
          <w:rFonts w:asciiTheme="minorHAnsi" w:hAnsiTheme="minorHAnsi" w:cstheme="minorHAnsi"/>
          <w:color w:val="000000"/>
        </w:rPr>
        <w:t xml:space="preserve"> for hypothetical amounts in a risk register. They advocate the use of the contingency/reserve of the total budget that is allocated to the different risks according to their probability and the time at which these risks might occur.</w:t>
      </w:r>
    </w:p>
    <w:p w14:paraId="720D8366" w14:textId="18057979" w:rsidR="00455D3F" w:rsidRPr="00E4014B" w:rsidRDefault="00ED55DD" w:rsidP="004C2E86">
      <w:pPr>
        <w:pStyle w:val="NormalWeb"/>
        <w:tabs>
          <w:tab w:val="left" w:pos="709"/>
        </w:tabs>
        <w:spacing w:before="360" w:beforeAutospacing="0" w:after="120" w:afterAutospacing="0"/>
        <w:jc w:val="both"/>
        <w:rPr>
          <w:rFonts w:asciiTheme="minorHAnsi" w:hAnsiTheme="minorHAnsi" w:cstheme="minorHAnsi"/>
          <w:color w:val="000000"/>
        </w:rPr>
      </w:pPr>
      <w:r>
        <w:rPr>
          <w:rFonts w:asciiTheme="minorHAnsi" w:hAnsiTheme="minorHAnsi" w:cstheme="minorHAnsi"/>
          <w:b/>
          <w:bCs/>
          <w:color w:val="000000"/>
        </w:rPr>
        <w:t>4</w:t>
      </w:r>
      <w:r w:rsidR="002535F1">
        <w:rPr>
          <w:rFonts w:asciiTheme="minorHAnsi" w:hAnsiTheme="minorHAnsi" w:cstheme="minorHAnsi"/>
          <w:b/>
          <w:bCs/>
          <w:color w:val="000000"/>
        </w:rPr>
        <w:tab/>
      </w:r>
      <w:r w:rsidR="00A34C6F">
        <w:rPr>
          <w:rFonts w:asciiTheme="minorHAnsi" w:hAnsiTheme="minorHAnsi" w:cstheme="minorHAnsi"/>
          <w:b/>
          <w:bCs/>
          <w:color w:val="000000"/>
        </w:rPr>
        <w:t>Contractors</w:t>
      </w:r>
      <w:r w:rsidR="00224E06">
        <w:rPr>
          <w:rFonts w:asciiTheme="minorHAnsi" w:hAnsiTheme="minorHAnsi" w:cstheme="minorHAnsi"/>
          <w:b/>
          <w:bCs/>
          <w:color w:val="000000"/>
        </w:rPr>
        <w:t xml:space="preserve"> </w:t>
      </w:r>
      <w:r w:rsidR="00083E9C" w:rsidRPr="00E4014B">
        <w:rPr>
          <w:rFonts w:asciiTheme="minorHAnsi" w:hAnsiTheme="minorHAnsi" w:cstheme="minorHAnsi"/>
          <w:b/>
          <w:bCs/>
          <w:color w:val="000000"/>
        </w:rPr>
        <w:t>CDTK and ECPSS, Hill int.</w:t>
      </w:r>
    </w:p>
    <w:p w14:paraId="3F761786" w14:textId="2511E81B" w:rsidR="00FB601D" w:rsidRPr="00E4014B" w:rsidRDefault="008B440A" w:rsidP="004C2E86">
      <w:pPr>
        <w:pStyle w:val="NormalWeb"/>
        <w:tabs>
          <w:tab w:val="left" w:pos="709"/>
        </w:tabs>
        <w:spacing w:before="120" w:beforeAutospacing="0" w:after="120" w:afterAutospacing="0"/>
        <w:jc w:val="both"/>
        <w:rPr>
          <w:rFonts w:asciiTheme="minorHAnsi" w:hAnsiTheme="minorHAnsi" w:cstheme="minorHAnsi"/>
          <w:b/>
          <w:bCs/>
          <w:color w:val="000000"/>
        </w:rPr>
      </w:pPr>
      <w:r>
        <w:rPr>
          <w:rFonts w:asciiTheme="minorHAnsi" w:hAnsiTheme="minorHAnsi" w:cstheme="minorHAnsi"/>
          <w:color w:val="000000"/>
        </w:rPr>
        <w:t>4.1</w:t>
      </w:r>
      <w:r>
        <w:rPr>
          <w:rFonts w:asciiTheme="minorHAnsi" w:hAnsiTheme="minorHAnsi" w:cstheme="minorHAnsi"/>
          <w:color w:val="000000"/>
        </w:rPr>
        <w:tab/>
      </w:r>
      <w:r w:rsidR="00083E9C" w:rsidRPr="00E4014B">
        <w:rPr>
          <w:rFonts w:asciiTheme="minorHAnsi" w:hAnsiTheme="minorHAnsi" w:cstheme="minorHAnsi"/>
          <w:color w:val="000000"/>
        </w:rPr>
        <w:t xml:space="preserve">The </w:t>
      </w:r>
      <w:r w:rsidR="00D105ED">
        <w:rPr>
          <w:rFonts w:asciiTheme="minorHAnsi" w:hAnsiTheme="minorHAnsi" w:cstheme="minorHAnsi"/>
          <w:color w:val="000000"/>
        </w:rPr>
        <w:t>s</w:t>
      </w:r>
      <w:r w:rsidR="00083E9C" w:rsidRPr="00E4014B">
        <w:rPr>
          <w:rFonts w:asciiTheme="minorHAnsi" w:hAnsiTheme="minorHAnsi" w:cstheme="minorHAnsi"/>
          <w:color w:val="000000"/>
        </w:rPr>
        <w:t xml:space="preserve">ecretariat also approached CDTK and Hill International to </w:t>
      </w:r>
      <w:r w:rsidR="00D105ED">
        <w:rPr>
          <w:rFonts w:asciiTheme="minorHAnsi" w:hAnsiTheme="minorHAnsi" w:cstheme="minorHAnsi"/>
          <w:color w:val="000000"/>
        </w:rPr>
        <w:t xml:space="preserve">obtain </w:t>
      </w:r>
      <w:r w:rsidR="00083E9C" w:rsidRPr="00E4014B">
        <w:rPr>
          <w:rFonts w:asciiTheme="minorHAnsi" w:hAnsiTheme="minorHAnsi" w:cstheme="minorHAnsi"/>
          <w:color w:val="000000"/>
        </w:rPr>
        <w:t xml:space="preserve">their opinions on this proposal. These two companies are not convinced of the merits of such an insurance, which in their view does not exist on the local market and would not, in any case, be in conformity with </w:t>
      </w:r>
      <w:r w:rsidR="00224E06">
        <w:rPr>
          <w:rFonts w:asciiTheme="minorHAnsi" w:hAnsiTheme="minorHAnsi" w:cstheme="minorHAnsi"/>
          <w:color w:val="000000"/>
        </w:rPr>
        <w:t>Swiss</w:t>
      </w:r>
      <w:r w:rsidR="00083E9C" w:rsidRPr="00E4014B">
        <w:rPr>
          <w:rFonts w:asciiTheme="minorHAnsi" w:hAnsiTheme="minorHAnsi" w:cstheme="minorHAnsi"/>
          <w:color w:val="000000"/>
        </w:rPr>
        <w:t xml:space="preserve"> SIA standards and practices.</w:t>
      </w:r>
    </w:p>
    <w:p w14:paraId="74D8E5E4" w14:textId="267C04B7" w:rsidR="0003194B" w:rsidRPr="002E4C69" w:rsidRDefault="00ED55DD" w:rsidP="004C2E86">
      <w:pPr>
        <w:pStyle w:val="NormalWeb"/>
        <w:tabs>
          <w:tab w:val="left" w:pos="709"/>
        </w:tabs>
        <w:spacing w:before="360" w:beforeAutospacing="0" w:after="120" w:afterAutospacing="0"/>
        <w:jc w:val="both"/>
        <w:rPr>
          <w:rFonts w:asciiTheme="minorHAnsi" w:hAnsiTheme="minorHAnsi" w:cstheme="minorHAnsi"/>
          <w:color w:val="000000"/>
        </w:rPr>
      </w:pPr>
      <w:r w:rsidRPr="002E4C69">
        <w:rPr>
          <w:rFonts w:asciiTheme="minorHAnsi" w:hAnsiTheme="minorHAnsi" w:cstheme="minorHAnsi"/>
          <w:b/>
          <w:bCs/>
          <w:color w:val="000000"/>
        </w:rPr>
        <w:t>5</w:t>
      </w:r>
      <w:r w:rsidR="002535F1" w:rsidRPr="002E4C69">
        <w:rPr>
          <w:rFonts w:asciiTheme="minorHAnsi" w:hAnsiTheme="minorHAnsi" w:cstheme="minorHAnsi"/>
          <w:b/>
          <w:bCs/>
          <w:color w:val="000000"/>
        </w:rPr>
        <w:tab/>
      </w:r>
      <w:r w:rsidR="0003194B" w:rsidRPr="002E4C69">
        <w:rPr>
          <w:rFonts w:asciiTheme="minorHAnsi" w:hAnsiTheme="minorHAnsi" w:cstheme="minorHAnsi"/>
          <w:b/>
          <w:bCs/>
          <w:color w:val="000000"/>
        </w:rPr>
        <w:t>Recomm</w:t>
      </w:r>
      <w:r w:rsidR="00083E9C" w:rsidRPr="002E4C69">
        <w:rPr>
          <w:rFonts w:asciiTheme="minorHAnsi" w:hAnsiTheme="minorHAnsi" w:cstheme="minorHAnsi"/>
          <w:b/>
          <w:bCs/>
          <w:color w:val="000000"/>
        </w:rPr>
        <w:t>e</w:t>
      </w:r>
      <w:r w:rsidR="0003194B" w:rsidRPr="002E4C69">
        <w:rPr>
          <w:rFonts w:asciiTheme="minorHAnsi" w:hAnsiTheme="minorHAnsi" w:cstheme="minorHAnsi"/>
          <w:b/>
          <w:bCs/>
          <w:color w:val="000000"/>
        </w:rPr>
        <w:t>ndation</w:t>
      </w:r>
    </w:p>
    <w:p w14:paraId="5255A04A" w14:textId="538BBBD0" w:rsidR="00D60267" w:rsidRDefault="008B440A" w:rsidP="004C2E86">
      <w:pPr>
        <w:pStyle w:val="NormalWeb"/>
        <w:tabs>
          <w:tab w:val="left" w:pos="709"/>
        </w:tabs>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5.1</w:t>
      </w:r>
      <w:r>
        <w:rPr>
          <w:rFonts w:asciiTheme="minorHAnsi" w:hAnsiTheme="minorHAnsi" w:cstheme="minorHAnsi"/>
          <w:color w:val="000000"/>
        </w:rPr>
        <w:tab/>
      </w:r>
      <w:r w:rsidR="00083E9C" w:rsidRPr="00E4014B">
        <w:rPr>
          <w:rFonts w:asciiTheme="minorHAnsi" w:hAnsiTheme="minorHAnsi" w:cstheme="minorHAnsi"/>
          <w:color w:val="000000"/>
        </w:rPr>
        <w:t xml:space="preserve">It is recommended to continue to give priority to the provisioning of the </w:t>
      </w:r>
      <w:r w:rsidR="00AC1DA9">
        <w:rPr>
          <w:rFonts w:asciiTheme="minorHAnsi" w:hAnsiTheme="minorHAnsi" w:cstheme="minorHAnsi"/>
          <w:color w:val="000000"/>
        </w:rPr>
        <w:t>R</w:t>
      </w:r>
      <w:r w:rsidR="00083E9C" w:rsidRPr="00E4014B">
        <w:rPr>
          <w:rFonts w:asciiTheme="minorHAnsi" w:hAnsiTheme="minorHAnsi" w:cstheme="minorHAnsi"/>
          <w:color w:val="000000"/>
        </w:rPr>
        <w:t xml:space="preserve">isk </w:t>
      </w:r>
      <w:r w:rsidR="00AC1DA9">
        <w:rPr>
          <w:rFonts w:asciiTheme="minorHAnsi" w:hAnsiTheme="minorHAnsi" w:cstheme="minorHAnsi"/>
          <w:color w:val="000000"/>
        </w:rPr>
        <w:t>R</w:t>
      </w:r>
      <w:r w:rsidR="00083E9C" w:rsidRPr="00E4014B">
        <w:rPr>
          <w:rFonts w:asciiTheme="minorHAnsi" w:hAnsiTheme="minorHAnsi" w:cstheme="minorHAnsi"/>
          <w:color w:val="000000"/>
        </w:rPr>
        <w:t xml:space="preserve">egister </w:t>
      </w:r>
      <w:r w:rsidR="00AC1DA9">
        <w:rPr>
          <w:rFonts w:asciiTheme="minorHAnsi" w:hAnsiTheme="minorHAnsi" w:cstheme="minorHAnsi"/>
          <w:color w:val="000000"/>
        </w:rPr>
        <w:t>F</w:t>
      </w:r>
      <w:r w:rsidR="00083E9C" w:rsidRPr="00E4014B">
        <w:rPr>
          <w:rFonts w:asciiTheme="minorHAnsi" w:hAnsiTheme="minorHAnsi" w:cstheme="minorHAnsi"/>
          <w:color w:val="000000"/>
        </w:rPr>
        <w:t xml:space="preserve">und rather than </w:t>
      </w:r>
      <w:r w:rsidR="00B80207">
        <w:rPr>
          <w:rFonts w:asciiTheme="minorHAnsi" w:hAnsiTheme="minorHAnsi" w:cstheme="minorHAnsi"/>
          <w:color w:val="000000"/>
        </w:rPr>
        <w:t>transferring</w:t>
      </w:r>
      <w:r w:rsidR="00083E9C" w:rsidRPr="00E4014B">
        <w:rPr>
          <w:rFonts w:asciiTheme="minorHAnsi" w:hAnsiTheme="minorHAnsi" w:cstheme="minorHAnsi"/>
          <w:color w:val="000000"/>
        </w:rPr>
        <w:t xml:space="preserve"> to insurance which </w:t>
      </w:r>
      <w:proofErr w:type="gramStart"/>
      <w:r w:rsidR="00083E9C" w:rsidRPr="00E4014B">
        <w:rPr>
          <w:rFonts w:asciiTheme="minorHAnsi" w:hAnsiTheme="minorHAnsi" w:cstheme="minorHAnsi"/>
          <w:color w:val="000000"/>
        </w:rPr>
        <w:t>in itself does</w:t>
      </w:r>
      <w:proofErr w:type="gramEnd"/>
      <w:r w:rsidR="00083E9C" w:rsidRPr="00E4014B">
        <w:rPr>
          <w:rFonts w:asciiTheme="minorHAnsi" w:hAnsiTheme="minorHAnsi" w:cstheme="minorHAnsi"/>
          <w:color w:val="000000"/>
        </w:rPr>
        <w:t xml:space="preserve"> not currently exist on the market.</w:t>
      </w:r>
    </w:p>
    <w:p w14:paraId="42275160" w14:textId="32B0F873" w:rsidR="005F290A" w:rsidRDefault="008B440A" w:rsidP="004C2E86">
      <w:pPr>
        <w:pStyle w:val="NormalWeb"/>
        <w:tabs>
          <w:tab w:val="left" w:pos="709"/>
        </w:tabs>
        <w:spacing w:before="120" w:beforeAutospacing="0" w:after="120" w:afterAutospacing="0"/>
        <w:jc w:val="both"/>
      </w:pPr>
      <w:r>
        <w:rPr>
          <w:rFonts w:asciiTheme="minorHAnsi" w:hAnsiTheme="minorHAnsi" w:cstheme="minorHAnsi"/>
          <w:color w:val="000000"/>
        </w:rPr>
        <w:t>5.2</w:t>
      </w:r>
      <w:r>
        <w:rPr>
          <w:rFonts w:asciiTheme="minorHAnsi" w:hAnsiTheme="minorHAnsi" w:cstheme="minorHAnsi"/>
          <w:color w:val="000000"/>
        </w:rPr>
        <w:tab/>
      </w:r>
      <w:r w:rsidR="00083E9C" w:rsidRPr="00E4014B">
        <w:rPr>
          <w:rFonts w:asciiTheme="minorHAnsi" w:hAnsiTheme="minorHAnsi" w:cstheme="minorHAnsi"/>
          <w:color w:val="000000"/>
        </w:rPr>
        <w:t>It should be remembered that a</w:t>
      </w:r>
      <w:r w:rsidR="005F290A">
        <w:rPr>
          <w:rFonts w:asciiTheme="minorHAnsi" w:hAnsiTheme="minorHAnsi" w:cstheme="minorHAnsi"/>
          <w:color w:val="000000"/>
        </w:rPr>
        <w:t>ny</w:t>
      </w:r>
      <w:r w:rsidR="00083E9C" w:rsidRPr="00E4014B">
        <w:rPr>
          <w:rFonts w:asciiTheme="minorHAnsi" w:hAnsiTheme="minorHAnsi" w:cstheme="minorHAnsi"/>
          <w:color w:val="000000"/>
        </w:rPr>
        <w:t xml:space="preserve"> funds remaining in this account at the end of construction will be </w:t>
      </w:r>
      <w:r w:rsidR="00B80207">
        <w:rPr>
          <w:rFonts w:asciiTheme="minorHAnsi" w:hAnsiTheme="minorHAnsi" w:cstheme="minorHAnsi"/>
          <w:color w:val="000000"/>
        </w:rPr>
        <w:t>returned into</w:t>
      </w:r>
      <w:r w:rsidR="00083E9C" w:rsidRPr="00E4014B">
        <w:rPr>
          <w:rFonts w:asciiTheme="minorHAnsi" w:hAnsiTheme="minorHAnsi" w:cstheme="minorHAnsi"/>
          <w:color w:val="000000"/>
        </w:rPr>
        <w:t xml:space="preserve"> the Reserve </w:t>
      </w:r>
      <w:r w:rsidR="00747354">
        <w:rPr>
          <w:rFonts w:asciiTheme="minorHAnsi" w:hAnsiTheme="minorHAnsi" w:cstheme="minorHAnsi"/>
          <w:color w:val="000000"/>
        </w:rPr>
        <w:t xml:space="preserve">Account </w:t>
      </w:r>
      <w:r w:rsidR="00083E9C" w:rsidRPr="00E4014B">
        <w:rPr>
          <w:rFonts w:asciiTheme="minorHAnsi" w:hAnsiTheme="minorHAnsi" w:cstheme="minorHAnsi"/>
          <w:color w:val="000000"/>
        </w:rPr>
        <w:t>in accordance with Decision 619.</w:t>
      </w:r>
    </w:p>
    <w:p w14:paraId="01EF68B9" w14:textId="20A702E8" w:rsidR="00483D4A" w:rsidRPr="007715B5" w:rsidRDefault="007715B5" w:rsidP="004C2E86">
      <w:pPr>
        <w:pStyle w:val="NormalWeb"/>
        <w:spacing w:before="840" w:beforeAutospacing="0" w:after="0" w:afterAutospacing="0"/>
        <w:jc w:val="center"/>
        <w:rPr>
          <w:u w:val="single"/>
        </w:rPr>
      </w:pPr>
      <w:r>
        <w:t>_______________</w:t>
      </w:r>
    </w:p>
    <w:sectPr w:rsidR="00483D4A" w:rsidRPr="007715B5" w:rsidSect="00D60267">
      <w:headerReference w:type="default" r:id="rId10"/>
      <w:footerReference w:type="first" r:id="rId11"/>
      <w:pgSz w:w="11907" w:h="16834"/>
      <w:pgMar w:top="1134" w:right="1134" w:bottom="567"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85EF" w14:textId="77777777" w:rsidR="00E85A4F" w:rsidRDefault="00E85A4F">
      <w:r>
        <w:separator/>
      </w:r>
    </w:p>
  </w:endnote>
  <w:endnote w:type="continuationSeparator" w:id="0">
    <w:p w14:paraId="0FCC1A0C" w14:textId="77777777" w:rsidR="00E85A4F" w:rsidRDefault="00E8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C64B" w14:textId="77777777" w:rsidR="00E85A4F" w:rsidRDefault="00E85A4F">
      <w:r>
        <w:t>____________________</w:t>
      </w:r>
    </w:p>
  </w:footnote>
  <w:footnote w:type="continuationSeparator" w:id="0">
    <w:p w14:paraId="6653DB10" w14:textId="77777777" w:rsidR="00E85A4F" w:rsidRDefault="00E8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124D755E" w:rsidR="00322D0D" w:rsidRDefault="006535F1" w:rsidP="00CE433C">
    <w:pPr>
      <w:pStyle w:val="Header"/>
    </w:pPr>
    <w:r>
      <w:fldChar w:fldCharType="begin"/>
    </w:r>
    <w:r>
      <w:instrText>PAGE</w:instrText>
    </w:r>
    <w:r>
      <w:fldChar w:fldCharType="separate"/>
    </w:r>
    <w:r w:rsidR="00A36D99">
      <w:rPr>
        <w:noProof/>
      </w:rPr>
      <w:t>2</w:t>
    </w:r>
    <w:r>
      <w:rPr>
        <w:noProof/>
      </w:rPr>
      <w:fldChar w:fldCharType="end"/>
    </w:r>
  </w:p>
  <w:p w14:paraId="33144036" w14:textId="34C2AE11" w:rsidR="006C0E7E" w:rsidRPr="00623AE3" w:rsidRDefault="00623AE3" w:rsidP="002E4C69">
    <w:pPr>
      <w:pStyle w:val="Header"/>
      <w:spacing w:after="120"/>
      <w:rPr>
        <w:bCs/>
      </w:rPr>
    </w:pPr>
    <w:r w:rsidRPr="00623AE3">
      <w:rPr>
        <w:bCs/>
      </w:rPr>
      <w:t>C</w:t>
    </w:r>
    <w:r w:rsidR="004A1B8B">
      <w:rPr>
        <w:bCs/>
      </w:rPr>
      <w:t>2</w:t>
    </w:r>
    <w:r w:rsidR="0014634F">
      <w:rPr>
        <w:bCs/>
      </w:rPr>
      <w:t>2</w:t>
    </w:r>
    <w:r w:rsidRPr="00623AE3">
      <w:rPr>
        <w:bCs/>
      </w:rPr>
      <w:t>/</w:t>
    </w:r>
    <w:r w:rsidR="00CF4CA1">
      <w:rPr>
        <w:bCs/>
      </w:rPr>
      <w:t>62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F6741"/>
    <w:multiLevelType w:val="hybridMultilevel"/>
    <w:tmpl w:val="FD124EAC"/>
    <w:lvl w:ilvl="0" w:tplc="9F26F3E4">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90506FE"/>
    <w:multiLevelType w:val="hybridMultilevel"/>
    <w:tmpl w:val="B2A846CA"/>
    <w:lvl w:ilvl="0" w:tplc="61C41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23101E"/>
    <w:multiLevelType w:val="hybridMultilevel"/>
    <w:tmpl w:val="5AC6F946"/>
    <w:lvl w:ilvl="0" w:tplc="08C2495A">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LAwNDEwtbQ0NTBV0lEKTi0uzszPAykwrAUAT4v+cSwAAAA="/>
  </w:docVars>
  <w:rsids>
    <w:rsidRoot w:val="0014634F"/>
    <w:rsid w:val="00020FC4"/>
    <w:rsid w:val="000210D4"/>
    <w:rsid w:val="0003194B"/>
    <w:rsid w:val="0003639C"/>
    <w:rsid w:val="00043605"/>
    <w:rsid w:val="00046DD5"/>
    <w:rsid w:val="00047C28"/>
    <w:rsid w:val="00063016"/>
    <w:rsid w:val="00066795"/>
    <w:rsid w:val="00076AF6"/>
    <w:rsid w:val="00083E9C"/>
    <w:rsid w:val="00085CF2"/>
    <w:rsid w:val="000A5077"/>
    <w:rsid w:val="000B0075"/>
    <w:rsid w:val="000B1705"/>
    <w:rsid w:val="000D5DA0"/>
    <w:rsid w:val="000D75B2"/>
    <w:rsid w:val="00103D5E"/>
    <w:rsid w:val="001043E1"/>
    <w:rsid w:val="001121F5"/>
    <w:rsid w:val="00121A14"/>
    <w:rsid w:val="001400DC"/>
    <w:rsid w:val="00140CE1"/>
    <w:rsid w:val="0014634F"/>
    <w:rsid w:val="00156DC2"/>
    <w:rsid w:val="001668BE"/>
    <w:rsid w:val="00167B88"/>
    <w:rsid w:val="0017539C"/>
    <w:rsid w:val="00175AC2"/>
    <w:rsid w:val="0017609F"/>
    <w:rsid w:val="00183B12"/>
    <w:rsid w:val="001A38E1"/>
    <w:rsid w:val="001B600E"/>
    <w:rsid w:val="001C4105"/>
    <w:rsid w:val="001C628E"/>
    <w:rsid w:val="001E05F2"/>
    <w:rsid w:val="001E0F7B"/>
    <w:rsid w:val="001E2608"/>
    <w:rsid w:val="001F3A61"/>
    <w:rsid w:val="00201B63"/>
    <w:rsid w:val="002119FD"/>
    <w:rsid w:val="002130E0"/>
    <w:rsid w:val="00221F28"/>
    <w:rsid w:val="00224E06"/>
    <w:rsid w:val="00232845"/>
    <w:rsid w:val="002535F1"/>
    <w:rsid w:val="00264425"/>
    <w:rsid w:val="00265875"/>
    <w:rsid w:val="00270E39"/>
    <w:rsid w:val="0027303B"/>
    <w:rsid w:val="0028109B"/>
    <w:rsid w:val="002961E9"/>
    <w:rsid w:val="002A0597"/>
    <w:rsid w:val="002A2188"/>
    <w:rsid w:val="002B03E4"/>
    <w:rsid w:val="002B1F58"/>
    <w:rsid w:val="002C1C7A"/>
    <w:rsid w:val="002D01E3"/>
    <w:rsid w:val="002D420D"/>
    <w:rsid w:val="002E276E"/>
    <w:rsid w:val="002E4C69"/>
    <w:rsid w:val="0030160F"/>
    <w:rsid w:val="00303E07"/>
    <w:rsid w:val="00320223"/>
    <w:rsid w:val="00322BD1"/>
    <w:rsid w:val="00322D0D"/>
    <w:rsid w:val="00360493"/>
    <w:rsid w:val="00362C90"/>
    <w:rsid w:val="003942D4"/>
    <w:rsid w:val="003958A8"/>
    <w:rsid w:val="003C2533"/>
    <w:rsid w:val="003D7F31"/>
    <w:rsid w:val="003F550E"/>
    <w:rsid w:val="0040435A"/>
    <w:rsid w:val="00405BCA"/>
    <w:rsid w:val="00416A24"/>
    <w:rsid w:val="004217D8"/>
    <w:rsid w:val="00421DD2"/>
    <w:rsid w:val="00431D9E"/>
    <w:rsid w:val="00433CE8"/>
    <w:rsid w:val="00434A5C"/>
    <w:rsid w:val="00436BB3"/>
    <w:rsid w:val="00444623"/>
    <w:rsid w:val="004544D9"/>
    <w:rsid w:val="004552A1"/>
    <w:rsid w:val="00455D3F"/>
    <w:rsid w:val="00483D4A"/>
    <w:rsid w:val="00490E72"/>
    <w:rsid w:val="00491157"/>
    <w:rsid w:val="004921C8"/>
    <w:rsid w:val="004A1B8B"/>
    <w:rsid w:val="004C2E86"/>
    <w:rsid w:val="004D1851"/>
    <w:rsid w:val="004D599D"/>
    <w:rsid w:val="004E10CD"/>
    <w:rsid w:val="004E2EA5"/>
    <w:rsid w:val="004E3AEB"/>
    <w:rsid w:val="0050223C"/>
    <w:rsid w:val="00502C0B"/>
    <w:rsid w:val="00502E0B"/>
    <w:rsid w:val="00502E10"/>
    <w:rsid w:val="00502F59"/>
    <w:rsid w:val="005243FF"/>
    <w:rsid w:val="00534E44"/>
    <w:rsid w:val="00541658"/>
    <w:rsid w:val="00562DF4"/>
    <w:rsid w:val="00564FBC"/>
    <w:rsid w:val="00571146"/>
    <w:rsid w:val="00582442"/>
    <w:rsid w:val="0059128C"/>
    <w:rsid w:val="00596A03"/>
    <w:rsid w:val="005A1C3F"/>
    <w:rsid w:val="005A51D7"/>
    <w:rsid w:val="005C7FCA"/>
    <w:rsid w:val="005F290A"/>
    <w:rsid w:val="005F3269"/>
    <w:rsid w:val="006013F5"/>
    <w:rsid w:val="00623AE3"/>
    <w:rsid w:val="00640A05"/>
    <w:rsid w:val="0064737F"/>
    <w:rsid w:val="006535F1"/>
    <w:rsid w:val="0065557D"/>
    <w:rsid w:val="006566CE"/>
    <w:rsid w:val="00662984"/>
    <w:rsid w:val="006716BB"/>
    <w:rsid w:val="006948A4"/>
    <w:rsid w:val="006A76D4"/>
    <w:rsid w:val="006B6680"/>
    <w:rsid w:val="006B690F"/>
    <w:rsid w:val="006B6DCC"/>
    <w:rsid w:val="006C0E7E"/>
    <w:rsid w:val="006D525E"/>
    <w:rsid w:val="00702DEF"/>
    <w:rsid w:val="00706861"/>
    <w:rsid w:val="00732369"/>
    <w:rsid w:val="00735B5C"/>
    <w:rsid w:val="00736DDD"/>
    <w:rsid w:val="00747354"/>
    <w:rsid w:val="0075051B"/>
    <w:rsid w:val="00755177"/>
    <w:rsid w:val="007715B5"/>
    <w:rsid w:val="00793188"/>
    <w:rsid w:val="00794D34"/>
    <w:rsid w:val="007A081D"/>
    <w:rsid w:val="007B183C"/>
    <w:rsid w:val="007D2586"/>
    <w:rsid w:val="007E425F"/>
    <w:rsid w:val="0080565D"/>
    <w:rsid w:val="00813E5E"/>
    <w:rsid w:val="008227AE"/>
    <w:rsid w:val="0083581B"/>
    <w:rsid w:val="008532FE"/>
    <w:rsid w:val="00864AFF"/>
    <w:rsid w:val="00886F96"/>
    <w:rsid w:val="008A7C57"/>
    <w:rsid w:val="008B440A"/>
    <w:rsid w:val="008B480C"/>
    <w:rsid w:val="008B4A6A"/>
    <w:rsid w:val="008B6C96"/>
    <w:rsid w:val="008C7E27"/>
    <w:rsid w:val="0090194B"/>
    <w:rsid w:val="009173EF"/>
    <w:rsid w:val="009249E8"/>
    <w:rsid w:val="00932906"/>
    <w:rsid w:val="00954032"/>
    <w:rsid w:val="00961B0B"/>
    <w:rsid w:val="00984CA0"/>
    <w:rsid w:val="009B38C3"/>
    <w:rsid w:val="009B6ADD"/>
    <w:rsid w:val="009E17BD"/>
    <w:rsid w:val="009E485A"/>
    <w:rsid w:val="00A04CEC"/>
    <w:rsid w:val="00A14C84"/>
    <w:rsid w:val="00A24F73"/>
    <w:rsid w:val="00A27F92"/>
    <w:rsid w:val="00A32257"/>
    <w:rsid w:val="00A34C6F"/>
    <w:rsid w:val="00A36D20"/>
    <w:rsid w:val="00A36D99"/>
    <w:rsid w:val="00A42648"/>
    <w:rsid w:val="00A508B9"/>
    <w:rsid w:val="00A55622"/>
    <w:rsid w:val="00A55F23"/>
    <w:rsid w:val="00A750A8"/>
    <w:rsid w:val="00A83502"/>
    <w:rsid w:val="00AC1DA9"/>
    <w:rsid w:val="00AC2487"/>
    <w:rsid w:val="00AC36FD"/>
    <w:rsid w:val="00AD15B3"/>
    <w:rsid w:val="00AE09F6"/>
    <w:rsid w:val="00AF6E49"/>
    <w:rsid w:val="00B04A67"/>
    <w:rsid w:val="00B0583C"/>
    <w:rsid w:val="00B215AE"/>
    <w:rsid w:val="00B40A81"/>
    <w:rsid w:val="00B44910"/>
    <w:rsid w:val="00B64927"/>
    <w:rsid w:val="00B72267"/>
    <w:rsid w:val="00B76EB6"/>
    <w:rsid w:val="00B7737B"/>
    <w:rsid w:val="00B80207"/>
    <w:rsid w:val="00B824C8"/>
    <w:rsid w:val="00B84B9D"/>
    <w:rsid w:val="00B875B8"/>
    <w:rsid w:val="00BC23F7"/>
    <w:rsid w:val="00BC251A"/>
    <w:rsid w:val="00BC2D93"/>
    <w:rsid w:val="00BD032B"/>
    <w:rsid w:val="00BE2234"/>
    <w:rsid w:val="00BE2640"/>
    <w:rsid w:val="00BE31C0"/>
    <w:rsid w:val="00BF5616"/>
    <w:rsid w:val="00C01189"/>
    <w:rsid w:val="00C25960"/>
    <w:rsid w:val="00C25E21"/>
    <w:rsid w:val="00C26FCA"/>
    <w:rsid w:val="00C3488A"/>
    <w:rsid w:val="00C374DE"/>
    <w:rsid w:val="00C453EB"/>
    <w:rsid w:val="00C47AD4"/>
    <w:rsid w:val="00C52D81"/>
    <w:rsid w:val="00C55198"/>
    <w:rsid w:val="00C849D8"/>
    <w:rsid w:val="00CA6393"/>
    <w:rsid w:val="00CA7752"/>
    <w:rsid w:val="00CB0476"/>
    <w:rsid w:val="00CB18FF"/>
    <w:rsid w:val="00CB2944"/>
    <w:rsid w:val="00CD0C08"/>
    <w:rsid w:val="00CD3F0B"/>
    <w:rsid w:val="00CE03FB"/>
    <w:rsid w:val="00CE433C"/>
    <w:rsid w:val="00CF33F3"/>
    <w:rsid w:val="00CF4CA1"/>
    <w:rsid w:val="00D06183"/>
    <w:rsid w:val="00D105ED"/>
    <w:rsid w:val="00D16960"/>
    <w:rsid w:val="00D22C42"/>
    <w:rsid w:val="00D24014"/>
    <w:rsid w:val="00D26605"/>
    <w:rsid w:val="00D60267"/>
    <w:rsid w:val="00D65041"/>
    <w:rsid w:val="00D83553"/>
    <w:rsid w:val="00D91489"/>
    <w:rsid w:val="00D95F9F"/>
    <w:rsid w:val="00DB05F2"/>
    <w:rsid w:val="00DB0ECF"/>
    <w:rsid w:val="00DB384B"/>
    <w:rsid w:val="00DF50D9"/>
    <w:rsid w:val="00E02273"/>
    <w:rsid w:val="00E10E80"/>
    <w:rsid w:val="00E124F0"/>
    <w:rsid w:val="00E3513C"/>
    <w:rsid w:val="00E4014B"/>
    <w:rsid w:val="00E41628"/>
    <w:rsid w:val="00E44956"/>
    <w:rsid w:val="00E4738A"/>
    <w:rsid w:val="00E5175C"/>
    <w:rsid w:val="00E60F04"/>
    <w:rsid w:val="00E7359C"/>
    <w:rsid w:val="00E854E4"/>
    <w:rsid w:val="00E85A4F"/>
    <w:rsid w:val="00E85AC9"/>
    <w:rsid w:val="00E925A9"/>
    <w:rsid w:val="00E940DC"/>
    <w:rsid w:val="00EB0D6F"/>
    <w:rsid w:val="00EB2232"/>
    <w:rsid w:val="00EC5337"/>
    <w:rsid w:val="00ED55DD"/>
    <w:rsid w:val="00ED6481"/>
    <w:rsid w:val="00EE2827"/>
    <w:rsid w:val="00EF7391"/>
    <w:rsid w:val="00F2150A"/>
    <w:rsid w:val="00F231D8"/>
    <w:rsid w:val="00F27233"/>
    <w:rsid w:val="00F46C5F"/>
    <w:rsid w:val="00F72AF3"/>
    <w:rsid w:val="00F94A63"/>
    <w:rsid w:val="00FA1C28"/>
    <w:rsid w:val="00FA660A"/>
    <w:rsid w:val="00FB1279"/>
    <w:rsid w:val="00FB601D"/>
    <w:rsid w:val="00FB7596"/>
    <w:rsid w:val="00FC4062"/>
    <w:rsid w:val="00FD5186"/>
    <w:rsid w:val="00FE3AC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pPr>
    <w:rPr>
      <w:caps/>
      <w:noProof/>
      <w:sz w:val="16"/>
    </w:rPr>
  </w:style>
  <w:style w:type="paragraph" w:styleId="Header">
    <w:name w:val="header"/>
    <w:basedOn w:val="Normal"/>
    <w:rsid w:val="00813E5E"/>
    <w:pPr>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04360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spacing w:before="160"/>
      <w:ind w:left="567"/>
    </w:pPr>
    <w:rPr>
      <w:i/>
    </w:rPr>
  </w:style>
  <w:style w:type="paragraph" w:customStyle="1" w:styleId="Equationlegend">
    <w:name w:val="Equation_legend"/>
    <w:basedOn w:val="Normal"/>
    <w:rsid w:val="004D1851"/>
    <w:pPr>
      <w:tabs>
        <w:tab w:val="right" w:pos="1531"/>
      </w:tabs>
      <w:spacing w:before="80"/>
      <w:ind w:left="1701" w:hanging="1701"/>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spacing w:before="480"/>
      <w:jc w:val="center"/>
    </w:pPr>
    <w:rPr>
      <w:b/>
    </w:rPr>
  </w:style>
  <w:style w:type="paragraph" w:customStyle="1" w:styleId="ArtNo">
    <w:name w:val="Art_No"/>
    <w:basedOn w:val="Normal"/>
    <w:next w:val="Arttitle"/>
    <w:rsid w:val="00813E5E"/>
    <w:pPr>
      <w:spacing w:before="600"/>
      <w:jc w:val="center"/>
    </w:pPr>
    <w:rPr>
      <w:caps/>
      <w:sz w:val="28"/>
    </w:rPr>
  </w:style>
  <w:style w:type="paragraph" w:customStyle="1" w:styleId="Arttitle">
    <w:name w:val="Art_title"/>
    <w:basedOn w:val="Normal"/>
    <w:next w:val="Normal"/>
    <w:rsid w:val="00813E5E"/>
    <w:pPr>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left" w:pos="794"/>
        <w:tab w:val="left" w:pos="1191"/>
        <w:tab w:val="left" w:pos="1588"/>
        <w:tab w:val="left" w:pos="1985"/>
      </w:tabs>
      <w:spacing w:before="560" w:after="120"/>
      <w:jc w:val="center"/>
    </w:pPr>
    <w:rPr>
      <w:rFonts w:ascii="Times New Roman" w:hAnsi="Times New Roman"/>
      <w:caps/>
    </w:rPr>
  </w:style>
  <w:style w:type="paragraph" w:styleId="ListParagraph">
    <w:name w:val="List Paragraph"/>
    <w:basedOn w:val="Normal"/>
    <w:uiPriority w:val="34"/>
    <w:qFormat/>
    <w:rsid w:val="00D91489"/>
    <w:pPr>
      <w:ind w:left="720"/>
      <w:contextualSpacing/>
    </w:pPr>
  </w:style>
  <w:style w:type="character" w:customStyle="1" w:styleId="UnresolvedMention1">
    <w:name w:val="Unresolved Mention1"/>
    <w:basedOn w:val="DefaultParagraphFont"/>
    <w:uiPriority w:val="99"/>
    <w:semiHidden/>
    <w:unhideWhenUsed/>
    <w:rsid w:val="00954032"/>
    <w:rPr>
      <w:color w:val="605E5C"/>
      <w:shd w:val="clear" w:color="auto" w:fill="E1DFDD"/>
    </w:rPr>
  </w:style>
  <w:style w:type="character" w:customStyle="1" w:styleId="ms-rtethemeforecolor-2-0">
    <w:name w:val="ms-rtethemeforecolor-2-0"/>
    <w:basedOn w:val="DefaultParagraphFont"/>
    <w:rsid w:val="004552A1"/>
  </w:style>
  <w:style w:type="paragraph" w:styleId="PlainText">
    <w:name w:val="Plain Text"/>
    <w:basedOn w:val="Normal"/>
    <w:link w:val="PlainTextChar"/>
    <w:uiPriority w:val="99"/>
    <w:semiHidden/>
    <w:unhideWhenUsed/>
    <w:rsid w:val="00CB2944"/>
    <w:rPr>
      <w:rFonts w:cstheme="minorBidi"/>
      <w:sz w:val="28"/>
      <w:szCs w:val="21"/>
    </w:rPr>
  </w:style>
  <w:style w:type="character" w:customStyle="1" w:styleId="PlainTextChar">
    <w:name w:val="Plain Text Char"/>
    <w:basedOn w:val="DefaultParagraphFont"/>
    <w:link w:val="PlainText"/>
    <w:uiPriority w:val="99"/>
    <w:semiHidden/>
    <w:rsid w:val="00CB2944"/>
    <w:rPr>
      <w:rFonts w:ascii="Calibri" w:hAnsi="Calibri" w:cstheme="minorBidi"/>
      <w:sz w:val="28"/>
      <w:szCs w:val="21"/>
      <w:lang w:val="en-GB" w:eastAsia="en-US"/>
    </w:rPr>
  </w:style>
  <w:style w:type="paragraph" w:styleId="Revision">
    <w:name w:val="Revision"/>
    <w:hidden/>
    <w:uiPriority w:val="99"/>
    <w:semiHidden/>
    <w:rsid w:val="004E10CD"/>
    <w:rPr>
      <w:rFonts w:ascii="Calibri" w:hAnsi="Calibri"/>
      <w:sz w:val="24"/>
      <w:lang w:val="en-GB" w:eastAsia="en-US"/>
    </w:rPr>
  </w:style>
  <w:style w:type="paragraph" w:styleId="NormalWeb">
    <w:name w:val="Normal (Web)"/>
    <w:basedOn w:val="Normal"/>
    <w:uiPriority w:val="99"/>
    <w:unhideWhenUsed/>
    <w:rsid w:val="004E10CD"/>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1C4105"/>
    <w:rPr>
      <w:sz w:val="16"/>
      <w:szCs w:val="16"/>
    </w:rPr>
  </w:style>
  <w:style w:type="paragraph" w:styleId="CommentText">
    <w:name w:val="annotation text"/>
    <w:basedOn w:val="Normal"/>
    <w:link w:val="CommentTextChar"/>
    <w:semiHidden/>
    <w:unhideWhenUsed/>
    <w:rsid w:val="001C4105"/>
    <w:rPr>
      <w:sz w:val="20"/>
    </w:rPr>
  </w:style>
  <w:style w:type="character" w:customStyle="1" w:styleId="CommentTextChar">
    <w:name w:val="Comment Text Char"/>
    <w:basedOn w:val="DefaultParagraphFont"/>
    <w:link w:val="CommentText"/>
    <w:semiHidden/>
    <w:rsid w:val="001C4105"/>
    <w:rPr>
      <w:rFonts w:ascii="Calibri" w:hAnsi="Calibri"/>
      <w:lang w:val="en-GB" w:eastAsia="en-US"/>
    </w:rPr>
  </w:style>
  <w:style w:type="paragraph" w:styleId="CommentSubject">
    <w:name w:val="annotation subject"/>
    <w:basedOn w:val="CommentText"/>
    <w:next w:val="CommentText"/>
    <w:link w:val="CommentSubjectChar"/>
    <w:semiHidden/>
    <w:unhideWhenUsed/>
    <w:rsid w:val="001C4105"/>
    <w:rPr>
      <w:b/>
      <w:bCs/>
    </w:rPr>
  </w:style>
  <w:style w:type="character" w:customStyle="1" w:styleId="CommentSubjectChar">
    <w:name w:val="Comment Subject Char"/>
    <w:basedOn w:val="CommentTextChar"/>
    <w:link w:val="CommentSubject"/>
    <w:semiHidden/>
    <w:rsid w:val="001C4105"/>
    <w:rPr>
      <w:rFonts w:ascii="Calibri" w:hAnsi="Calibri"/>
      <w:b/>
      <w:bCs/>
      <w:lang w:val="en-GB" w:eastAsia="en-US"/>
    </w:rPr>
  </w:style>
  <w:style w:type="paragraph" w:styleId="HTMLPreformatted">
    <w:name w:val="HTML Preformatted"/>
    <w:basedOn w:val="Normal"/>
    <w:link w:val="HTMLPreformattedChar"/>
    <w:uiPriority w:val="99"/>
    <w:semiHidden/>
    <w:unhideWhenUsed/>
    <w:rsid w:val="002E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2E276E"/>
    <w:rPr>
      <w:rFonts w:ascii="Courier New" w:hAnsi="Courier New" w:cs="Courier New"/>
      <w:lang w:val="en-GB" w:eastAsia="en-GB"/>
    </w:rPr>
  </w:style>
  <w:style w:type="character" w:customStyle="1" w:styleId="y2iqfc">
    <w:name w:val="y2iqfc"/>
    <w:basedOn w:val="DefaultParagraphFont"/>
    <w:rsid w:val="002E276E"/>
  </w:style>
  <w:style w:type="character" w:styleId="UnresolvedMention">
    <w:name w:val="Unresolved Mention"/>
    <w:basedOn w:val="DefaultParagraphFont"/>
    <w:uiPriority w:val="99"/>
    <w:semiHidden/>
    <w:unhideWhenUsed/>
    <w:rsid w:val="00EE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4407">
      <w:bodyDiv w:val="1"/>
      <w:marLeft w:val="0"/>
      <w:marRight w:val="0"/>
      <w:marTop w:val="0"/>
      <w:marBottom w:val="0"/>
      <w:divBdr>
        <w:top w:val="none" w:sz="0" w:space="0" w:color="auto"/>
        <w:left w:val="none" w:sz="0" w:space="0" w:color="auto"/>
        <w:bottom w:val="none" w:sz="0" w:space="0" w:color="auto"/>
        <w:right w:val="none" w:sz="0" w:space="0" w:color="auto"/>
      </w:divBdr>
    </w:div>
    <w:div w:id="1521241933">
      <w:bodyDiv w:val="1"/>
      <w:marLeft w:val="0"/>
      <w:marRight w:val="0"/>
      <w:marTop w:val="0"/>
      <w:marBottom w:val="0"/>
      <w:divBdr>
        <w:top w:val="none" w:sz="0" w:space="0" w:color="auto"/>
        <w:left w:val="none" w:sz="0" w:space="0" w:color="auto"/>
        <w:bottom w:val="none" w:sz="0" w:space="0" w:color="auto"/>
        <w:right w:val="none" w:sz="0" w:space="0" w:color="auto"/>
      </w:divBdr>
    </w:div>
    <w:div w:id="1565724967">
      <w:bodyDiv w:val="1"/>
      <w:marLeft w:val="0"/>
      <w:marRight w:val="0"/>
      <w:marTop w:val="0"/>
      <w:marBottom w:val="0"/>
      <w:divBdr>
        <w:top w:val="none" w:sz="0" w:space="0" w:color="auto"/>
        <w:left w:val="none" w:sz="0" w:space="0" w:color="auto"/>
        <w:bottom w:val="none" w:sz="0" w:space="0" w:color="auto"/>
        <w:right w:val="none" w:sz="0" w:space="0" w:color="auto"/>
      </w:divBdr>
    </w:div>
    <w:div w:id="2100322950">
      <w:bodyDiv w:val="1"/>
      <w:marLeft w:val="0"/>
      <w:marRight w:val="0"/>
      <w:marTop w:val="0"/>
      <w:marBottom w:val="0"/>
      <w:divBdr>
        <w:top w:val="none" w:sz="0" w:space="0" w:color="auto"/>
        <w:left w:val="none" w:sz="0" w:space="0" w:color="auto"/>
        <w:bottom w:val="none" w:sz="0" w:space="0" w:color="auto"/>
        <w:right w:val="none" w:sz="0" w:space="0" w:color="auto"/>
      </w:divBdr>
    </w:div>
    <w:div w:id="21035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WGFHR15-C-0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C933-A645-41AA-B04C-A8AB9C8A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12</TotalTime>
  <Pages>3</Pages>
  <Words>975</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approach to financial risk management of construction</vt:lpstr>
    </vt:vector>
  </TitlesOfParts>
  <Manager>General Secretariat - Pool</Manager>
  <Company>International Telecommunication Union (ITU)</Company>
  <LinksUpToDate>false</LinksUpToDate>
  <CharactersWithSpaces>6266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approach to financial risk management of construction</dc:title>
  <dc:subject>Council 2022</dc:subject>
  <dc:creator>Brouard, Ricarda</dc:creator>
  <cp:keywords>C2022, C22, Council-22</cp:keywords>
  <dc:description/>
  <cp:lastModifiedBy>Xue, Kun</cp:lastModifiedBy>
  <cp:revision>6</cp:revision>
  <cp:lastPrinted>2000-07-18T13:30:00Z</cp:lastPrinted>
  <dcterms:created xsi:type="dcterms:W3CDTF">2022-02-11T10:04:00Z</dcterms:created>
  <dcterms:modified xsi:type="dcterms:W3CDTF">2022-02-18T16:44:00Z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