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8555F6C" w14:textId="77777777" w:rsidTr="00464B6C">
        <w:trPr>
          <w:cantSplit/>
        </w:trPr>
        <w:tc>
          <w:tcPr>
            <w:tcW w:w="6911" w:type="dxa"/>
          </w:tcPr>
          <w:p w14:paraId="17DEFEF8" w14:textId="67574F26" w:rsidR="002A2188" w:rsidRPr="00813E5E" w:rsidRDefault="002A2188" w:rsidP="00B84B9D">
            <w:pPr>
              <w:spacing w:before="360" w:after="48" w:line="240" w:lineRule="atLeast"/>
              <w:rPr>
                <w:position w:val="6"/>
              </w:rPr>
            </w:pPr>
            <w:bookmarkStart w:id="0" w:name="dc06"/>
            <w:bookmarkStart w:id="1" w:name="_Hlk66378539"/>
            <w:bookmarkEnd w:id="0"/>
            <w:r w:rsidRPr="00B84B9D">
              <w:rPr>
                <w:b/>
                <w:bCs/>
                <w:position w:val="6"/>
                <w:sz w:val="30"/>
                <w:szCs w:val="30"/>
              </w:rPr>
              <w:t>Council 20</w:t>
            </w:r>
            <w:r w:rsidR="004A1B8B" w:rsidRPr="00B84B9D">
              <w:rPr>
                <w:b/>
                <w:bCs/>
                <w:position w:val="6"/>
                <w:sz w:val="30"/>
                <w:szCs w:val="30"/>
              </w:rPr>
              <w:t>2</w:t>
            </w:r>
            <w:r w:rsidR="0014634F">
              <w:rPr>
                <w:b/>
                <w:bCs/>
                <w:position w:val="6"/>
                <w:sz w:val="30"/>
                <w:szCs w:val="30"/>
              </w:rPr>
              <w:t>2</w:t>
            </w:r>
            <w:r w:rsidRPr="00E85629">
              <w:rPr>
                <w:rFonts w:cs="Times"/>
                <w:b/>
                <w:position w:val="6"/>
                <w:sz w:val="26"/>
                <w:szCs w:val="26"/>
                <w:lang w:val="en-US"/>
              </w:rPr>
              <w:br/>
            </w:r>
            <w:bookmarkEnd w:id="1"/>
            <w:r w:rsidR="0014634F" w:rsidRPr="0014634F">
              <w:rPr>
                <w:b/>
                <w:bCs/>
                <w:position w:val="6"/>
                <w:sz w:val="26"/>
                <w:szCs w:val="26"/>
                <w:lang w:val="en-US"/>
              </w:rPr>
              <w:t>Geneva, 21-31 March 2022</w:t>
            </w:r>
          </w:p>
        </w:tc>
        <w:tc>
          <w:tcPr>
            <w:tcW w:w="3120" w:type="dxa"/>
          </w:tcPr>
          <w:p w14:paraId="60E83C12" w14:textId="77777777" w:rsidR="002A2188" w:rsidRPr="00813E5E" w:rsidRDefault="004A1B8B" w:rsidP="004A1B8B">
            <w:pPr>
              <w:spacing w:before="0" w:line="240" w:lineRule="atLeast"/>
            </w:pPr>
            <w:bookmarkStart w:id="2" w:name="ditulogo"/>
            <w:bookmarkEnd w:id="2"/>
            <w:r>
              <w:rPr>
                <w:noProof/>
                <w:lang w:eastAsia="zh-CN"/>
              </w:rPr>
              <w:drawing>
                <wp:inline distT="0" distB="0" distL="0" distR="0" wp14:anchorId="429711E0" wp14:editId="38958B5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6DC308F" w14:textId="77777777" w:rsidTr="00464B6C">
        <w:trPr>
          <w:cantSplit/>
        </w:trPr>
        <w:tc>
          <w:tcPr>
            <w:tcW w:w="6911" w:type="dxa"/>
            <w:tcBorders>
              <w:bottom w:val="single" w:sz="12" w:space="0" w:color="auto"/>
            </w:tcBorders>
          </w:tcPr>
          <w:p w14:paraId="0E3A86C2" w14:textId="77777777" w:rsidR="002A2188" w:rsidRPr="00813E5E" w:rsidRDefault="002A2188" w:rsidP="0014634F">
            <w:pPr>
              <w:spacing w:before="0" w:line="240" w:lineRule="atLeast"/>
              <w:rPr>
                <w:b/>
                <w:smallCaps/>
                <w:szCs w:val="24"/>
              </w:rPr>
            </w:pPr>
          </w:p>
        </w:tc>
        <w:tc>
          <w:tcPr>
            <w:tcW w:w="3120" w:type="dxa"/>
            <w:tcBorders>
              <w:bottom w:val="single" w:sz="12" w:space="0" w:color="auto"/>
            </w:tcBorders>
          </w:tcPr>
          <w:p w14:paraId="76506FC1" w14:textId="77777777" w:rsidR="002A2188" w:rsidRPr="00813E5E" w:rsidRDefault="002A2188" w:rsidP="0014634F">
            <w:pPr>
              <w:spacing w:before="0" w:line="240" w:lineRule="atLeast"/>
              <w:rPr>
                <w:szCs w:val="24"/>
              </w:rPr>
            </w:pPr>
          </w:p>
        </w:tc>
      </w:tr>
      <w:tr w:rsidR="002A2188" w:rsidRPr="00813E5E" w14:paraId="5887DC04" w14:textId="77777777" w:rsidTr="00464B6C">
        <w:trPr>
          <w:cantSplit/>
        </w:trPr>
        <w:tc>
          <w:tcPr>
            <w:tcW w:w="6911" w:type="dxa"/>
            <w:tcBorders>
              <w:top w:val="single" w:sz="12" w:space="0" w:color="auto"/>
            </w:tcBorders>
          </w:tcPr>
          <w:p w14:paraId="483F91B9" w14:textId="77777777" w:rsidR="002A2188" w:rsidRPr="00813E5E" w:rsidRDefault="002A2188" w:rsidP="0014634F">
            <w:pPr>
              <w:spacing w:before="0" w:line="240" w:lineRule="atLeast"/>
              <w:rPr>
                <w:b/>
                <w:smallCaps/>
                <w:szCs w:val="24"/>
              </w:rPr>
            </w:pPr>
          </w:p>
        </w:tc>
        <w:tc>
          <w:tcPr>
            <w:tcW w:w="3120" w:type="dxa"/>
            <w:tcBorders>
              <w:top w:val="single" w:sz="12" w:space="0" w:color="auto"/>
            </w:tcBorders>
          </w:tcPr>
          <w:p w14:paraId="49C653C0" w14:textId="77777777" w:rsidR="002A2188" w:rsidRPr="00813E5E" w:rsidRDefault="002A2188" w:rsidP="0014634F">
            <w:pPr>
              <w:spacing w:before="0" w:line="240" w:lineRule="atLeast"/>
              <w:rPr>
                <w:szCs w:val="24"/>
              </w:rPr>
            </w:pPr>
          </w:p>
        </w:tc>
      </w:tr>
      <w:tr w:rsidR="002A2188" w:rsidRPr="00813E5E" w14:paraId="15B0AE9E" w14:textId="77777777" w:rsidTr="00464B6C">
        <w:trPr>
          <w:cantSplit/>
          <w:trHeight w:val="23"/>
        </w:trPr>
        <w:tc>
          <w:tcPr>
            <w:tcW w:w="6911" w:type="dxa"/>
            <w:vMerge w:val="restart"/>
          </w:tcPr>
          <w:p w14:paraId="6F107B8A" w14:textId="18F128A4" w:rsidR="002A2188" w:rsidRPr="00E85629" w:rsidRDefault="0014634F" w:rsidP="0014634F">
            <w:pPr>
              <w:tabs>
                <w:tab w:val="left" w:pos="851"/>
              </w:tabs>
              <w:spacing w:before="0" w:line="240" w:lineRule="atLeast"/>
              <w:rPr>
                <w:b/>
              </w:rPr>
            </w:pPr>
            <w:bookmarkStart w:id="3" w:name="dmeeting" w:colFirst="0" w:colLast="0"/>
            <w:bookmarkStart w:id="4" w:name="dnum" w:colFirst="1" w:colLast="1"/>
            <w:r>
              <w:rPr>
                <w:b/>
              </w:rPr>
              <w:t>Agenda item:</w:t>
            </w:r>
            <w:r w:rsidR="00C25472">
              <w:rPr>
                <w:b/>
              </w:rPr>
              <w:t xml:space="preserve"> ADM 18</w:t>
            </w:r>
          </w:p>
        </w:tc>
        <w:tc>
          <w:tcPr>
            <w:tcW w:w="3120" w:type="dxa"/>
          </w:tcPr>
          <w:p w14:paraId="66604129" w14:textId="369F2ECD" w:rsidR="002A2188" w:rsidRPr="00E85629" w:rsidRDefault="002A2188" w:rsidP="0014634F">
            <w:pPr>
              <w:tabs>
                <w:tab w:val="left" w:pos="851"/>
              </w:tabs>
              <w:spacing w:before="0" w:line="240" w:lineRule="atLeast"/>
              <w:rPr>
                <w:b/>
              </w:rPr>
            </w:pPr>
            <w:r>
              <w:rPr>
                <w:b/>
              </w:rPr>
              <w:t>Document C</w:t>
            </w:r>
            <w:r w:rsidR="004A1B8B">
              <w:rPr>
                <w:b/>
              </w:rPr>
              <w:t>2</w:t>
            </w:r>
            <w:r w:rsidR="0014634F">
              <w:rPr>
                <w:b/>
              </w:rPr>
              <w:t>2</w:t>
            </w:r>
            <w:r>
              <w:rPr>
                <w:b/>
              </w:rPr>
              <w:t>/</w:t>
            </w:r>
            <w:r w:rsidR="00C25472">
              <w:rPr>
                <w:b/>
              </w:rPr>
              <w:t>56</w:t>
            </w:r>
            <w:r>
              <w:rPr>
                <w:b/>
              </w:rPr>
              <w:t>-E</w:t>
            </w:r>
          </w:p>
        </w:tc>
      </w:tr>
      <w:tr w:rsidR="002A2188" w:rsidRPr="00813E5E" w14:paraId="275E195F" w14:textId="77777777" w:rsidTr="00464B6C">
        <w:trPr>
          <w:cantSplit/>
          <w:trHeight w:val="23"/>
        </w:trPr>
        <w:tc>
          <w:tcPr>
            <w:tcW w:w="6911" w:type="dxa"/>
            <w:vMerge/>
          </w:tcPr>
          <w:p w14:paraId="3627AC61" w14:textId="77777777" w:rsidR="002A2188" w:rsidRPr="00813E5E" w:rsidRDefault="002A2188" w:rsidP="0014634F">
            <w:pPr>
              <w:tabs>
                <w:tab w:val="left" w:pos="851"/>
              </w:tabs>
              <w:spacing w:before="0" w:line="240" w:lineRule="atLeast"/>
              <w:rPr>
                <w:b/>
              </w:rPr>
            </w:pPr>
            <w:bookmarkStart w:id="5" w:name="ddate" w:colFirst="1" w:colLast="1"/>
            <w:bookmarkEnd w:id="3"/>
            <w:bookmarkEnd w:id="4"/>
          </w:p>
        </w:tc>
        <w:tc>
          <w:tcPr>
            <w:tcW w:w="3120" w:type="dxa"/>
          </w:tcPr>
          <w:p w14:paraId="2B0CDBEF" w14:textId="7BF2CD17" w:rsidR="002A2188" w:rsidRPr="00E85629" w:rsidRDefault="004928F1" w:rsidP="0014634F">
            <w:pPr>
              <w:tabs>
                <w:tab w:val="left" w:pos="993"/>
              </w:tabs>
              <w:spacing w:before="0"/>
              <w:rPr>
                <w:b/>
              </w:rPr>
            </w:pPr>
            <w:r w:rsidRPr="004928F1">
              <w:rPr>
                <w:rFonts w:hint="eastAsia"/>
                <w:b/>
              </w:rPr>
              <w:t>18</w:t>
            </w:r>
            <w:r w:rsidR="00C25472">
              <w:rPr>
                <w:b/>
              </w:rPr>
              <w:t xml:space="preserve"> February 2022</w:t>
            </w:r>
          </w:p>
        </w:tc>
      </w:tr>
      <w:tr w:rsidR="002A2188" w:rsidRPr="00813E5E" w14:paraId="29B42488" w14:textId="77777777" w:rsidTr="00464B6C">
        <w:trPr>
          <w:cantSplit/>
          <w:trHeight w:val="23"/>
        </w:trPr>
        <w:tc>
          <w:tcPr>
            <w:tcW w:w="6911" w:type="dxa"/>
            <w:vMerge/>
          </w:tcPr>
          <w:p w14:paraId="6000182B" w14:textId="77777777" w:rsidR="002A2188" w:rsidRPr="00813E5E" w:rsidRDefault="002A2188" w:rsidP="0014634F">
            <w:pPr>
              <w:tabs>
                <w:tab w:val="left" w:pos="851"/>
              </w:tabs>
              <w:spacing w:before="0" w:line="240" w:lineRule="atLeast"/>
              <w:rPr>
                <w:b/>
              </w:rPr>
            </w:pPr>
            <w:bookmarkStart w:id="6" w:name="dorlang" w:colFirst="1" w:colLast="1"/>
            <w:bookmarkEnd w:id="5"/>
          </w:p>
        </w:tc>
        <w:tc>
          <w:tcPr>
            <w:tcW w:w="3120" w:type="dxa"/>
          </w:tcPr>
          <w:p w14:paraId="7EAC0E79" w14:textId="77777777" w:rsidR="002A2188" w:rsidRPr="00E85629" w:rsidRDefault="002A2188" w:rsidP="0014634F">
            <w:pPr>
              <w:tabs>
                <w:tab w:val="left" w:pos="993"/>
              </w:tabs>
              <w:spacing w:before="0"/>
              <w:rPr>
                <w:b/>
              </w:rPr>
            </w:pPr>
            <w:r>
              <w:rPr>
                <w:b/>
              </w:rPr>
              <w:t>Original: English</w:t>
            </w:r>
          </w:p>
        </w:tc>
      </w:tr>
      <w:tr w:rsidR="002A2188" w:rsidRPr="00813E5E" w14:paraId="79546A94" w14:textId="77777777" w:rsidTr="00464B6C">
        <w:trPr>
          <w:cantSplit/>
        </w:trPr>
        <w:tc>
          <w:tcPr>
            <w:tcW w:w="10031" w:type="dxa"/>
            <w:gridSpan w:val="2"/>
          </w:tcPr>
          <w:p w14:paraId="7EEA3085" w14:textId="2DEEB841" w:rsidR="002A2188" w:rsidRPr="00813E5E" w:rsidRDefault="0014634F" w:rsidP="00464B6C">
            <w:pPr>
              <w:pStyle w:val="Source"/>
            </w:pPr>
            <w:bookmarkStart w:id="7" w:name="dsource" w:colFirst="0" w:colLast="0"/>
            <w:bookmarkEnd w:id="6"/>
            <w:r w:rsidRPr="0014634F">
              <w:t>Report by the Secretary-General</w:t>
            </w:r>
          </w:p>
        </w:tc>
      </w:tr>
      <w:tr w:rsidR="002A2188" w:rsidRPr="00813E5E" w14:paraId="5B5E8CC5" w14:textId="77777777" w:rsidTr="00464B6C">
        <w:trPr>
          <w:cantSplit/>
        </w:trPr>
        <w:tc>
          <w:tcPr>
            <w:tcW w:w="10031" w:type="dxa"/>
            <w:gridSpan w:val="2"/>
          </w:tcPr>
          <w:p w14:paraId="3689B12B" w14:textId="06CE58D4" w:rsidR="002A2188" w:rsidRPr="00813E5E" w:rsidRDefault="009C1373" w:rsidP="00464B6C">
            <w:pPr>
              <w:pStyle w:val="Title1"/>
            </w:pPr>
            <w:bookmarkStart w:id="8" w:name="dtitle1" w:colFirst="0" w:colLast="0"/>
            <w:bookmarkEnd w:id="7"/>
            <w:r w:rsidRPr="009C1373">
              <w:t>Feasibility study on establishing an ITU training institute: proposal</w:t>
            </w:r>
            <w:r w:rsidR="00227749">
              <w:t>S</w:t>
            </w:r>
            <w:r w:rsidRPr="009C1373">
              <w:t xml:space="preserve"> from the Secretariat</w:t>
            </w:r>
          </w:p>
        </w:tc>
      </w:tr>
      <w:bookmarkEnd w:id="8"/>
    </w:tbl>
    <w:p w14:paraId="554B4CB6" w14:textId="77777777"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FB230C" w14:paraId="1DF07826" w14:textId="77777777"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14:paraId="44CAD894" w14:textId="77777777" w:rsidR="002A2188" w:rsidRPr="00813E5E" w:rsidRDefault="002A2188" w:rsidP="00C25472">
            <w:pPr>
              <w:pStyle w:val="Headingb"/>
              <w:spacing w:before="120" w:after="120"/>
            </w:pPr>
            <w:r w:rsidRPr="00813E5E">
              <w:t>Summary</w:t>
            </w:r>
          </w:p>
          <w:p w14:paraId="34E38646" w14:textId="218BB885" w:rsidR="002A2188" w:rsidRPr="00813E5E" w:rsidRDefault="00374C3F" w:rsidP="00C25472">
            <w:pPr>
              <w:spacing w:after="120"/>
            </w:pPr>
            <w:r>
              <w:t xml:space="preserve">This document presents proposals from the ITU secretariat on the recommendations included in the </w:t>
            </w:r>
            <w:r w:rsidR="00A10CAA">
              <w:t>“</w:t>
            </w:r>
            <w:r>
              <w:t>Feasibility study on establishing an ITU training institute</w:t>
            </w:r>
            <w:r w:rsidR="00A10CAA">
              <w:t>”</w:t>
            </w:r>
            <w:r>
              <w:t xml:space="preserve">, which was presented to </w:t>
            </w:r>
            <w:r w:rsidR="00EF41C3">
              <w:t xml:space="preserve">the </w:t>
            </w:r>
            <w:r>
              <w:t xml:space="preserve">VCC in June 2021. </w:t>
            </w:r>
            <w:r w:rsidR="00A10CAA">
              <w:t xml:space="preserve">VCC concluded that </w:t>
            </w:r>
            <w:r w:rsidR="00A10CAA" w:rsidRPr="00A10CAA">
              <w:t>the secretariat would review ITU’s capacity-development activities and develop a proposal on how they could be improved and strengthened, taking into consideration the findings and recommendations of the report.</w:t>
            </w:r>
          </w:p>
          <w:p w14:paraId="17A30379" w14:textId="77777777" w:rsidR="002A2188" w:rsidRPr="00813E5E" w:rsidRDefault="002A2188" w:rsidP="00C25472">
            <w:pPr>
              <w:pStyle w:val="Headingb"/>
              <w:spacing w:before="120" w:after="120"/>
            </w:pPr>
            <w:r w:rsidRPr="00813E5E">
              <w:t>Action required</w:t>
            </w:r>
          </w:p>
          <w:p w14:paraId="63C8FCD7" w14:textId="74C6C0C3" w:rsidR="002A2188" w:rsidRPr="00813E5E" w:rsidRDefault="00FB230C" w:rsidP="00C25472">
            <w:pPr>
              <w:spacing w:after="120"/>
            </w:pPr>
            <w:r>
              <w:t xml:space="preserve">The document is submitted to Council </w:t>
            </w:r>
            <w:r w:rsidRPr="00EF41C3">
              <w:rPr>
                <w:b/>
                <w:bCs/>
              </w:rPr>
              <w:t>for consideration</w:t>
            </w:r>
            <w:r w:rsidRPr="00C91C76">
              <w:t>.</w:t>
            </w:r>
            <w:r>
              <w:t xml:space="preserve"> </w:t>
            </w:r>
          </w:p>
          <w:p w14:paraId="3098B3AD" w14:textId="77777777" w:rsidR="002A2188" w:rsidRPr="00813E5E" w:rsidRDefault="002A2188" w:rsidP="00C25472">
            <w:pPr>
              <w:pStyle w:val="Table"/>
              <w:keepNext w:val="0"/>
              <w:spacing w:before="120"/>
              <w:rPr>
                <w:rFonts w:ascii="Calibri" w:hAnsi="Calibri"/>
                <w:caps w:val="0"/>
                <w:sz w:val="22"/>
              </w:rPr>
            </w:pPr>
            <w:r w:rsidRPr="00813E5E">
              <w:rPr>
                <w:rFonts w:ascii="Calibri" w:hAnsi="Calibri"/>
                <w:caps w:val="0"/>
                <w:sz w:val="22"/>
              </w:rPr>
              <w:t>____________</w:t>
            </w:r>
          </w:p>
          <w:p w14:paraId="6D31B914" w14:textId="77777777" w:rsidR="002A2188" w:rsidRPr="00813E5E" w:rsidRDefault="002A2188" w:rsidP="00C25472">
            <w:pPr>
              <w:pStyle w:val="Headingb"/>
              <w:spacing w:before="120" w:after="120"/>
            </w:pPr>
            <w:r w:rsidRPr="00813E5E">
              <w:t>References</w:t>
            </w:r>
          </w:p>
          <w:p w14:paraId="47763C34" w14:textId="6CBFFA1A" w:rsidR="002A2188" w:rsidRPr="00FB230C" w:rsidRDefault="00FB230C" w:rsidP="00EF41C3">
            <w:pPr>
              <w:spacing w:after="120"/>
              <w:rPr>
                <w:i/>
                <w:iCs/>
              </w:rPr>
            </w:pPr>
            <w:r w:rsidRPr="00EF41C3">
              <w:rPr>
                <w:i/>
                <w:iCs/>
              </w:rPr>
              <w:t>Council document</w:t>
            </w:r>
            <w:r w:rsidR="005C5029" w:rsidRPr="00EF41C3">
              <w:rPr>
                <w:i/>
                <w:iCs/>
              </w:rPr>
              <w:t xml:space="preserve">s </w:t>
            </w:r>
            <w:hyperlink r:id="rId12" w:history="1">
              <w:r w:rsidR="005C5029" w:rsidRPr="00EF41C3">
                <w:rPr>
                  <w:rStyle w:val="Hyperlink"/>
                  <w:i/>
                  <w:iCs/>
                </w:rPr>
                <w:t>C21/32</w:t>
              </w:r>
            </w:hyperlink>
            <w:r w:rsidR="005C5029" w:rsidRPr="00EF41C3">
              <w:rPr>
                <w:i/>
                <w:iCs/>
              </w:rPr>
              <w:t xml:space="preserve"> and</w:t>
            </w:r>
            <w:r w:rsidRPr="00EF41C3">
              <w:rPr>
                <w:i/>
                <w:iCs/>
              </w:rPr>
              <w:t xml:space="preserve"> </w:t>
            </w:r>
            <w:hyperlink r:id="rId13" w:history="1">
              <w:r w:rsidRPr="00EF41C3">
                <w:rPr>
                  <w:rStyle w:val="Hyperlink"/>
                  <w:i/>
                  <w:iCs/>
                </w:rPr>
                <w:t>C21/92</w:t>
              </w:r>
            </w:hyperlink>
          </w:p>
        </w:tc>
      </w:tr>
    </w:tbl>
    <w:p w14:paraId="2D3E1ACE" w14:textId="61FB12B5" w:rsidR="0014634F" w:rsidRPr="00FB230C" w:rsidRDefault="0014634F" w:rsidP="00DB384B">
      <w:bookmarkStart w:id="9" w:name="dstart"/>
      <w:bookmarkStart w:id="10" w:name="dbreak"/>
      <w:bookmarkEnd w:id="9"/>
      <w:bookmarkEnd w:id="10"/>
      <w:r w:rsidRPr="00FB230C">
        <w:br w:type="page"/>
      </w:r>
    </w:p>
    <w:p w14:paraId="7809A502" w14:textId="5A94B328" w:rsidR="004A1B8B" w:rsidRPr="000F779A" w:rsidRDefault="000F779A" w:rsidP="00EF41C3">
      <w:pPr>
        <w:jc w:val="both"/>
        <w:rPr>
          <w:b/>
          <w:bCs/>
        </w:rPr>
      </w:pPr>
      <w:r w:rsidRPr="000F779A">
        <w:rPr>
          <w:b/>
          <w:bCs/>
        </w:rPr>
        <w:lastRenderedPageBreak/>
        <w:t>Introduction</w:t>
      </w:r>
    </w:p>
    <w:p w14:paraId="15A9EF68" w14:textId="5D63A3E4" w:rsidR="000F779A" w:rsidRDefault="00F61C2F" w:rsidP="00EF41C3">
      <w:pPr>
        <w:spacing w:after="120"/>
        <w:jc w:val="both"/>
      </w:pPr>
      <w:r>
        <w:t>The ITU Council, at its virtual consultation in June 2021, considered the final report on the feasibility study on establishing an ITU training institute, which had been conducted by an independent external consultancy company, Jigsaw consult.</w:t>
      </w:r>
    </w:p>
    <w:p w14:paraId="6411DFF6" w14:textId="66C47860" w:rsidR="00F61C2F" w:rsidRDefault="00D0077B" w:rsidP="00EF41C3">
      <w:pPr>
        <w:spacing w:after="120"/>
        <w:jc w:val="both"/>
      </w:pPr>
      <w:r>
        <w:t xml:space="preserve">While </w:t>
      </w:r>
      <w:r w:rsidR="00F61C2F">
        <w:t>Councillors agreed on the importance of strengthening ITU’s capacity</w:t>
      </w:r>
      <w:r>
        <w:t>-</w:t>
      </w:r>
      <w:r w:rsidR="00F61C2F">
        <w:t>development and training facilities</w:t>
      </w:r>
      <w:r>
        <w:t>, concerns were raised</w:t>
      </w:r>
      <w:r w:rsidR="00636DA7">
        <w:t xml:space="preserve"> – among others – </w:t>
      </w:r>
      <w:r>
        <w:t xml:space="preserve">about the financial implications related to the different options included in the report. </w:t>
      </w:r>
    </w:p>
    <w:p w14:paraId="7009AA03" w14:textId="0CD2585C" w:rsidR="000F779A" w:rsidRDefault="00D0077B" w:rsidP="00EF41C3">
      <w:pPr>
        <w:spacing w:after="120"/>
        <w:jc w:val="both"/>
      </w:pPr>
      <w:r>
        <w:t xml:space="preserve">As a way forward, Council Member States were invited to submit written comments on the report to the secretariat by 1 September 2021 and concluded that </w:t>
      </w:r>
      <w:r w:rsidRPr="00D0077B">
        <w:t>the secretariat would review ITU’s capacity-development activities and develop a proposal on how they could be improved and strengthened, taking into consideration the findings and recommendations of the report, as well as the comments sent by Council Member States.</w:t>
      </w:r>
      <w:r>
        <w:t xml:space="preserve"> </w:t>
      </w:r>
      <w:r w:rsidRPr="00D0077B">
        <w:t>A proposal would then be presented to the Council in 2022.</w:t>
      </w:r>
    </w:p>
    <w:p w14:paraId="73DB9610" w14:textId="35327271" w:rsidR="000F779A" w:rsidRPr="000F779A" w:rsidRDefault="000F779A" w:rsidP="00EF41C3">
      <w:pPr>
        <w:spacing w:before="240" w:after="120"/>
        <w:jc w:val="both"/>
        <w:rPr>
          <w:b/>
          <w:bCs/>
        </w:rPr>
      </w:pPr>
      <w:r w:rsidRPr="000F779A">
        <w:rPr>
          <w:b/>
          <w:bCs/>
        </w:rPr>
        <w:t>Proposal</w:t>
      </w:r>
      <w:r w:rsidR="00227749">
        <w:rPr>
          <w:b/>
          <w:bCs/>
        </w:rPr>
        <w:t>s</w:t>
      </w:r>
      <w:r w:rsidRPr="000F779A">
        <w:rPr>
          <w:b/>
          <w:bCs/>
        </w:rPr>
        <w:t xml:space="preserve"> from the secretariat</w:t>
      </w:r>
    </w:p>
    <w:p w14:paraId="423FD3C9" w14:textId="693A26A6" w:rsidR="00C25472" w:rsidRDefault="00877C06" w:rsidP="00EF41C3">
      <w:pPr>
        <w:spacing w:after="120"/>
        <w:jc w:val="both"/>
      </w:pPr>
      <w:r>
        <w:t>The secretariat carefully considered the recommendations provided in the report</w:t>
      </w:r>
      <w:r w:rsidR="009A773A">
        <w:t>. It is proposing the following</w:t>
      </w:r>
      <w:r w:rsidR="008B27E5">
        <w:t xml:space="preserve"> activities as a way forward</w:t>
      </w:r>
      <w:r w:rsidR="00BF6D12">
        <w:t xml:space="preserve">, </w:t>
      </w:r>
      <w:r>
        <w:t>taking note that no written comments on the report were submitted by Council Member States</w:t>
      </w:r>
      <w:r w:rsidR="007321BD">
        <w:t xml:space="preserve"> following the </w:t>
      </w:r>
      <w:r w:rsidR="00BC79EB" w:rsidRPr="00BC79EB">
        <w:t xml:space="preserve">meeting of the Virtual consultation of councillors </w:t>
      </w:r>
      <w:r w:rsidR="00BC79EB">
        <w:t xml:space="preserve">in </w:t>
      </w:r>
      <w:r w:rsidR="007321BD">
        <w:t>2021</w:t>
      </w:r>
      <w:r w:rsidRPr="00C91C76">
        <w:t>.</w:t>
      </w:r>
      <w:r w:rsidR="00B179A3" w:rsidRPr="00C91C76">
        <w:t xml:space="preserve"> The proposed activities should take place within the existing budget available.</w:t>
      </w:r>
    </w:p>
    <w:p w14:paraId="16486AC7" w14:textId="4912AF8B" w:rsidR="00877C06" w:rsidRPr="00C25472" w:rsidRDefault="00C25472" w:rsidP="00EF41C3">
      <w:pPr>
        <w:spacing w:after="120"/>
        <w:jc w:val="both"/>
      </w:pPr>
      <w:r>
        <w:tab/>
        <w:t xml:space="preserve">a. </w:t>
      </w:r>
      <w:r w:rsidR="00877C06" w:rsidRPr="00C25472">
        <w:rPr>
          <w:i/>
          <w:iCs/>
        </w:rPr>
        <w:t>Working towards a harmonized capacity development framework in ITU, under the umbrella of the ITU Academy</w:t>
      </w:r>
    </w:p>
    <w:p w14:paraId="4CB5B49F" w14:textId="30DF99C2" w:rsidR="00877C06" w:rsidRDefault="009A773A" w:rsidP="00EF41C3">
      <w:pPr>
        <w:spacing w:after="120"/>
        <w:jc w:val="both"/>
      </w:pPr>
      <w:r>
        <w:t xml:space="preserve">One of the core recommendations of the feasibility study report </w:t>
      </w:r>
      <w:r w:rsidR="00C24962">
        <w:t>was</w:t>
      </w:r>
      <w:r>
        <w:t xml:space="preserve"> to work towards greater harmonization of capacity development </w:t>
      </w:r>
      <w:r w:rsidR="00C24962">
        <w:t>and</w:t>
      </w:r>
      <w:r>
        <w:t xml:space="preserve"> training across the ITU, and </w:t>
      </w:r>
      <w:r w:rsidR="00C24962">
        <w:t xml:space="preserve">to develop a common framework for ITU’s activities. The ITU Academy should be further enhanced and strengthened in this regard, to become the main entry point for ITU capacity development and training. </w:t>
      </w:r>
    </w:p>
    <w:p w14:paraId="0C535C3C" w14:textId="7B02E269" w:rsidR="00C25472" w:rsidRDefault="00C24962" w:rsidP="00EF41C3">
      <w:pPr>
        <w:spacing w:after="120"/>
        <w:jc w:val="both"/>
      </w:pPr>
      <w:r>
        <w:t xml:space="preserve">The secretariat has used the </w:t>
      </w:r>
      <w:r w:rsidR="003F464F">
        <w:t>I-</w:t>
      </w:r>
      <w:proofErr w:type="spellStart"/>
      <w:r w:rsidR="003F464F">
        <w:t>CoDI</w:t>
      </w:r>
      <w:proofErr w:type="spellEnd"/>
      <w:r>
        <w:t xml:space="preserve"> </w:t>
      </w:r>
      <w:r w:rsidR="00BA0262">
        <w:t>co-design process</w:t>
      </w:r>
      <w:r>
        <w:t xml:space="preserve"> to </w:t>
      </w:r>
      <w:r w:rsidR="00BA0262">
        <w:t xml:space="preserve">explore and advance the discussion on an ITU harmonized capacity development framework. Between August and October 2021, </w:t>
      </w:r>
      <w:r w:rsidR="008339A4">
        <w:t xml:space="preserve">a series of steps were taken, including the problem definition with ITU leadership, the evaluation of the relevance of the topic and the development of a concept design. A deep dive 2-day workshop with participants from the three bureaux </w:t>
      </w:r>
      <w:r w:rsidR="00693E56">
        <w:t xml:space="preserve">and the General Secretariat </w:t>
      </w:r>
      <w:r w:rsidR="008339A4">
        <w:t xml:space="preserve">helped to identify key challenges and </w:t>
      </w:r>
      <w:proofErr w:type="gramStart"/>
      <w:r w:rsidR="008339A4">
        <w:t>opportunities, and</w:t>
      </w:r>
      <w:proofErr w:type="gramEnd"/>
      <w:r w:rsidR="008339A4">
        <w:t xml:space="preserve"> identified the main goals and new practices of a future harmonized capacity development approach</w:t>
      </w:r>
      <w:r w:rsidR="006C3A35">
        <w:t xml:space="preserve">. The results of the </w:t>
      </w:r>
      <w:r w:rsidR="003F464F">
        <w:t>I-</w:t>
      </w:r>
      <w:proofErr w:type="spellStart"/>
      <w:r w:rsidR="003F464F">
        <w:t>CoDI</w:t>
      </w:r>
      <w:proofErr w:type="spellEnd"/>
      <w:r w:rsidR="006C3A35">
        <w:t xml:space="preserve"> process ha</w:t>
      </w:r>
      <w:r w:rsidR="00BF6D12">
        <w:t>ve</w:t>
      </w:r>
      <w:r w:rsidR="006C3A35">
        <w:t xml:space="preserve"> been presented to the three Directors. As a way forward, an internal task force </w:t>
      </w:r>
      <w:r w:rsidR="00BF6D12">
        <w:t xml:space="preserve">will be set up, </w:t>
      </w:r>
      <w:r w:rsidR="006C3A35">
        <w:t xml:space="preserve">including representatives of the three bureaux, </w:t>
      </w:r>
      <w:r w:rsidR="00BF6D12">
        <w:t xml:space="preserve">with the objective to </w:t>
      </w:r>
      <w:r w:rsidR="006C3A35">
        <w:t xml:space="preserve">oversee the harmonization of capacity development in ITU and work towards consolidating ITU’s capacity development and training activities under the ITU Academy umbrella. </w:t>
      </w:r>
      <w:r w:rsidR="00D24A65">
        <w:t xml:space="preserve">The task force is expected to develop a detailed strategic roadmap and implementation plan, with the aim to start implementation in 2023. </w:t>
      </w:r>
    </w:p>
    <w:p w14:paraId="150F39FE" w14:textId="54D7C656" w:rsidR="00877C06" w:rsidRPr="00B179A3" w:rsidRDefault="00C25472" w:rsidP="00EF41C3">
      <w:pPr>
        <w:spacing w:after="120"/>
        <w:jc w:val="both"/>
        <w:rPr>
          <w:i/>
          <w:iCs/>
        </w:rPr>
      </w:pPr>
      <w:r>
        <w:tab/>
        <w:t xml:space="preserve">b. </w:t>
      </w:r>
      <w:r w:rsidR="00877C06" w:rsidRPr="00B179A3">
        <w:rPr>
          <w:i/>
          <w:iCs/>
        </w:rPr>
        <w:t>Carrying out a strategic review of the C</w:t>
      </w:r>
      <w:r w:rsidR="007321BD" w:rsidRPr="00B179A3">
        <w:rPr>
          <w:i/>
          <w:iCs/>
        </w:rPr>
        <w:t xml:space="preserve">entres of Excellence </w:t>
      </w:r>
      <w:r w:rsidR="00877C06" w:rsidRPr="00B179A3">
        <w:rPr>
          <w:i/>
          <w:iCs/>
        </w:rPr>
        <w:t>programme</w:t>
      </w:r>
    </w:p>
    <w:p w14:paraId="5464D753" w14:textId="36D1217C" w:rsidR="00877C06" w:rsidRDefault="00BA2688" w:rsidP="00EF41C3">
      <w:pPr>
        <w:spacing w:after="120"/>
        <w:jc w:val="both"/>
      </w:pPr>
      <w:r>
        <w:t xml:space="preserve">The feasibility study report also recommended to reconsider the Centres of Excellence </w:t>
      </w:r>
      <w:r w:rsidR="007321BD">
        <w:t>(</w:t>
      </w:r>
      <w:proofErr w:type="spellStart"/>
      <w:r w:rsidR="007321BD">
        <w:t>CoE</w:t>
      </w:r>
      <w:proofErr w:type="spellEnd"/>
      <w:r w:rsidR="007321BD">
        <w:t xml:space="preserve">) </w:t>
      </w:r>
      <w:r>
        <w:t>programme</w:t>
      </w:r>
      <w:r w:rsidR="009A050D">
        <w:t xml:space="preserve"> and explore options for its future starting with the next cycle</w:t>
      </w:r>
      <w:r w:rsidR="002C547B">
        <w:t xml:space="preserve"> (as of 2023)</w:t>
      </w:r>
      <w:r w:rsidR="009A050D">
        <w:t>,</w:t>
      </w:r>
      <w:r>
        <w:t xml:space="preserve"> and </w:t>
      </w:r>
      <w:r w:rsidR="007321BD">
        <w:t xml:space="preserve">to streamline and enhance the quality of delivery of the </w:t>
      </w:r>
      <w:proofErr w:type="spellStart"/>
      <w:r w:rsidR="007321BD">
        <w:t>CoE</w:t>
      </w:r>
      <w:proofErr w:type="spellEnd"/>
      <w:r w:rsidR="007321BD">
        <w:t xml:space="preserve"> activities. </w:t>
      </w:r>
      <w:r>
        <w:t xml:space="preserve">A strategic review of the </w:t>
      </w:r>
      <w:proofErr w:type="spellStart"/>
      <w:r>
        <w:t>CoE</w:t>
      </w:r>
      <w:proofErr w:type="spellEnd"/>
      <w:r>
        <w:t xml:space="preserve"> programme was also mandated by WTDC through Resolution 73 (R</w:t>
      </w:r>
      <w:r w:rsidR="00A23F28">
        <w:t>ev</w:t>
      </w:r>
      <w:r>
        <w:t>. B</w:t>
      </w:r>
      <w:r w:rsidR="00A23F28">
        <w:t>uenos Aires</w:t>
      </w:r>
      <w:r>
        <w:t xml:space="preserve">, 2017). </w:t>
      </w:r>
    </w:p>
    <w:p w14:paraId="7DF7CE1D" w14:textId="5D7C3CD5" w:rsidR="00BA2688" w:rsidRDefault="00BA2688" w:rsidP="00EF41C3">
      <w:pPr>
        <w:spacing w:after="120"/>
        <w:jc w:val="both"/>
      </w:pPr>
      <w:r>
        <w:lastRenderedPageBreak/>
        <w:t xml:space="preserve">The secretariat has carried out a strategic review of the </w:t>
      </w:r>
      <w:proofErr w:type="spellStart"/>
      <w:r>
        <w:t>CoE</w:t>
      </w:r>
      <w:proofErr w:type="spellEnd"/>
      <w:r>
        <w:t xml:space="preserve"> programme between September 2021 and January 2022</w:t>
      </w:r>
      <w:r w:rsidRPr="00C91C76">
        <w:t>. The report of the review was shared with Member States, in</w:t>
      </w:r>
      <w:r>
        <w:t xml:space="preserve"> preparation of WTDC 2022. The review recommends to substantially modify and rebrand the programme</w:t>
      </w:r>
      <w:r w:rsidR="00671C4B">
        <w:t xml:space="preserve">, to associate it more strongly with the ITU Academy and align it </w:t>
      </w:r>
      <w:r w:rsidR="00227749">
        <w:t xml:space="preserve">better </w:t>
      </w:r>
      <w:r w:rsidR="00671C4B">
        <w:t xml:space="preserve">with the objectives of ITU/BDT, </w:t>
      </w:r>
      <w:r w:rsidR="00227749">
        <w:t xml:space="preserve">and </w:t>
      </w:r>
      <w:r w:rsidR="00B179A3">
        <w:t>to seek out high-quality institutions as both Centres and potential partners</w:t>
      </w:r>
      <w:r w:rsidR="00227749">
        <w:t>. A timetable has been established, with the object</w:t>
      </w:r>
      <w:r w:rsidR="00A23F28">
        <w:t>ive</w:t>
      </w:r>
      <w:r w:rsidR="00227749">
        <w:t xml:space="preserve"> to relaunch t</w:t>
      </w:r>
      <w:r w:rsidR="00B179A3">
        <w:t xml:space="preserve">he rebranded </w:t>
      </w:r>
      <w:r w:rsidR="00671C4B">
        <w:t xml:space="preserve">programme </w:t>
      </w:r>
      <w:r w:rsidR="00B179A3">
        <w:t xml:space="preserve">from </w:t>
      </w:r>
      <w:r w:rsidR="00671C4B">
        <w:t>2023</w:t>
      </w:r>
      <w:r>
        <w:t xml:space="preserve">. </w:t>
      </w:r>
    </w:p>
    <w:p w14:paraId="36AD67CE" w14:textId="6EA27324" w:rsidR="009A050D" w:rsidRPr="00227749" w:rsidRDefault="00C25472" w:rsidP="00EF41C3">
      <w:pPr>
        <w:spacing w:after="120"/>
        <w:jc w:val="both"/>
        <w:rPr>
          <w:i/>
          <w:iCs/>
        </w:rPr>
      </w:pPr>
      <w:r>
        <w:rPr>
          <w:i/>
          <w:iCs/>
        </w:rPr>
        <w:tab/>
        <w:t>c.</w:t>
      </w:r>
      <w:r w:rsidR="009A050D" w:rsidRPr="00227749">
        <w:rPr>
          <w:i/>
          <w:iCs/>
        </w:rPr>
        <w:t xml:space="preserve"> Collaboration with UNDP</w:t>
      </w:r>
    </w:p>
    <w:p w14:paraId="7F289604" w14:textId="3CFE7FEA" w:rsidR="009A050D" w:rsidRDefault="00227749" w:rsidP="00EF41C3">
      <w:pPr>
        <w:spacing w:after="120"/>
        <w:jc w:val="both"/>
      </w:pPr>
      <w:r>
        <w:t xml:space="preserve">The feasibility study report recommended </w:t>
      </w:r>
      <w:r w:rsidR="00537C2B">
        <w:t xml:space="preserve">ITU to work closely with UNDP in the design and implementation of its capacity development and training activities, </w:t>
      </w:r>
      <w:r w:rsidR="00537C2B" w:rsidRPr="00537C2B">
        <w:t>with the UNDP’s national and regional presence being an important vehicle for delivering shared activities</w:t>
      </w:r>
      <w:r w:rsidR="00537C2B">
        <w:t xml:space="preserve">. </w:t>
      </w:r>
      <w:r w:rsidR="00E03977">
        <w:t xml:space="preserve">This would also </w:t>
      </w:r>
      <w:r w:rsidR="00E03977" w:rsidRPr="00E03977">
        <w:t>reduce the duplication and overlap in delivery of such activities across the UN system and beyond.</w:t>
      </w:r>
    </w:p>
    <w:p w14:paraId="0A7E17AB" w14:textId="54DDDA14" w:rsidR="00E03977" w:rsidRDefault="00E03977" w:rsidP="00EF41C3">
      <w:pPr>
        <w:spacing w:after="120"/>
        <w:jc w:val="both"/>
      </w:pPr>
      <w:r>
        <w:t xml:space="preserve">ITU has continued to strengthen its collaboration with UNDP in the field of digital capacity, following the recommendations of the UN Secretary General’s </w:t>
      </w:r>
      <w:r w:rsidRPr="00E03977">
        <w:rPr>
          <w:i/>
          <w:iCs/>
        </w:rPr>
        <w:t>Roadmap for Digital Cooperation</w:t>
      </w:r>
      <w:r>
        <w:t xml:space="preserve">. In May 2021, a Joint Facility for Digital Capacity </w:t>
      </w:r>
      <w:r w:rsidR="00BC5CE9">
        <w:t xml:space="preserve">Development </w:t>
      </w:r>
      <w:r>
        <w:t>was launched by ITU and UNDP</w:t>
      </w:r>
      <w:r w:rsidR="00E46C7E">
        <w:t xml:space="preserve">. </w:t>
      </w:r>
      <w:r w:rsidR="00E46C7E" w:rsidRPr="00E46C7E">
        <w:t>Th</w:t>
      </w:r>
      <w:r w:rsidR="00E46C7E">
        <w:t>e</w:t>
      </w:r>
      <w:r w:rsidR="00E46C7E" w:rsidRPr="00E46C7E">
        <w:t xml:space="preserve"> Joint Facility serves as the point of contact and exchange between the two agencies – bringing together expertise in areas such as digital skills training, digital needs assessment, and programmatic support – </w:t>
      </w:r>
      <w:proofErr w:type="gramStart"/>
      <w:r w:rsidR="00E46C7E" w:rsidRPr="00E46C7E">
        <w:t>in order to</w:t>
      </w:r>
      <w:proofErr w:type="gramEnd"/>
      <w:r w:rsidR="00E46C7E" w:rsidRPr="00E46C7E">
        <w:t xml:space="preserve"> improve the accessibility of digital </w:t>
      </w:r>
      <w:r w:rsidR="00E46C7E" w:rsidRPr="002C547B">
        <w:t>opportunities.</w:t>
      </w:r>
      <w:r w:rsidR="00E46C7E">
        <w:t xml:space="preserve"> ITU and UNDP, together with the UN </w:t>
      </w:r>
      <w:r w:rsidR="00E01A1B">
        <w:t xml:space="preserve">Office of the SG’s Envoy on </w:t>
      </w:r>
      <w:r w:rsidR="00E46C7E">
        <w:t>Tech</w:t>
      </w:r>
      <w:r w:rsidR="00E01A1B">
        <w:t>nology</w:t>
      </w:r>
      <w:r w:rsidR="00E46C7E">
        <w:t xml:space="preserve">, also supported the launch at the Internet Governance Forum in December 2021 of </w:t>
      </w:r>
      <w:r>
        <w:t xml:space="preserve">a Multistakeholder Network </w:t>
      </w:r>
      <w:r w:rsidR="00E46C7E">
        <w:t>(MSN) for Digital Capacity Building</w:t>
      </w:r>
      <w:r w:rsidR="005E2B1A">
        <w:t xml:space="preserve">. The MSN brings together participants from the </w:t>
      </w:r>
      <w:r>
        <w:t xml:space="preserve">UN </w:t>
      </w:r>
      <w:r w:rsidR="005E2B1A">
        <w:t>s</w:t>
      </w:r>
      <w:r>
        <w:t>ystem</w:t>
      </w:r>
      <w:r w:rsidR="005E2B1A">
        <w:t xml:space="preserve"> and the wider international community, to raise the level of digital capacity </w:t>
      </w:r>
      <w:proofErr w:type="gramStart"/>
      <w:r w:rsidR="005E2B1A">
        <w:t>in particular in</w:t>
      </w:r>
      <w:proofErr w:type="gramEnd"/>
      <w:r w:rsidR="005E2B1A">
        <w:t xml:space="preserve"> developing countries, by increasing awareness of and access to available training as well as promoting more coherent, scaled up and coordinated efforts to develop digital capacity.</w:t>
      </w:r>
    </w:p>
    <w:p w14:paraId="05BD4B85" w14:textId="60F444DB" w:rsidR="00227749" w:rsidRDefault="005475CF" w:rsidP="00EF41C3">
      <w:pPr>
        <w:spacing w:after="120"/>
        <w:jc w:val="both"/>
      </w:pPr>
      <w:r>
        <w:t xml:space="preserve">ITU and UNDP are committed to develop the Joint Facility and bring it to an operational level, as well as provide support to the </w:t>
      </w:r>
      <w:r w:rsidR="007309B9">
        <w:t xml:space="preserve">rollout of the MSN and its activities as from 2022-23. </w:t>
      </w:r>
    </w:p>
    <w:p w14:paraId="72D382B3" w14:textId="21C51C02" w:rsidR="000C727E" w:rsidRPr="000C727E" w:rsidRDefault="000C727E" w:rsidP="00EF41C3">
      <w:pPr>
        <w:spacing w:before="240" w:after="120"/>
        <w:jc w:val="both"/>
        <w:rPr>
          <w:b/>
          <w:bCs/>
        </w:rPr>
      </w:pPr>
      <w:r w:rsidRPr="000C727E">
        <w:rPr>
          <w:b/>
          <w:bCs/>
        </w:rPr>
        <w:t>Way forward</w:t>
      </w:r>
    </w:p>
    <w:p w14:paraId="0BAEAEED" w14:textId="6156D889" w:rsidR="00877C06" w:rsidRDefault="009A773A" w:rsidP="00EF41C3">
      <w:pPr>
        <w:spacing w:after="120"/>
        <w:jc w:val="both"/>
      </w:pPr>
      <w:r>
        <w:t xml:space="preserve">The above </w:t>
      </w:r>
      <w:r w:rsidR="00227749">
        <w:t>activities are</w:t>
      </w:r>
      <w:r>
        <w:t xml:space="preserve"> submitted to Council </w:t>
      </w:r>
      <w:r w:rsidRPr="00C91C76">
        <w:t>for consideration</w:t>
      </w:r>
      <w:r w:rsidR="00295D6E">
        <w:t xml:space="preserve"> as a way forward to strengthen ITU’s work on capacity development and training and taking into consideration the findings and recommendations of the Jigsaw report</w:t>
      </w:r>
      <w:r>
        <w:t>.</w:t>
      </w:r>
    </w:p>
    <w:p w14:paraId="39667AB6" w14:textId="77777777" w:rsidR="00C25472" w:rsidRDefault="00C25472" w:rsidP="00C25472">
      <w:pPr>
        <w:spacing w:before="840"/>
        <w:jc w:val="center"/>
      </w:pPr>
      <w:r>
        <w:t>______________</w:t>
      </w:r>
    </w:p>
    <w:sectPr w:rsidR="00C25472" w:rsidSect="004D1851">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458A" w14:textId="77777777" w:rsidR="00A8202C" w:rsidRDefault="00A8202C">
      <w:r>
        <w:separator/>
      </w:r>
    </w:p>
  </w:endnote>
  <w:endnote w:type="continuationSeparator" w:id="0">
    <w:p w14:paraId="14A5BFA3" w14:textId="77777777" w:rsidR="00A8202C" w:rsidRDefault="00A8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B42F" w14:textId="648B5766" w:rsidR="00CB18FF" w:rsidRPr="00C25472" w:rsidRDefault="00996753">
    <w:pPr>
      <w:pStyle w:val="Footer"/>
      <w:rPr>
        <w:color w:val="F2F2F2" w:themeColor="background1" w:themeShade="F2"/>
      </w:rPr>
    </w:pPr>
    <w:r w:rsidRPr="00C25472">
      <w:rPr>
        <w:color w:val="F2F2F2" w:themeColor="background1" w:themeShade="F2"/>
      </w:rPr>
      <w:fldChar w:fldCharType="begin"/>
    </w:r>
    <w:r w:rsidRPr="00C25472">
      <w:rPr>
        <w:color w:val="F2F2F2" w:themeColor="background1" w:themeShade="F2"/>
      </w:rPr>
      <w:instrText xml:space="preserve"> FILENAME \p  \* MERGEFORMAT </w:instrText>
    </w:r>
    <w:r w:rsidRPr="00C25472">
      <w:rPr>
        <w:color w:val="F2F2F2" w:themeColor="background1" w:themeShade="F2"/>
      </w:rPr>
      <w:fldChar w:fldCharType="separate"/>
    </w:r>
    <w:r w:rsidR="0014634F" w:rsidRPr="00C25472">
      <w:rPr>
        <w:color w:val="F2F2F2" w:themeColor="background1" w:themeShade="F2"/>
      </w:rPr>
      <w:t>Document1</w:t>
    </w:r>
    <w:r w:rsidRPr="00C25472">
      <w:rPr>
        <w:color w:val="F2F2F2" w:themeColor="background1" w:themeShade="F2"/>
      </w:rPr>
      <w:fldChar w:fldCharType="end"/>
    </w:r>
    <w:r w:rsidR="00CB18FF" w:rsidRPr="00C25472">
      <w:rPr>
        <w:color w:val="F2F2F2" w:themeColor="background1" w:themeShade="F2"/>
      </w:rPr>
      <w:tab/>
    </w:r>
    <w:r w:rsidR="00864AFF" w:rsidRPr="00C25472">
      <w:rPr>
        <w:color w:val="F2F2F2" w:themeColor="background1" w:themeShade="F2"/>
      </w:rPr>
      <w:fldChar w:fldCharType="begin"/>
    </w:r>
    <w:r w:rsidR="00CB18FF" w:rsidRPr="00C25472">
      <w:rPr>
        <w:color w:val="F2F2F2" w:themeColor="background1" w:themeShade="F2"/>
      </w:rPr>
      <w:instrText xml:space="preserve"> SAVEDATE \@ DD.MM.YY </w:instrText>
    </w:r>
    <w:r w:rsidR="00864AFF" w:rsidRPr="00C25472">
      <w:rPr>
        <w:color w:val="F2F2F2" w:themeColor="background1" w:themeShade="F2"/>
      </w:rPr>
      <w:fldChar w:fldCharType="separate"/>
    </w:r>
    <w:r w:rsidR="004928F1">
      <w:rPr>
        <w:color w:val="F2F2F2" w:themeColor="background1" w:themeShade="F2"/>
      </w:rPr>
      <w:t>11.02.22</w:t>
    </w:r>
    <w:r w:rsidR="00864AFF" w:rsidRPr="00C25472">
      <w:rPr>
        <w:color w:val="F2F2F2" w:themeColor="background1" w:themeShade="F2"/>
      </w:rPr>
      <w:fldChar w:fldCharType="end"/>
    </w:r>
    <w:r w:rsidR="00CB18FF" w:rsidRPr="00C25472">
      <w:rPr>
        <w:color w:val="F2F2F2" w:themeColor="background1" w:themeShade="F2"/>
      </w:rPr>
      <w:tab/>
    </w:r>
    <w:r w:rsidR="00864AFF" w:rsidRPr="00C25472">
      <w:rPr>
        <w:color w:val="F2F2F2" w:themeColor="background1" w:themeShade="F2"/>
      </w:rPr>
      <w:fldChar w:fldCharType="begin"/>
    </w:r>
    <w:r w:rsidR="00CB18FF" w:rsidRPr="00C25472">
      <w:rPr>
        <w:color w:val="F2F2F2" w:themeColor="background1" w:themeShade="F2"/>
      </w:rPr>
      <w:instrText xml:space="preserve"> PRINTDATE \@ DD.MM.YY </w:instrText>
    </w:r>
    <w:r w:rsidR="00864AFF" w:rsidRPr="00C25472">
      <w:rPr>
        <w:color w:val="F2F2F2" w:themeColor="background1" w:themeShade="F2"/>
      </w:rPr>
      <w:fldChar w:fldCharType="separate"/>
    </w:r>
    <w:r w:rsidR="0014634F" w:rsidRPr="00C25472">
      <w:rPr>
        <w:color w:val="F2F2F2" w:themeColor="background1" w:themeShade="F2"/>
      </w:rPr>
      <w:t>18.07.00</w:t>
    </w:r>
    <w:r w:rsidR="00864AFF" w:rsidRPr="00C25472">
      <w:rPr>
        <w:color w:val="F2F2F2" w:themeColor="background1" w:themeShade="F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D4DA"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9657" w14:textId="77777777" w:rsidR="00A8202C" w:rsidRDefault="00A8202C">
      <w:r>
        <w:t>____________________</w:t>
      </w:r>
    </w:p>
  </w:footnote>
  <w:footnote w:type="continuationSeparator" w:id="0">
    <w:p w14:paraId="1EBDD98A" w14:textId="77777777" w:rsidR="00A8202C" w:rsidRDefault="00A82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217C" w14:textId="77777777" w:rsidR="00322D0D" w:rsidRDefault="006535F1" w:rsidP="00CE433C">
    <w:pPr>
      <w:pStyle w:val="Header"/>
    </w:pPr>
    <w:r>
      <w:fldChar w:fldCharType="begin"/>
    </w:r>
    <w:r>
      <w:instrText>PAGE</w:instrText>
    </w:r>
    <w:r>
      <w:fldChar w:fldCharType="separate"/>
    </w:r>
    <w:r w:rsidR="00FB1279">
      <w:rPr>
        <w:noProof/>
      </w:rPr>
      <w:t>2</w:t>
    </w:r>
    <w:r>
      <w:rPr>
        <w:noProof/>
      </w:rPr>
      <w:fldChar w:fldCharType="end"/>
    </w:r>
  </w:p>
  <w:p w14:paraId="4948958C" w14:textId="1EDFDA9C" w:rsidR="00322D0D" w:rsidRPr="00623AE3" w:rsidRDefault="00623AE3" w:rsidP="00FB1279">
    <w:pPr>
      <w:pStyle w:val="Header"/>
      <w:rPr>
        <w:bCs/>
      </w:rPr>
    </w:pPr>
    <w:r w:rsidRPr="00623AE3">
      <w:rPr>
        <w:bCs/>
      </w:rPr>
      <w:t>C</w:t>
    </w:r>
    <w:r w:rsidR="004A1B8B">
      <w:rPr>
        <w:bCs/>
      </w:rPr>
      <w:t>2</w:t>
    </w:r>
    <w:r w:rsidR="0014634F">
      <w:rPr>
        <w:bCs/>
      </w:rPr>
      <w:t>2</w:t>
    </w:r>
    <w:r w:rsidRPr="00623AE3">
      <w:rPr>
        <w:bCs/>
      </w:rPr>
      <w:t>/</w:t>
    </w:r>
    <w:r w:rsidR="00C25472">
      <w:rPr>
        <w:bCs/>
      </w:rPr>
      <w:t>56</w:t>
    </w:r>
    <w:r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3B6114F"/>
    <w:multiLevelType w:val="hybridMultilevel"/>
    <w:tmpl w:val="ADFACA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4F"/>
    <w:rsid w:val="000210D4"/>
    <w:rsid w:val="00063016"/>
    <w:rsid w:val="00066795"/>
    <w:rsid w:val="00076AF6"/>
    <w:rsid w:val="00085CF2"/>
    <w:rsid w:val="000B1705"/>
    <w:rsid w:val="000C727E"/>
    <w:rsid w:val="000D75B2"/>
    <w:rsid w:val="000F779A"/>
    <w:rsid w:val="001121F5"/>
    <w:rsid w:val="001400DC"/>
    <w:rsid w:val="00140CE1"/>
    <w:rsid w:val="0014634F"/>
    <w:rsid w:val="0017539C"/>
    <w:rsid w:val="00175AC2"/>
    <w:rsid w:val="0017609F"/>
    <w:rsid w:val="001C628E"/>
    <w:rsid w:val="001E0F7B"/>
    <w:rsid w:val="002119FD"/>
    <w:rsid w:val="002130E0"/>
    <w:rsid w:val="00227749"/>
    <w:rsid w:val="00264425"/>
    <w:rsid w:val="00265875"/>
    <w:rsid w:val="0027303B"/>
    <w:rsid w:val="0028109B"/>
    <w:rsid w:val="00295D6E"/>
    <w:rsid w:val="00297A67"/>
    <w:rsid w:val="002A2188"/>
    <w:rsid w:val="002B1F58"/>
    <w:rsid w:val="002C1C7A"/>
    <w:rsid w:val="002C547B"/>
    <w:rsid w:val="0030160F"/>
    <w:rsid w:val="00320223"/>
    <w:rsid w:val="00322D0D"/>
    <w:rsid w:val="00374C3F"/>
    <w:rsid w:val="003942D4"/>
    <w:rsid w:val="003958A8"/>
    <w:rsid w:val="003C2533"/>
    <w:rsid w:val="003F464F"/>
    <w:rsid w:val="0040435A"/>
    <w:rsid w:val="00416A24"/>
    <w:rsid w:val="00431D9E"/>
    <w:rsid w:val="00433CE8"/>
    <w:rsid w:val="004345A9"/>
    <w:rsid w:val="00434A5C"/>
    <w:rsid w:val="004544D9"/>
    <w:rsid w:val="00490E72"/>
    <w:rsid w:val="00491157"/>
    <w:rsid w:val="004921C8"/>
    <w:rsid w:val="004928F1"/>
    <w:rsid w:val="004A1B8B"/>
    <w:rsid w:val="004D1851"/>
    <w:rsid w:val="004D599D"/>
    <w:rsid w:val="004E2EA5"/>
    <w:rsid w:val="004E3AEB"/>
    <w:rsid w:val="0050223C"/>
    <w:rsid w:val="005243FF"/>
    <w:rsid w:val="00537C2B"/>
    <w:rsid w:val="005475CF"/>
    <w:rsid w:val="00564FBC"/>
    <w:rsid w:val="00582442"/>
    <w:rsid w:val="005C5029"/>
    <w:rsid w:val="005C5B82"/>
    <w:rsid w:val="005E2B1A"/>
    <w:rsid w:val="005F3269"/>
    <w:rsid w:val="00623AE3"/>
    <w:rsid w:val="00636DA7"/>
    <w:rsid w:val="0064737F"/>
    <w:rsid w:val="006535F1"/>
    <w:rsid w:val="0065557D"/>
    <w:rsid w:val="00662984"/>
    <w:rsid w:val="006716BB"/>
    <w:rsid w:val="00671C4B"/>
    <w:rsid w:val="00693E56"/>
    <w:rsid w:val="006955E7"/>
    <w:rsid w:val="006A510E"/>
    <w:rsid w:val="006B6680"/>
    <w:rsid w:val="006B6DCC"/>
    <w:rsid w:val="006C3A35"/>
    <w:rsid w:val="00702DEF"/>
    <w:rsid w:val="00706861"/>
    <w:rsid w:val="007309B9"/>
    <w:rsid w:val="007321BD"/>
    <w:rsid w:val="0075051B"/>
    <w:rsid w:val="00751C81"/>
    <w:rsid w:val="00793188"/>
    <w:rsid w:val="00794D34"/>
    <w:rsid w:val="00813E5E"/>
    <w:rsid w:val="008339A4"/>
    <w:rsid w:val="0083581B"/>
    <w:rsid w:val="00845D30"/>
    <w:rsid w:val="00864AFF"/>
    <w:rsid w:val="00877C06"/>
    <w:rsid w:val="008B27E5"/>
    <w:rsid w:val="008B4A6A"/>
    <w:rsid w:val="008C7E27"/>
    <w:rsid w:val="009173EF"/>
    <w:rsid w:val="00932906"/>
    <w:rsid w:val="00961B0B"/>
    <w:rsid w:val="00996753"/>
    <w:rsid w:val="009A050D"/>
    <w:rsid w:val="009A773A"/>
    <w:rsid w:val="009B38C3"/>
    <w:rsid w:val="009C1373"/>
    <w:rsid w:val="009E17BD"/>
    <w:rsid w:val="009E485A"/>
    <w:rsid w:val="00A04CEC"/>
    <w:rsid w:val="00A10CAA"/>
    <w:rsid w:val="00A23F28"/>
    <w:rsid w:val="00A27F92"/>
    <w:rsid w:val="00A32257"/>
    <w:rsid w:val="00A36D20"/>
    <w:rsid w:val="00A55622"/>
    <w:rsid w:val="00A8202C"/>
    <w:rsid w:val="00A83502"/>
    <w:rsid w:val="00AD15B3"/>
    <w:rsid w:val="00AF6E49"/>
    <w:rsid w:val="00B04A67"/>
    <w:rsid w:val="00B0583C"/>
    <w:rsid w:val="00B107E9"/>
    <w:rsid w:val="00B179A3"/>
    <w:rsid w:val="00B40A81"/>
    <w:rsid w:val="00B41FE0"/>
    <w:rsid w:val="00B44910"/>
    <w:rsid w:val="00B72267"/>
    <w:rsid w:val="00B76EB6"/>
    <w:rsid w:val="00B7737B"/>
    <w:rsid w:val="00B824C8"/>
    <w:rsid w:val="00B84B9D"/>
    <w:rsid w:val="00BA0262"/>
    <w:rsid w:val="00BA2688"/>
    <w:rsid w:val="00BC251A"/>
    <w:rsid w:val="00BC5CE9"/>
    <w:rsid w:val="00BC79EB"/>
    <w:rsid w:val="00BD032B"/>
    <w:rsid w:val="00BE2640"/>
    <w:rsid w:val="00BF6D12"/>
    <w:rsid w:val="00C01189"/>
    <w:rsid w:val="00C24962"/>
    <w:rsid w:val="00C25472"/>
    <w:rsid w:val="00C35D41"/>
    <w:rsid w:val="00C374DE"/>
    <w:rsid w:val="00C47AD4"/>
    <w:rsid w:val="00C52D81"/>
    <w:rsid w:val="00C55198"/>
    <w:rsid w:val="00C91C76"/>
    <w:rsid w:val="00CA6393"/>
    <w:rsid w:val="00CB18FF"/>
    <w:rsid w:val="00CC202E"/>
    <w:rsid w:val="00CD0C08"/>
    <w:rsid w:val="00CE03FB"/>
    <w:rsid w:val="00CE24BA"/>
    <w:rsid w:val="00CE433C"/>
    <w:rsid w:val="00CF33F3"/>
    <w:rsid w:val="00D0077B"/>
    <w:rsid w:val="00D06183"/>
    <w:rsid w:val="00D22C42"/>
    <w:rsid w:val="00D24A65"/>
    <w:rsid w:val="00D62C25"/>
    <w:rsid w:val="00D65041"/>
    <w:rsid w:val="00DB384B"/>
    <w:rsid w:val="00E01A1B"/>
    <w:rsid w:val="00E03977"/>
    <w:rsid w:val="00E05034"/>
    <w:rsid w:val="00E10E80"/>
    <w:rsid w:val="00E124F0"/>
    <w:rsid w:val="00E46C7E"/>
    <w:rsid w:val="00E60F04"/>
    <w:rsid w:val="00E854E4"/>
    <w:rsid w:val="00EB0D6F"/>
    <w:rsid w:val="00EB2232"/>
    <w:rsid w:val="00EC5337"/>
    <w:rsid w:val="00EF41C3"/>
    <w:rsid w:val="00F2150A"/>
    <w:rsid w:val="00F231D8"/>
    <w:rsid w:val="00F46C5F"/>
    <w:rsid w:val="00F61C2F"/>
    <w:rsid w:val="00F94A63"/>
    <w:rsid w:val="00FA1C28"/>
    <w:rsid w:val="00FB1279"/>
    <w:rsid w:val="00FB230C"/>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1EB6E"/>
  <w15:docId w15:val="{2D7282C5-D362-4336-BB5E-B699225B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qFormat/>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uiPriority w:val="34"/>
    <w:qFormat/>
    <w:rsid w:val="009A773A"/>
    <w:pPr>
      <w:ind w:left="720"/>
      <w:contextualSpacing/>
    </w:pPr>
  </w:style>
  <w:style w:type="character" w:styleId="UnresolvedMention">
    <w:name w:val="Unresolved Mention"/>
    <w:basedOn w:val="DefaultParagraphFont"/>
    <w:uiPriority w:val="99"/>
    <w:semiHidden/>
    <w:unhideWhenUsed/>
    <w:rsid w:val="00C25472"/>
    <w:rPr>
      <w:color w:val="605E5C"/>
      <w:shd w:val="clear" w:color="auto" w:fill="E1DFDD"/>
    </w:rPr>
  </w:style>
  <w:style w:type="paragraph" w:styleId="Revision">
    <w:name w:val="Revision"/>
    <w:hidden/>
    <w:uiPriority w:val="99"/>
    <w:semiHidden/>
    <w:rsid w:val="00BC79EB"/>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1-CL-C-0092/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1-CL-C-0032/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03CADB65976045BD0928C21995E562" ma:contentTypeVersion="2" ma:contentTypeDescription="Create a new document." ma:contentTypeScope="" ma:versionID="4e05e5436e0da79d08c0d1ab35641745">
  <xsd:schema xmlns:xsd="http://www.w3.org/2001/XMLSchema" xmlns:xs="http://www.w3.org/2001/XMLSchema" xmlns:p="http://schemas.microsoft.com/office/2006/metadata/properties" xmlns:ns2="f413e73c-0d45-446a-a106-728708596ba9" targetNamespace="http://schemas.microsoft.com/office/2006/metadata/properties" ma:root="true" ma:fieldsID="de58a5e8b24d6c34caa9dd3905b617a8" ns2:_="">
    <xsd:import namespace="f413e73c-0d45-446a-a106-728708596ba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e73c-0d45-446a-a106-728708596b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BB0D180B-7CE7-4D07-9DF1-0E2951CFE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e73c-0d45-446a-a106-728708596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84C1A-EC35-4194-AF27-5BCB4AC4E277}">
  <ds:schemaRefs>
    <ds:schemaRef ds:uri="http://schemas.microsoft.com/sharepoint/v3/contenttype/forms"/>
  </ds:schemaRefs>
</ds:datastoreItem>
</file>

<file path=customXml/itemProps4.xml><?xml version="1.0" encoding="utf-8"?>
<ds:datastoreItem xmlns:ds="http://schemas.openxmlformats.org/officeDocument/2006/customXml" ds:itemID="{6609964F-7D26-4B59-9E72-10EA5616691B}">
  <ds:schemaRefs>
    <ds:schemaRef ds:uri="f413e73c-0d45-446a-a106-728708596ba9"/>
    <ds:schemaRef ds:uri="http://purl.org/dc/terms/"/>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1024</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Feasibility study on establishing an ITU training institute: proposals from the Secretariat</vt:lpstr>
    </vt:vector>
  </TitlesOfParts>
  <Manager>General Secretariat - Pool</Manager>
  <Company>International Telecommunication Union (ITU)</Company>
  <LinksUpToDate>false</LinksUpToDate>
  <CharactersWithSpaces>6873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Feasibility study on establishing an ITU training institute: proposals from the secretariat</dc:title>
  <dc:subject>Council 2022</dc:subject>
  <dc:creator>Brouard, Ricarda</dc:creator>
  <cp:keywords>C2022, C22, Council-22</cp:keywords>
  <dc:description/>
  <cp:lastModifiedBy>Xue, Kun</cp:lastModifiedBy>
  <cp:revision>4</cp:revision>
  <cp:lastPrinted>2000-07-18T13:30:00Z</cp:lastPrinted>
  <dcterms:created xsi:type="dcterms:W3CDTF">2022-02-11T07:34:00Z</dcterms:created>
  <dcterms:modified xsi:type="dcterms:W3CDTF">2022-02-18T16:46:00Z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0x0101008703CADB65976045BD0928C21995E562</vt:lpwstr>
  </property>
</Properties>
</file>