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84597" w14:paraId="7202CBBD" w14:textId="77777777">
        <w:trPr>
          <w:cantSplit/>
        </w:trPr>
        <w:tc>
          <w:tcPr>
            <w:tcW w:w="6912" w:type="dxa"/>
          </w:tcPr>
          <w:p w14:paraId="5CEA5058" w14:textId="77777777" w:rsidR="00520F36" w:rsidRPr="00984597" w:rsidRDefault="00520F36" w:rsidP="00CD4BDD">
            <w:pPr>
              <w:spacing w:before="360"/>
            </w:pPr>
            <w:bookmarkStart w:id="0" w:name="dc06"/>
            <w:bookmarkEnd w:id="0"/>
            <w:r w:rsidRPr="00984597">
              <w:rPr>
                <w:b/>
                <w:bCs/>
                <w:sz w:val="30"/>
                <w:szCs w:val="30"/>
              </w:rPr>
              <w:t>Conseil 20</w:t>
            </w:r>
            <w:r w:rsidR="009C353C" w:rsidRPr="00984597">
              <w:rPr>
                <w:b/>
                <w:bCs/>
                <w:sz w:val="30"/>
                <w:szCs w:val="30"/>
              </w:rPr>
              <w:t>2</w:t>
            </w:r>
            <w:r w:rsidR="0083391C" w:rsidRPr="00984597">
              <w:rPr>
                <w:b/>
                <w:bCs/>
                <w:sz w:val="30"/>
                <w:szCs w:val="30"/>
              </w:rPr>
              <w:t>2</w:t>
            </w:r>
            <w:r w:rsidRPr="00984597">
              <w:rPr>
                <w:rFonts w:ascii="Verdana" w:hAnsi="Verdana"/>
                <w:b/>
                <w:bCs/>
                <w:sz w:val="26"/>
                <w:szCs w:val="26"/>
              </w:rPr>
              <w:br/>
            </w:r>
            <w:r w:rsidR="0083391C" w:rsidRPr="00984597">
              <w:rPr>
                <w:b/>
                <w:bCs/>
                <w:sz w:val="28"/>
                <w:szCs w:val="28"/>
              </w:rPr>
              <w:t>Genève</w:t>
            </w:r>
            <w:r w:rsidRPr="00984597">
              <w:rPr>
                <w:b/>
                <w:bCs/>
                <w:sz w:val="28"/>
                <w:szCs w:val="28"/>
              </w:rPr>
              <w:t xml:space="preserve">, </w:t>
            </w:r>
            <w:r w:rsidR="0083391C" w:rsidRPr="00984597">
              <w:rPr>
                <w:b/>
                <w:bCs/>
                <w:sz w:val="28"/>
                <w:szCs w:val="28"/>
              </w:rPr>
              <w:t>21</w:t>
            </w:r>
            <w:r w:rsidRPr="00984597">
              <w:rPr>
                <w:b/>
                <w:bCs/>
                <w:sz w:val="28"/>
                <w:szCs w:val="28"/>
              </w:rPr>
              <w:t>-</w:t>
            </w:r>
            <w:r w:rsidR="0083391C" w:rsidRPr="00984597">
              <w:rPr>
                <w:b/>
                <w:bCs/>
                <w:sz w:val="28"/>
                <w:szCs w:val="28"/>
              </w:rPr>
              <w:t>31</w:t>
            </w:r>
            <w:r w:rsidR="00106B19" w:rsidRPr="00984597">
              <w:rPr>
                <w:b/>
                <w:bCs/>
                <w:sz w:val="28"/>
                <w:szCs w:val="28"/>
              </w:rPr>
              <w:t xml:space="preserve"> </w:t>
            </w:r>
            <w:r w:rsidR="0083391C" w:rsidRPr="00984597">
              <w:rPr>
                <w:b/>
                <w:bCs/>
                <w:sz w:val="28"/>
                <w:szCs w:val="28"/>
              </w:rPr>
              <w:t>mars</w:t>
            </w:r>
            <w:r w:rsidRPr="00984597">
              <w:rPr>
                <w:b/>
                <w:bCs/>
                <w:sz w:val="28"/>
                <w:szCs w:val="28"/>
              </w:rPr>
              <w:t xml:space="preserve"> 20</w:t>
            </w:r>
            <w:r w:rsidR="009C353C" w:rsidRPr="00984597">
              <w:rPr>
                <w:b/>
                <w:bCs/>
                <w:sz w:val="28"/>
                <w:szCs w:val="28"/>
              </w:rPr>
              <w:t>2</w:t>
            </w:r>
            <w:r w:rsidR="0083391C" w:rsidRPr="00984597">
              <w:rPr>
                <w:b/>
                <w:bCs/>
                <w:sz w:val="28"/>
                <w:szCs w:val="28"/>
              </w:rPr>
              <w:t>2</w:t>
            </w:r>
          </w:p>
        </w:tc>
        <w:tc>
          <w:tcPr>
            <w:tcW w:w="3261" w:type="dxa"/>
          </w:tcPr>
          <w:p w14:paraId="241919E2" w14:textId="77777777" w:rsidR="00520F36" w:rsidRPr="00984597" w:rsidRDefault="009C353C" w:rsidP="00CD4BDD">
            <w:pPr>
              <w:spacing w:before="0"/>
            </w:pPr>
            <w:bookmarkStart w:id="1" w:name="ditulogo"/>
            <w:bookmarkEnd w:id="1"/>
            <w:r w:rsidRPr="00984597">
              <w:rPr>
                <w:noProof/>
                <w:lang w:eastAsia="zh-CN"/>
              </w:rPr>
              <w:drawing>
                <wp:inline distT="0" distB="0" distL="0" distR="0" wp14:anchorId="43A13715" wp14:editId="1ACAE8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84597" w14:paraId="423B40E1" w14:textId="77777777" w:rsidTr="00EF41DD">
        <w:trPr>
          <w:cantSplit/>
          <w:trHeight w:val="20"/>
        </w:trPr>
        <w:tc>
          <w:tcPr>
            <w:tcW w:w="6912" w:type="dxa"/>
            <w:tcBorders>
              <w:bottom w:val="single" w:sz="12" w:space="0" w:color="auto"/>
            </w:tcBorders>
            <w:vAlign w:val="center"/>
          </w:tcPr>
          <w:p w14:paraId="704F0D4A" w14:textId="77777777" w:rsidR="00520F36" w:rsidRPr="00984597" w:rsidRDefault="00520F36" w:rsidP="00CD4BDD">
            <w:pPr>
              <w:spacing w:before="0"/>
              <w:rPr>
                <w:b/>
                <w:bCs/>
                <w:sz w:val="26"/>
                <w:szCs w:val="26"/>
              </w:rPr>
            </w:pPr>
          </w:p>
        </w:tc>
        <w:tc>
          <w:tcPr>
            <w:tcW w:w="3261" w:type="dxa"/>
            <w:tcBorders>
              <w:bottom w:val="single" w:sz="12" w:space="0" w:color="auto"/>
            </w:tcBorders>
          </w:tcPr>
          <w:p w14:paraId="23BDC4FF" w14:textId="77777777" w:rsidR="00520F36" w:rsidRPr="00984597" w:rsidRDefault="00520F36" w:rsidP="00CD4BDD">
            <w:pPr>
              <w:spacing w:before="0"/>
              <w:rPr>
                <w:b/>
                <w:bCs/>
              </w:rPr>
            </w:pPr>
          </w:p>
        </w:tc>
      </w:tr>
      <w:tr w:rsidR="00520F36" w:rsidRPr="00984597" w14:paraId="7913D852" w14:textId="77777777">
        <w:trPr>
          <w:cantSplit/>
          <w:trHeight w:val="20"/>
        </w:trPr>
        <w:tc>
          <w:tcPr>
            <w:tcW w:w="6912" w:type="dxa"/>
            <w:tcBorders>
              <w:top w:val="single" w:sz="12" w:space="0" w:color="auto"/>
            </w:tcBorders>
          </w:tcPr>
          <w:p w14:paraId="7634D432" w14:textId="77777777" w:rsidR="00520F36" w:rsidRPr="00984597" w:rsidRDefault="00520F36" w:rsidP="00CD4BDD">
            <w:pPr>
              <w:spacing w:before="0"/>
              <w:rPr>
                <w:smallCaps/>
                <w:sz w:val="22"/>
              </w:rPr>
            </w:pPr>
          </w:p>
        </w:tc>
        <w:tc>
          <w:tcPr>
            <w:tcW w:w="3261" w:type="dxa"/>
            <w:tcBorders>
              <w:top w:val="single" w:sz="12" w:space="0" w:color="auto"/>
            </w:tcBorders>
          </w:tcPr>
          <w:p w14:paraId="63BD87E9" w14:textId="77777777" w:rsidR="00520F36" w:rsidRPr="00984597" w:rsidRDefault="00520F36" w:rsidP="00CD4BDD">
            <w:pPr>
              <w:spacing w:before="0"/>
              <w:rPr>
                <w:b/>
                <w:bCs/>
              </w:rPr>
            </w:pPr>
          </w:p>
        </w:tc>
      </w:tr>
      <w:tr w:rsidR="00520F36" w:rsidRPr="00984597" w14:paraId="060A20F4" w14:textId="77777777">
        <w:trPr>
          <w:cantSplit/>
          <w:trHeight w:val="20"/>
        </w:trPr>
        <w:tc>
          <w:tcPr>
            <w:tcW w:w="6912" w:type="dxa"/>
            <w:vMerge w:val="restart"/>
          </w:tcPr>
          <w:p w14:paraId="095ECA76" w14:textId="4BD844CA" w:rsidR="00520F36" w:rsidRPr="00984597" w:rsidRDefault="000F68B9" w:rsidP="00CD4BDD">
            <w:pPr>
              <w:spacing w:before="0"/>
              <w:rPr>
                <w:rFonts w:cs="Times"/>
                <w:b/>
                <w:bCs/>
                <w:szCs w:val="24"/>
              </w:rPr>
            </w:pPr>
            <w:bookmarkStart w:id="2" w:name="dnum" w:colFirst="1" w:colLast="1"/>
            <w:bookmarkStart w:id="3" w:name="dmeeting" w:colFirst="0" w:colLast="0"/>
            <w:r w:rsidRPr="00984597">
              <w:rPr>
                <w:rFonts w:cs="Times"/>
                <w:b/>
                <w:bCs/>
                <w:szCs w:val="24"/>
              </w:rPr>
              <w:t>Point de l'ordre du jour: PL 1.6</w:t>
            </w:r>
          </w:p>
        </w:tc>
        <w:tc>
          <w:tcPr>
            <w:tcW w:w="3261" w:type="dxa"/>
          </w:tcPr>
          <w:p w14:paraId="1489D056" w14:textId="77CBCA54" w:rsidR="00520F36" w:rsidRPr="00984597" w:rsidRDefault="00520F36" w:rsidP="00CD4BDD">
            <w:pPr>
              <w:spacing w:before="0"/>
              <w:rPr>
                <w:b/>
                <w:bCs/>
              </w:rPr>
            </w:pPr>
            <w:r w:rsidRPr="00984597">
              <w:rPr>
                <w:b/>
                <w:bCs/>
              </w:rPr>
              <w:t>Document C</w:t>
            </w:r>
            <w:r w:rsidR="009C353C" w:rsidRPr="00984597">
              <w:rPr>
                <w:b/>
                <w:bCs/>
              </w:rPr>
              <w:t>2</w:t>
            </w:r>
            <w:r w:rsidR="0083391C" w:rsidRPr="00984597">
              <w:rPr>
                <w:b/>
                <w:bCs/>
              </w:rPr>
              <w:t>2</w:t>
            </w:r>
            <w:r w:rsidRPr="00984597">
              <w:rPr>
                <w:b/>
                <w:bCs/>
              </w:rPr>
              <w:t>/</w:t>
            </w:r>
            <w:r w:rsidR="000F68B9" w:rsidRPr="00984597">
              <w:rPr>
                <w:b/>
                <w:bCs/>
              </w:rPr>
              <w:t>55</w:t>
            </w:r>
            <w:r w:rsidRPr="00984597">
              <w:rPr>
                <w:b/>
                <w:bCs/>
              </w:rPr>
              <w:t>-F</w:t>
            </w:r>
          </w:p>
        </w:tc>
      </w:tr>
      <w:tr w:rsidR="00520F36" w:rsidRPr="00984597" w14:paraId="6E539D94" w14:textId="77777777">
        <w:trPr>
          <w:cantSplit/>
          <w:trHeight w:val="20"/>
        </w:trPr>
        <w:tc>
          <w:tcPr>
            <w:tcW w:w="6912" w:type="dxa"/>
            <w:vMerge/>
          </w:tcPr>
          <w:p w14:paraId="4D9EDC79" w14:textId="77777777" w:rsidR="00520F36" w:rsidRPr="00984597" w:rsidRDefault="00520F36" w:rsidP="00CD4BDD">
            <w:pPr>
              <w:shd w:val="solid" w:color="FFFFFF" w:fill="FFFFFF"/>
              <w:spacing w:before="180"/>
              <w:rPr>
                <w:smallCaps/>
              </w:rPr>
            </w:pPr>
            <w:bookmarkStart w:id="4" w:name="ddate" w:colFirst="1" w:colLast="1"/>
            <w:bookmarkEnd w:id="2"/>
            <w:bookmarkEnd w:id="3"/>
          </w:p>
        </w:tc>
        <w:tc>
          <w:tcPr>
            <w:tcW w:w="3261" w:type="dxa"/>
          </w:tcPr>
          <w:p w14:paraId="627CF1C2" w14:textId="14F5D1C0" w:rsidR="00520F36" w:rsidRPr="00984597" w:rsidRDefault="00F63F69" w:rsidP="00CD4BDD">
            <w:pPr>
              <w:spacing w:before="0"/>
              <w:rPr>
                <w:b/>
                <w:bCs/>
              </w:rPr>
            </w:pPr>
            <w:r>
              <w:rPr>
                <w:b/>
                <w:bCs/>
              </w:rPr>
              <w:t>18</w:t>
            </w:r>
            <w:r w:rsidR="000F68B9" w:rsidRPr="00984597">
              <w:rPr>
                <w:b/>
                <w:bCs/>
              </w:rPr>
              <w:t xml:space="preserve"> février 2022</w:t>
            </w:r>
          </w:p>
        </w:tc>
      </w:tr>
      <w:tr w:rsidR="00520F36" w:rsidRPr="00984597" w14:paraId="3AA64410" w14:textId="77777777">
        <w:trPr>
          <w:cantSplit/>
          <w:trHeight w:val="20"/>
        </w:trPr>
        <w:tc>
          <w:tcPr>
            <w:tcW w:w="6912" w:type="dxa"/>
            <w:vMerge/>
          </w:tcPr>
          <w:p w14:paraId="18D12B82" w14:textId="77777777" w:rsidR="00520F36" w:rsidRPr="00984597" w:rsidRDefault="00520F36" w:rsidP="00CD4BDD">
            <w:pPr>
              <w:shd w:val="solid" w:color="FFFFFF" w:fill="FFFFFF"/>
              <w:spacing w:before="180"/>
              <w:rPr>
                <w:smallCaps/>
              </w:rPr>
            </w:pPr>
            <w:bookmarkStart w:id="5" w:name="dorlang" w:colFirst="1" w:colLast="1"/>
            <w:bookmarkEnd w:id="4"/>
          </w:p>
        </w:tc>
        <w:tc>
          <w:tcPr>
            <w:tcW w:w="3261" w:type="dxa"/>
          </w:tcPr>
          <w:p w14:paraId="2B7ECDB4" w14:textId="77777777" w:rsidR="00520F36" w:rsidRPr="00984597" w:rsidRDefault="00520F36" w:rsidP="00CD4BDD">
            <w:pPr>
              <w:spacing w:before="0"/>
              <w:rPr>
                <w:b/>
                <w:bCs/>
              </w:rPr>
            </w:pPr>
            <w:r w:rsidRPr="00984597">
              <w:rPr>
                <w:b/>
                <w:bCs/>
              </w:rPr>
              <w:t>Original: anglais</w:t>
            </w:r>
          </w:p>
        </w:tc>
      </w:tr>
      <w:tr w:rsidR="000F68B9" w:rsidRPr="00984597" w14:paraId="3BB7E01E" w14:textId="77777777">
        <w:trPr>
          <w:cantSplit/>
        </w:trPr>
        <w:tc>
          <w:tcPr>
            <w:tcW w:w="10173" w:type="dxa"/>
            <w:gridSpan w:val="2"/>
          </w:tcPr>
          <w:p w14:paraId="178DF334" w14:textId="35407D2D" w:rsidR="000F68B9" w:rsidRPr="00984597" w:rsidRDefault="00CE512C" w:rsidP="00CD4BDD">
            <w:pPr>
              <w:pStyle w:val="Source"/>
            </w:pPr>
            <w:bookmarkStart w:id="6" w:name="dsource" w:colFirst="0" w:colLast="0"/>
            <w:bookmarkStart w:id="7" w:name="_Hlk97016640"/>
            <w:bookmarkEnd w:id="5"/>
            <w:r w:rsidRPr="00984597">
              <w:t xml:space="preserve">Rapport de la </w:t>
            </w:r>
            <w:r w:rsidR="000F68B9" w:rsidRPr="00984597">
              <w:t xml:space="preserve">Présidente du Groupe de travail du Conseil sur l'utilisation </w:t>
            </w:r>
            <w:r w:rsidR="000F68B9" w:rsidRPr="00984597">
              <w:br/>
              <w:t>des six langues officielles de l'Union (GTC-LANG)</w:t>
            </w:r>
          </w:p>
        </w:tc>
      </w:tr>
      <w:tr w:rsidR="000F68B9" w:rsidRPr="00984597" w14:paraId="452894A5" w14:textId="77777777">
        <w:trPr>
          <w:cantSplit/>
        </w:trPr>
        <w:tc>
          <w:tcPr>
            <w:tcW w:w="10173" w:type="dxa"/>
            <w:gridSpan w:val="2"/>
          </w:tcPr>
          <w:p w14:paraId="181DAAA7" w14:textId="16F31468" w:rsidR="000F68B9" w:rsidRPr="00984597" w:rsidRDefault="000F68B9" w:rsidP="00CD4BDD">
            <w:pPr>
              <w:pStyle w:val="Title1"/>
            </w:pPr>
            <w:bookmarkStart w:id="8" w:name="dtitle1" w:colFirst="0" w:colLast="0"/>
            <w:bookmarkEnd w:id="6"/>
            <w:r w:rsidRPr="00984597">
              <w:t>rapport</w:t>
            </w:r>
            <w:r w:rsidR="00CE512C" w:rsidRPr="00984597">
              <w:t xml:space="preserve"> quadriennal</w:t>
            </w:r>
            <w:r w:rsidRPr="00984597">
              <w:t xml:space="preserve"> du Groupe de travail du Conseil </w:t>
            </w:r>
            <w:r w:rsidR="002713ED" w:rsidRPr="00984597">
              <w:br/>
            </w:r>
            <w:r w:rsidRPr="00984597">
              <w:t>sur l'utilisation</w:t>
            </w:r>
            <w:r w:rsidR="002713ED" w:rsidRPr="00984597">
              <w:t xml:space="preserve"> </w:t>
            </w:r>
            <w:r w:rsidRPr="00984597">
              <w:t>des langues</w:t>
            </w:r>
          </w:p>
        </w:tc>
      </w:tr>
      <w:bookmarkEnd w:id="8"/>
      <w:bookmarkEnd w:id="7"/>
    </w:tbl>
    <w:p w14:paraId="40DB5ED3" w14:textId="77777777" w:rsidR="00520F36" w:rsidRPr="00984597" w:rsidRDefault="00520F36" w:rsidP="00CD4BD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84597" w14:paraId="63A4060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AD1992C" w14:textId="77777777" w:rsidR="00520F36" w:rsidRPr="00984597" w:rsidRDefault="00520F36" w:rsidP="00CD4BDD">
            <w:pPr>
              <w:pStyle w:val="Headingb"/>
            </w:pPr>
            <w:r w:rsidRPr="00984597">
              <w:t>Résumé</w:t>
            </w:r>
          </w:p>
          <w:p w14:paraId="15EE02A1" w14:textId="5ABCDA6B" w:rsidR="00520F36" w:rsidRPr="00984597" w:rsidRDefault="00CE512C" w:rsidP="00CD4BDD">
            <w:r w:rsidRPr="00984597">
              <w:t>Le présent rapport récapitule les activités et les réalisations du Groupe de travail du Conseil sur l'utilisation des langues (GTC-LANG) au cours de la période 2019</w:t>
            </w:r>
            <w:r w:rsidR="00CD4BDD" w:rsidRPr="00984597">
              <w:noBreakHyphen/>
            </w:r>
            <w:r w:rsidRPr="00984597">
              <w:t>2022, conformément à la Résolution</w:t>
            </w:r>
            <w:r w:rsidR="000F68B9" w:rsidRPr="00984597">
              <w:t xml:space="preserve"> 154 (R</w:t>
            </w:r>
            <w:r w:rsidRPr="00984597">
              <w:t>é</w:t>
            </w:r>
            <w:r w:rsidR="000F68B9" w:rsidRPr="00984597">
              <w:t>v. Duba</w:t>
            </w:r>
            <w:r w:rsidRPr="00984597">
              <w:t>ï</w:t>
            </w:r>
            <w:r w:rsidR="000F68B9" w:rsidRPr="00984597">
              <w:t>, 2018)</w:t>
            </w:r>
            <w:r w:rsidR="00397DD0" w:rsidRPr="00984597">
              <w:t xml:space="preserve"> de la Conférence de plénipotentiaires</w:t>
            </w:r>
            <w:r w:rsidR="000F68B9" w:rsidRPr="00984597">
              <w:t xml:space="preserve"> </w:t>
            </w:r>
            <w:r w:rsidRPr="00984597">
              <w:t xml:space="preserve">et à la Résolution 1372 </w:t>
            </w:r>
            <w:r w:rsidR="000F68B9" w:rsidRPr="00984597">
              <w:t>(R</w:t>
            </w:r>
            <w:r w:rsidRPr="00984597">
              <w:t>é</w:t>
            </w:r>
            <w:r w:rsidR="000F68B9" w:rsidRPr="00984597">
              <w:t>v. 2019)</w:t>
            </w:r>
            <w:r w:rsidRPr="00984597">
              <w:t xml:space="preserve"> du Conseil</w:t>
            </w:r>
            <w:r w:rsidR="000F68B9" w:rsidRPr="00984597">
              <w:t>.</w:t>
            </w:r>
          </w:p>
          <w:p w14:paraId="66E7A590" w14:textId="77777777" w:rsidR="00520F36" w:rsidRPr="00984597" w:rsidRDefault="00520F36" w:rsidP="00CD4BDD">
            <w:pPr>
              <w:pStyle w:val="Headingb"/>
            </w:pPr>
            <w:r w:rsidRPr="00984597">
              <w:t>Suite à donner</w:t>
            </w:r>
          </w:p>
          <w:p w14:paraId="5FC785AA" w14:textId="18135D96" w:rsidR="00520F36" w:rsidRPr="00984597" w:rsidRDefault="00CE512C" w:rsidP="00CD4BDD">
            <w:r w:rsidRPr="00984597">
              <w:t xml:space="preserve">Le Conseil est invité à </w:t>
            </w:r>
            <w:r w:rsidRPr="00984597">
              <w:rPr>
                <w:b/>
                <w:bCs/>
              </w:rPr>
              <w:t>examiner</w:t>
            </w:r>
            <w:r w:rsidRPr="00984597">
              <w:t xml:space="preserve"> le présent rapport et à </w:t>
            </w:r>
            <w:r w:rsidRPr="00984597">
              <w:rPr>
                <w:b/>
                <w:bCs/>
              </w:rPr>
              <w:t>soumettre</w:t>
            </w:r>
            <w:r w:rsidRPr="00984597">
              <w:t xml:space="preserve"> ses recommandations à la Conférence de plénipotentiaires</w:t>
            </w:r>
            <w:r w:rsidR="00397DD0" w:rsidRPr="00984597">
              <w:t xml:space="preserve"> selon qu</w:t>
            </w:r>
            <w:r w:rsidR="00CD4BDD" w:rsidRPr="00984597">
              <w:t>'</w:t>
            </w:r>
            <w:r w:rsidR="00397DD0" w:rsidRPr="00984597">
              <w:t>il convient</w:t>
            </w:r>
            <w:r w:rsidR="000F68B9" w:rsidRPr="00984597">
              <w:t>.</w:t>
            </w:r>
          </w:p>
          <w:p w14:paraId="045FAA5F" w14:textId="77777777" w:rsidR="00520F36" w:rsidRPr="00984597" w:rsidRDefault="00520F36" w:rsidP="00CD4BDD">
            <w:pPr>
              <w:pStyle w:val="Table"/>
              <w:keepNext w:val="0"/>
              <w:spacing w:before="0" w:after="0"/>
              <w:rPr>
                <w:rFonts w:ascii="Calibri" w:hAnsi="Calibri"/>
                <w:caps w:val="0"/>
                <w:sz w:val="22"/>
                <w:lang w:val="fr-FR"/>
              </w:rPr>
            </w:pPr>
            <w:r w:rsidRPr="00984597">
              <w:rPr>
                <w:rFonts w:ascii="Calibri" w:hAnsi="Calibri"/>
                <w:caps w:val="0"/>
                <w:sz w:val="22"/>
                <w:lang w:val="fr-FR"/>
              </w:rPr>
              <w:t>____________</w:t>
            </w:r>
          </w:p>
          <w:p w14:paraId="6517A94B" w14:textId="77777777" w:rsidR="00520F36" w:rsidRPr="00984597" w:rsidRDefault="00520F36" w:rsidP="00CD4BDD">
            <w:pPr>
              <w:pStyle w:val="Headingb"/>
            </w:pPr>
            <w:r w:rsidRPr="00984597">
              <w:t>Références</w:t>
            </w:r>
          </w:p>
          <w:p w14:paraId="78B21A33" w14:textId="5677E5D1" w:rsidR="00520F36" w:rsidRPr="00984597" w:rsidRDefault="00F63F69" w:rsidP="00CD4BDD">
            <w:pPr>
              <w:spacing w:after="120"/>
              <w:rPr>
                <w:i/>
                <w:iCs/>
              </w:rPr>
            </w:pPr>
            <w:hyperlink r:id="rId9" w:history="1">
              <w:r w:rsidR="000F68B9" w:rsidRPr="00984597">
                <w:rPr>
                  <w:rStyle w:val="Hyperlink"/>
                  <w:i/>
                  <w:iCs/>
                </w:rPr>
                <w:t>D</w:t>
              </w:r>
              <w:r w:rsidR="00CE512C" w:rsidRPr="00984597">
                <w:rPr>
                  <w:rStyle w:val="Hyperlink"/>
                  <w:i/>
                  <w:iCs/>
                </w:rPr>
                <w:t>é</w:t>
              </w:r>
              <w:r w:rsidR="000F68B9" w:rsidRPr="00984597">
                <w:rPr>
                  <w:rStyle w:val="Hyperlink"/>
                  <w:i/>
                  <w:iCs/>
                </w:rPr>
                <w:t>cision 11 (R</w:t>
              </w:r>
              <w:r w:rsidR="00CE512C" w:rsidRPr="00984597">
                <w:rPr>
                  <w:rStyle w:val="Hyperlink"/>
                  <w:i/>
                  <w:iCs/>
                </w:rPr>
                <w:t>é</w:t>
              </w:r>
              <w:r w:rsidR="000F68B9" w:rsidRPr="00984597">
                <w:rPr>
                  <w:rStyle w:val="Hyperlink"/>
                  <w:i/>
                  <w:iCs/>
                </w:rPr>
                <w:t xml:space="preserve">v. </w:t>
              </w:r>
              <w:r w:rsidR="003F03C6" w:rsidRPr="00984597">
                <w:rPr>
                  <w:rStyle w:val="Hyperlink"/>
                  <w:i/>
                  <w:iCs/>
                </w:rPr>
                <w:t>Dubaï</w:t>
              </w:r>
              <w:r w:rsidR="000F68B9" w:rsidRPr="00984597">
                <w:rPr>
                  <w:rStyle w:val="Hyperlink"/>
                  <w:i/>
                  <w:iCs/>
                </w:rPr>
                <w:t>, 2018)</w:t>
              </w:r>
              <w:r w:rsidR="00CE512C" w:rsidRPr="00984597">
                <w:rPr>
                  <w:rStyle w:val="Hyperlink"/>
                  <w:i/>
                  <w:iCs/>
                </w:rPr>
                <w:t xml:space="preserve"> de la Conférence de plénipotentiaires</w:t>
              </w:r>
            </w:hyperlink>
            <w:r w:rsidR="000F68B9" w:rsidRPr="00984597">
              <w:rPr>
                <w:i/>
                <w:iCs/>
              </w:rPr>
              <w:br/>
            </w:r>
            <w:hyperlink r:id="rId10" w:history="1">
              <w:r w:rsidR="00CE512C" w:rsidRPr="00984597">
                <w:rPr>
                  <w:rStyle w:val="Hyperlink"/>
                  <w:i/>
                  <w:iCs/>
                </w:rPr>
                <w:t>Site web du GTC</w:t>
              </w:r>
              <w:r w:rsidR="000F68B9" w:rsidRPr="00984597">
                <w:rPr>
                  <w:rStyle w:val="Hyperlink"/>
                  <w:i/>
                  <w:iCs/>
                </w:rPr>
                <w:t>-LANG</w:t>
              </w:r>
            </w:hyperlink>
          </w:p>
        </w:tc>
      </w:tr>
    </w:tbl>
    <w:p w14:paraId="3B25DD41" w14:textId="36DAD653" w:rsidR="000F68B9" w:rsidRPr="00984597" w:rsidRDefault="000F68B9" w:rsidP="00CD4BDD">
      <w:pPr>
        <w:pStyle w:val="Heading1"/>
      </w:pPr>
      <w:r w:rsidRPr="00984597">
        <w:t>I</w:t>
      </w:r>
      <w:r w:rsidRPr="00984597">
        <w:tab/>
        <w:t>Introduction</w:t>
      </w:r>
    </w:p>
    <w:p w14:paraId="36A5D883" w14:textId="0E5C1E3F" w:rsidR="000F68B9" w:rsidRPr="00984597" w:rsidRDefault="00CE512C" w:rsidP="00CD4BDD">
      <w:r w:rsidRPr="00984597">
        <w:t>Conformément à la Résolution 154 (Rév. Dubaï, 2018) de la PP et à la Résolution 1372 du Conseil, le Groupe de travail du Conseil sur l'utilisation des langues (GTC-LANG) est chargé de continuer de prendre toutes les mesures nécessaires pour garantir l'utilisation des six langues officielles de l'Union sur un pied d'égalité, et pour assurer l'interprétation et la traduction des documents de l'UIT</w:t>
      </w:r>
      <w:r w:rsidR="000F68B9" w:rsidRPr="00984597">
        <w:t>.</w:t>
      </w:r>
    </w:p>
    <w:p w14:paraId="136FE186" w14:textId="3869FC58" w:rsidR="000F68B9" w:rsidRPr="00984597" w:rsidRDefault="009B7C8A" w:rsidP="00CD4BDD">
      <w:r w:rsidRPr="00984597">
        <w:t>Les travaux du GTC-LANG, placé s</w:t>
      </w:r>
      <w:r w:rsidR="00CE512C" w:rsidRPr="00984597">
        <w:t xml:space="preserve">ous la présidence de Mme </w:t>
      </w:r>
      <w:r w:rsidR="000F68B9" w:rsidRPr="00984597">
        <w:rPr>
          <w:b/>
          <w:bCs/>
        </w:rPr>
        <w:t>Monia Jaber Khalfallah</w:t>
      </w:r>
      <w:r w:rsidR="000F68B9" w:rsidRPr="00984597">
        <w:rPr>
          <w:bCs/>
        </w:rPr>
        <w:t xml:space="preserve"> </w:t>
      </w:r>
      <w:r w:rsidR="000F68B9" w:rsidRPr="00984597">
        <w:rPr>
          <w:b/>
        </w:rPr>
        <w:t>(Tunisi</w:t>
      </w:r>
      <w:r w:rsidR="00CE512C" w:rsidRPr="00984597">
        <w:rPr>
          <w:b/>
        </w:rPr>
        <w:t>e</w:t>
      </w:r>
      <w:r w:rsidR="000F68B9" w:rsidRPr="00984597">
        <w:rPr>
          <w:b/>
        </w:rPr>
        <w:t xml:space="preserve">) </w:t>
      </w:r>
      <w:r w:rsidR="00CE512C" w:rsidRPr="00984597">
        <w:rPr>
          <w:bCs/>
        </w:rPr>
        <w:t>tout au long de la période 2019-2022, ont porté sur:</w:t>
      </w:r>
    </w:p>
    <w:p w14:paraId="462B938B" w14:textId="3E4EF4BD" w:rsidR="000F68B9" w:rsidRPr="00984597" w:rsidRDefault="000F68B9" w:rsidP="00CD4BDD">
      <w:pPr>
        <w:pStyle w:val="enumlev1"/>
      </w:pPr>
      <w:r w:rsidRPr="00984597">
        <w:t>a)</w:t>
      </w:r>
      <w:r w:rsidRPr="00984597">
        <w:tab/>
      </w:r>
      <w:r w:rsidR="003E6B09" w:rsidRPr="00984597">
        <w:t>l</w:t>
      </w:r>
      <w:r w:rsidR="00CE512C" w:rsidRPr="00984597">
        <w:t>'analyse du budget et des procédures pour la traduction et l'interprétation dans les six</w:t>
      </w:r>
      <w:r w:rsidR="00CD4BDD" w:rsidRPr="00984597">
        <w:t> </w:t>
      </w:r>
      <w:r w:rsidR="00CE512C" w:rsidRPr="00984597">
        <w:t>langues officielles</w:t>
      </w:r>
      <w:r w:rsidR="003E6B09" w:rsidRPr="00984597">
        <w:t>;</w:t>
      </w:r>
    </w:p>
    <w:p w14:paraId="10C80860" w14:textId="44A44D82" w:rsidR="000F68B9" w:rsidRPr="00984597" w:rsidRDefault="000F68B9" w:rsidP="00CD4BDD">
      <w:pPr>
        <w:pStyle w:val="enumlev1"/>
      </w:pPr>
      <w:r w:rsidRPr="00984597">
        <w:t>b)</w:t>
      </w:r>
      <w:r w:rsidRPr="00984597">
        <w:tab/>
      </w:r>
      <w:r w:rsidR="003E6B09" w:rsidRPr="00984597">
        <w:t>l</w:t>
      </w:r>
      <w:r w:rsidR="00957AF6" w:rsidRPr="00984597">
        <w:t>es statistiques sur l'utilisation, le téléchargement et l'achat des différentes versions linguistiques des documents de l'UIT</w:t>
      </w:r>
      <w:r w:rsidR="003E6B09" w:rsidRPr="00984597">
        <w:t>;</w:t>
      </w:r>
    </w:p>
    <w:p w14:paraId="64F60C49" w14:textId="2354C22A" w:rsidR="000F68B9" w:rsidRPr="00984597" w:rsidRDefault="000F68B9" w:rsidP="00CD4BDD">
      <w:pPr>
        <w:pStyle w:val="enumlev1"/>
      </w:pPr>
      <w:r w:rsidRPr="00984597">
        <w:lastRenderedPageBreak/>
        <w:t>c)</w:t>
      </w:r>
      <w:r w:rsidRPr="00984597">
        <w:tab/>
      </w:r>
      <w:r w:rsidR="003E6B09" w:rsidRPr="00984597">
        <w:t>l</w:t>
      </w:r>
      <w:r w:rsidR="004F003C" w:rsidRPr="00984597">
        <w:t xml:space="preserve">a participation à des réunions interinstitutions </w:t>
      </w:r>
      <w:r w:rsidR="009B7C8A" w:rsidRPr="00984597">
        <w:t xml:space="preserve">visant à </w:t>
      </w:r>
      <w:r w:rsidR="004F003C" w:rsidRPr="00984597">
        <w:t>effectuer une analyse comparative des outils et des procédures</w:t>
      </w:r>
      <w:r w:rsidR="003E6B09" w:rsidRPr="00984597">
        <w:t>;</w:t>
      </w:r>
    </w:p>
    <w:p w14:paraId="4E423C50" w14:textId="56E1D869" w:rsidR="000F68B9" w:rsidRPr="00984597" w:rsidRDefault="000F68B9" w:rsidP="00CD4BDD">
      <w:pPr>
        <w:pStyle w:val="enumlev1"/>
      </w:pPr>
      <w:r w:rsidRPr="00984597">
        <w:t>d)</w:t>
      </w:r>
      <w:r w:rsidRPr="00984597">
        <w:tab/>
      </w:r>
      <w:r w:rsidR="003E6B09" w:rsidRPr="00984597">
        <w:t>l</w:t>
      </w:r>
      <w:r w:rsidR="004F003C" w:rsidRPr="00984597">
        <w:t>'étude et l'évaluation d'autres méthodes de traduction</w:t>
      </w:r>
      <w:r w:rsidR="003E6B09" w:rsidRPr="00984597">
        <w:t>;</w:t>
      </w:r>
    </w:p>
    <w:p w14:paraId="5E10A333" w14:textId="4DA897CA" w:rsidR="000F68B9" w:rsidRPr="00984597" w:rsidRDefault="000F68B9" w:rsidP="00CD4BDD">
      <w:pPr>
        <w:pStyle w:val="enumlev1"/>
      </w:pPr>
      <w:r w:rsidRPr="00984597">
        <w:t>e)</w:t>
      </w:r>
      <w:r w:rsidRPr="00984597">
        <w:tab/>
      </w:r>
      <w:r w:rsidR="003E6B09" w:rsidRPr="00984597">
        <w:t>l</w:t>
      </w:r>
      <w:r w:rsidR="004F003C" w:rsidRPr="00984597">
        <w:t>es efforts visant à améliorer l'utilisation des six langues sur le site web de l'UIT, sur un pied d'égalité</w:t>
      </w:r>
      <w:r w:rsidR="003E6B09" w:rsidRPr="00984597">
        <w:t>;</w:t>
      </w:r>
    </w:p>
    <w:p w14:paraId="3F51C913" w14:textId="79D73284" w:rsidR="000F68B9" w:rsidRPr="00984597" w:rsidRDefault="000F68B9" w:rsidP="00CD4BDD">
      <w:pPr>
        <w:pStyle w:val="enumlev1"/>
      </w:pPr>
      <w:r w:rsidRPr="00984597">
        <w:t>f)</w:t>
      </w:r>
      <w:r w:rsidRPr="00984597">
        <w:tab/>
      </w:r>
      <w:r w:rsidR="003E6B09" w:rsidRPr="00984597">
        <w:t>l</w:t>
      </w:r>
      <w:r w:rsidR="004F003C" w:rsidRPr="00984597">
        <w:t>a création d'un Groupe intersectoriel sur le multilinguisme</w:t>
      </w:r>
      <w:r w:rsidR="003E6B09" w:rsidRPr="00984597">
        <w:t>;</w:t>
      </w:r>
    </w:p>
    <w:p w14:paraId="3F9BA6CF" w14:textId="188429F1" w:rsidR="000F68B9" w:rsidRPr="00984597" w:rsidRDefault="000F68B9" w:rsidP="00CD4BDD">
      <w:pPr>
        <w:pStyle w:val="enumlev1"/>
      </w:pPr>
      <w:r w:rsidRPr="00984597">
        <w:t>g)</w:t>
      </w:r>
      <w:r w:rsidRPr="00984597">
        <w:tab/>
      </w:r>
      <w:r w:rsidR="003E6B09" w:rsidRPr="00984597">
        <w:t>l</w:t>
      </w:r>
      <w:r w:rsidR="004F003C" w:rsidRPr="00984597">
        <w:t>'élaboration d'un cadre politique sur le multilinguisme</w:t>
      </w:r>
      <w:r w:rsidRPr="00984597">
        <w:t>.</w:t>
      </w:r>
    </w:p>
    <w:p w14:paraId="515B22EC" w14:textId="5302501C" w:rsidR="000F68B9" w:rsidRPr="00984597" w:rsidRDefault="000F68B9" w:rsidP="00CD4BDD">
      <w:pPr>
        <w:pStyle w:val="Heading1"/>
      </w:pPr>
      <w:r w:rsidRPr="00984597">
        <w:t>II</w:t>
      </w:r>
      <w:r w:rsidRPr="00984597">
        <w:tab/>
      </w:r>
      <w:r w:rsidR="004F003C" w:rsidRPr="00984597">
        <w:t>Activités du GTC-LANG</w:t>
      </w:r>
    </w:p>
    <w:p w14:paraId="30579BC4" w14:textId="2A16CE52" w:rsidR="000F68B9" w:rsidRPr="00984597" w:rsidRDefault="000F68B9" w:rsidP="00CD4BDD">
      <w:r w:rsidRPr="00984597">
        <w:t>1</w:t>
      </w:r>
      <w:r w:rsidRPr="00984597">
        <w:tab/>
      </w:r>
      <w:r w:rsidR="00CF22D0" w:rsidRPr="00984597">
        <w:t>À sa</w:t>
      </w:r>
      <w:r w:rsidR="00C85E7F" w:rsidRPr="00984597">
        <w:t xml:space="preserve"> </w:t>
      </w:r>
      <w:hyperlink r:id="rId11" w:history="1">
        <w:r w:rsidR="00AC119E" w:rsidRPr="00984597">
          <w:rPr>
            <w:rStyle w:val="Hyperlink"/>
          </w:rPr>
          <w:t>neuvième réunion</w:t>
        </w:r>
      </w:hyperlink>
      <w:r w:rsidR="00CF22D0" w:rsidRPr="00984597">
        <w:t>,</w:t>
      </w:r>
      <w:r w:rsidR="00AC119E" w:rsidRPr="00984597">
        <w:t xml:space="preserve"> tenue le 28 janvier 2019, </w:t>
      </w:r>
      <w:r w:rsidR="00CF22D0" w:rsidRPr="00984597">
        <w:t xml:space="preserve">le GTC-LANG a </w:t>
      </w:r>
      <w:r w:rsidR="00397DD0" w:rsidRPr="00984597">
        <w:t xml:space="preserve">principalement </w:t>
      </w:r>
      <w:r w:rsidR="00CF22D0" w:rsidRPr="00984597">
        <w:t>proposé</w:t>
      </w:r>
      <w:r w:rsidRPr="00984597">
        <w:t>:</w:t>
      </w:r>
    </w:p>
    <w:p w14:paraId="2BFF747D" w14:textId="5EDC2728" w:rsidR="000F68B9" w:rsidRPr="00984597" w:rsidRDefault="000F68B9" w:rsidP="00CD4BDD">
      <w:pPr>
        <w:pStyle w:val="enumlev1"/>
      </w:pPr>
      <w:r w:rsidRPr="00984597">
        <w:t>–</w:t>
      </w:r>
      <w:r w:rsidRPr="00984597">
        <w:tab/>
      </w:r>
      <w:r w:rsidR="00CF22D0" w:rsidRPr="00984597">
        <w:t>que</w:t>
      </w:r>
      <w:r w:rsidR="00C85E7F" w:rsidRPr="00984597">
        <w:t xml:space="preserve"> des </w:t>
      </w:r>
      <w:r w:rsidR="00AC119E" w:rsidRPr="00984597">
        <w:t xml:space="preserve">orientations </w:t>
      </w:r>
      <w:r w:rsidR="00CF22D0" w:rsidRPr="00984597">
        <w:t xml:space="preserve">soient fournies </w:t>
      </w:r>
      <w:r w:rsidR="00AC119E" w:rsidRPr="00984597">
        <w:t xml:space="preserve">concernant la mise en </w:t>
      </w:r>
      <w:r w:rsidR="00C85E7F" w:rsidRPr="00984597">
        <w:t>œuvre</w:t>
      </w:r>
      <w:r w:rsidR="00AC119E" w:rsidRPr="00984597">
        <w:t xml:space="preserve"> de la Résolution 154 (Rév.</w:t>
      </w:r>
      <w:r w:rsidR="00CD4BDD" w:rsidRPr="00984597">
        <w:t> </w:t>
      </w:r>
      <w:r w:rsidR="00AC119E" w:rsidRPr="00984597">
        <w:t>Dubaï, 2018) de la PP au cours de la période</w:t>
      </w:r>
      <w:r w:rsidRPr="00984597">
        <w:t xml:space="preserve"> 2019-2022</w:t>
      </w:r>
      <w:r w:rsidR="00CD4BDD" w:rsidRPr="00984597">
        <w:t>;</w:t>
      </w:r>
    </w:p>
    <w:p w14:paraId="0224A16D" w14:textId="49BC9201" w:rsidR="000F68B9" w:rsidRPr="00984597" w:rsidRDefault="000F68B9" w:rsidP="00CD4BDD">
      <w:pPr>
        <w:pStyle w:val="enumlev1"/>
      </w:pPr>
      <w:r w:rsidRPr="00984597">
        <w:t>–</w:t>
      </w:r>
      <w:r w:rsidRPr="00984597">
        <w:tab/>
      </w:r>
      <w:r w:rsidR="00CF22D0" w:rsidRPr="00984597">
        <w:t>qu'un</w:t>
      </w:r>
      <w:r w:rsidR="00AC119E" w:rsidRPr="00984597">
        <w:t xml:space="preserve"> plan détaillé concernant des projets pilotes relatifs à d'autres méthodes de traduction, d'interprétation et de sous-titrage </w:t>
      </w:r>
      <w:r w:rsidR="00CF22D0" w:rsidRPr="00984597">
        <w:t xml:space="preserve">soit élaboré </w:t>
      </w:r>
      <w:r w:rsidR="00AC119E" w:rsidRPr="00984597">
        <w:t>pour les deux ou quatre prochaines années;</w:t>
      </w:r>
    </w:p>
    <w:p w14:paraId="5251870C" w14:textId="0CC12EF2" w:rsidR="000F68B9" w:rsidRPr="00984597" w:rsidRDefault="000F68B9" w:rsidP="00CD4BDD">
      <w:pPr>
        <w:pStyle w:val="enumlev1"/>
      </w:pPr>
      <w:r w:rsidRPr="00984597">
        <w:t>–</w:t>
      </w:r>
      <w:r w:rsidRPr="00984597">
        <w:tab/>
      </w:r>
      <w:r w:rsidR="00CF22D0" w:rsidRPr="00984597">
        <w:t>que le mandat du GTC-L</w:t>
      </w:r>
      <w:r w:rsidR="00AC119E" w:rsidRPr="00984597">
        <w:t>ANG</w:t>
      </w:r>
      <w:r w:rsidR="00CF22D0" w:rsidRPr="00984597">
        <w:t xml:space="preserve"> soit révisé</w:t>
      </w:r>
      <w:r w:rsidR="00AC119E" w:rsidRPr="00984597">
        <w:t xml:space="preserve"> (Résolution 1372 du Conseil), afin </w:t>
      </w:r>
      <w:r w:rsidR="00397DD0" w:rsidRPr="00984597">
        <w:t>d</w:t>
      </w:r>
      <w:r w:rsidR="00CD4BDD" w:rsidRPr="00984597">
        <w:t>'</w:t>
      </w:r>
      <w:r w:rsidR="00397DD0" w:rsidRPr="00984597">
        <w:t>y faire figurer la fourniture d</w:t>
      </w:r>
      <w:r w:rsidR="00CD4BDD" w:rsidRPr="00984597">
        <w:t>'</w:t>
      </w:r>
      <w:r w:rsidR="00AC119E" w:rsidRPr="00984597">
        <w:t xml:space="preserve">une assistance </w:t>
      </w:r>
      <w:r w:rsidR="00397DD0" w:rsidRPr="00984597">
        <w:t>concernant</w:t>
      </w:r>
      <w:r w:rsidR="00AC119E" w:rsidRPr="00984597">
        <w:t xml:space="preserve"> le financement et la tenue à jour d'un site web du Forum du SMSI disponible dans les six langues officielles de l'UIT</w:t>
      </w:r>
      <w:r w:rsidRPr="00984597">
        <w:t>.</w:t>
      </w:r>
    </w:p>
    <w:p w14:paraId="1CB6B6E6" w14:textId="7C8C1B75" w:rsidR="000F68B9" w:rsidRPr="00984597" w:rsidRDefault="000F68B9" w:rsidP="00CD4BDD">
      <w:r w:rsidRPr="00984597">
        <w:t>2</w:t>
      </w:r>
      <w:r w:rsidRPr="00984597">
        <w:tab/>
      </w:r>
      <w:r w:rsidR="00CF22D0" w:rsidRPr="00984597">
        <w:t xml:space="preserve">À sa </w:t>
      </w:r>
      <w:hyperlink r:id="rId12" w:history="1">
        <w:r w:rsidR="00CF22D0" w:rsidRPr="00984597">
          <w:rPr>
            <w:rStyle w:val="Hyperlink"/>
          </w:rPr>
          <w:t>dixième réunion</w:t>
        </w:r>
      </w:hyperlink>
      <w:r w:rsidR="00CF22D0" w:rsidRPr="00984597">
        <w:t xml:space="preserve">, tenue le 14 février 2020, le GTC-LANG a </w:t>
      </w:r>
      <w:r w:rsidR="00397DD0" w:rsidRPr="00984597">
        <w:t xml:space="preserve">principalement </w:t>
      </w:r>
      <w:r w:rsidR="00CF22D0" w:rsidRPr="00984597">
        <w:t>proposé</w:t>
      </w:r>
      <w:r w:rsidR="00AC119E" w:rsidRPr="00984597">
        <w:t>:</w:t>
      </w:r>
    </w:p>
    <w:p w14:paraId="28935060" w14:textId="0BEE779A" w:rsidR="000F68B9" w:rsidRPr="00984597" w:rsidRDefault="000F68B9" w:rsidP="00CD4BDD">
      <w:pPr>
        <w:pStyle w:val="enumlev1"/>
      </w:pPr>
      <w:r w:rsidRPr="00984597">
        <w:t>–</w:t>
      </w:r>
      <w:r w:rsidRPr="00984597">
        <w:tab/>
      </w:r>
      <w:r w:rsidR="00B32470" w:rsidRPr="00984597">
        <w:t>qu'il soit demandé</w:t>
      </w:r>
      <w:r w:rsidR="00AC119E" w:rsidRPr="00984597">
        <w:t xml:space="preserve"> au Secrétariat de faire figurer</w:t>
      </w:r>
      <w:r w:rsidR="00B32470" w:rsidRPr="00984597">
        <w:t>,</w:t>
      </w:r>
      <w:r w:rsidR="00AC119E" w:rsidRPr="00984597">
        <w:t xml:space="preserve"> dans les rapports futurs</w:t>
      </w:r>
      <w:r w:rsidR="00B32470" w:rsidRPr="00984597">
        <w:t>,</w:t>
      </w:r>
      <w:r w:rsidR="00AC119E" w:rsidRPr="00984597">
        <w:t xml:space="preserve"> les informations concernant le budget affecté aux services d'interprétation;</w:t>
      </w:r>
    </w:p>
    <w:p w14:paraId="367F3CE8" w14:textId="4EEF4439" w:rsidR="000F68B9" w:rsidRPr="00984597" w:rsidRDefault="000F68B9" w:rsidP="00CD4BDD">
      <w:pPr>
        <w:pStyle w:val="enumlev1"/>
      </w:pPr>
      <w:r w:rsidRPr="00984597">
        <w:t>–</w:t>
      </w:r>
      <w:r w:rsidRPr="00984597">
        <w:tab/>
      </w:r>
      <w:r w:rsidR="00B32470" w:rsidRPr="00984597">
        <w:t xml:space="preserve">qu'il soit demandé </w:t>
      </w:r>
      <w:r w:rsidR="00AC119E" w:rsidRPr="00984597">
        <w:t>au Secrétariat de prendre toutes les mesures nécessaires pour mener à bien sans conditions les travaux visant à harmoniser les sites web des Secteurs de l'UIT utilisant ses six langues officielles sur un pied d'égalité.</w:t>
      </w:r>
    </w:p>
    <w:p w14:paraId="4A505571" w14:textId="0378117F" w:rsidR="000F68B9" w:rsidRPr="00984597" w:rsidRDefault="000F68B9" w:rsidP="00CD4BDD">
      <w:r w:rsidRPr="00984597">
        <w:t>3</w:t>
      </w:r>
      <w:r w:rsidRPr="00984597">
        <w:tab/>
      </w:r>
      <w:r w:rsidR="00B32470" w:rsidRPr="00984597">
        <w:t xml:space="preserve">À sa </w:t>
      </w:r>
      <w:hyperlink r:id="rId13" w:history="1">
        <w:r w:rsidR="00B32470" w:rsidRPr="00984597">
          <w:rPr>
            <w:rStyle w:val="Hyperlink"/>
          </w:rPr>
          <w:t>onzième réunion</w:t>
        </w:r>
      </w:hyperlink>
      <w:r w:rsidR="00B32470" w:rsidRPr="00984597">
        <w:t xml:space="preserve">, tenue le 5 février 2021, le GTC-LANG a </w:t>
      </w:r>
      <w:r w:rsidR="00397DD0" w:rsidRPr="00984597">
        <w:t>principalement</w:t>
      </w:r>
      <w:r w:rsidR="00AC119E" w:rsidRPr="00984597">
        <w:t>:</w:t>
      </w:r>
    </w:p>
    <w:p w14:paraId="06EA9CA2" w14:textId="4C71F093" w:rsidR="000F68B9" w:rsidRPr="00984597" w:rsidRDefault="000F68B9" w:rsidP="00CD4BDD">
      <w:pPr>
        <w:pStyle w:val="enumlev1"/>
      </w:pPr>
      <w:r w:rsidRPr="00984597">
        <w:t>–</w:t>
      </w:r>
      <w:r w:rsidRPr="00984597">
        <w:tab/>
      </w:r>
      <w:r w:rsidR="00B32470" w:rsidRPr="00984597">
        <w:t>proposé qu'il soit demandé</w:t>
      </w:r>
      <w:r w:rsidR="00957AF6" w:rsidRPr="00984597">
        <w:t xml:space="preserve"> au Secrétariat de faire figurer</w:t>
      </w:r>
      <w:r w:rsidR="00B32470" w:rsidRPr="00984597">
        <w:t>,</w:t>
      </w:r>
      <w:r w:rsidR="00957AF6" w:rsidRPr="00984597">
        <w:t xml:space="preserve"> dans les rapports futurs</w:t>
      </w:r>
      <w:r w:rsidR="00B32470" w:rsidRPr="00984597">
        <w:t>,</w:t>
      </w:r>
      <w:r w:rsidR="00957AF6" w:rsidRPr="00984597">
        <w:t xml:space="preserve"> les informations sur les dépenses effectives afférentes aux services linguistiques et l'évolution des volumes de traduction selon les langues</w:t>
      </w:r>
      <w:r w:rsidRPr="00984597">
        <w:t>;</w:t>
      </w:r>
    </w:p>
    <w:p w14:paraId="71879863" w14:textId="340EAA32" w:rsidR="000F68B9" w:rsidRPr="00984597" w:rsidRDefault="000F68B9" w:rsidP="00CD4BDD">
      <w:pPr>
        <w:pStyle w:val="enumlev1"/>
      </w:pPr>
      <w:r w:rsidRPr="00984597">
        <w:t>–</w:t>
      </w:r>
      <w:r w:rsidRPr="00984597">
        <w:tab/>
      </w:r>
      <w:r w:rsidR="00B32470" w:rsidRPr="00984597">
        <w:t>proposé qu'il soit demandé</w:t>
      </w:r>
      <w:r w:rsidR="00957AF6" w:rsidRPr="00984597">
        <w:t xml:space="preserve"> au Secrétariat d'effectuer un suivi concernant les recommandations du CCI visant à contribuer à la mise en œuvre du multilinguisme dans les communications et les échanges de connaissances;</w:t>
      </w:r>
    </w:p>
    <w:p w14:paraId="79EE0E3D" w14:textId="4DEAD1A1" w:rsidR="000F68B9" w:rsidRPr="00984597" w:rsidRDefault="000F68B9" w:rsidP="00CD4BDD">
      <w:pPr>
        <w:pStyle w:val="enumlev1"/>
      </w:pPr>
      <w:r w:rsidRPr="00984597">
        <w:t>–</w:t>
      </w:r>
      <w:r w:rsidRPr="00984597">
        <w:tab/>
      </w:r>
      <w:r w:rsidR="00B32470" w:rsidRPr="00984597">
        <w:t>recommandé</w:t>
      </w:r>
      <w:r w:rsidR="00957AF6" w:rsidRPr="00984597">
        <w:t xml:space="preserve"> au Conseil de demander au </w:t>
      </w:r>
      <w:r w:rsidR="00AC119E" w:rsidRPr="00984597">
        <w:t>BDT</w:t>
      </w:r>
      <w:r w:rsidR="00957AF6" w:rsidRPr="00984597">
        <w:t xml:space="preserve"> d'envisager la possibilité d'utiliser d'autres langues que les 6 langues officielles de l'UIT </w:t>
      </w:r>
      <w:r w:rsidR="00AC119E" w:rsidRPr="00984597">
        <w:t xml:space="preserve">au sein des bureaux régionaux, </w:t>
      </w:r>
      <w:r w:rsidR="00957AF6" w:rsidRPr="00984597">
        <w:t>sur les sites web et dans les communications</w:t>
      </w:r>
      <w:r w:rsidRPr="00984597">
        <w:t>;</w:t>
      </w:r>
    </w:p>
    <w:p w14:paraId="3CA5392A" w14:textId="6FFB7468" w:rsidR="000F68B9" w:rsidRPr="00984597" w:rsidRDefault="000F68B9" w:rsidP="00CD4BDD">
      <w:pPr>
        <w:pStyle w:val="enumlev1"/>
      </w:pPr>
      <w:r w:rsidRPr="00984597">
        <w:t>–</w:t>
      </w:r>
      <w:r w:rsidRPr="00984597">
        <w:tab/>
      </w:r>
      <w:r w:rsidR="00957AF6" w:rsidRPr="00984597">
        <w:t>pris note des informations présentées par le Secrétariat concernant les efforts qu'il déploie en vue d'harmoniser les sites web des Secteurs dans les six langues de l'Union;</w:t>
      </w:r>
    </w:p>
    <w:p w14:paraId="298ED59A" w14:textId="5BE65ADB" w:rsidR="000F68B9" w:rsidRPr="00984597" w:rsidRDefault="000F68B9" w:rsidP="00CD4BDD">
      <w:pPr>
        <w:pStyle w:val="enumlev1"/>
        <w:rPr>
          <w:bCs/>
        </w:rPr>
      </w:pPr>
      <w:r w:rsidRPr="00984597">
        <w:t>–</w:t>
      </w:r>
      <w:r w:rsidRPr="00984597">
        <w:tab/>
      </w:r>
      <w:r w:rsidR="00B32470" w:rsidRPr="00984597">
        <w:t>proposé qu'il soit demandé au</w:t>
      </w:r>
      <w:r w:rsidR="00957AF6" w:rsidRPr="00984597">
        <w:t xml:space="preserve"> Secrétariat de fournir des renseignements factuels sur les conséquences de l'application des délais prévus dans la Résolution 165</w:t>
      </w:r>
      <w:r w:rsidR="006A2E0A" w:rsidRPr="00984597">
        <w:t xml:space="preserve"> (Rév. Dubaï, 2018)</w:t>
      </w:r>
      <w:r w:rsidR="00957AF6" w:rsidRPr="00984597">
        <w:t xml:space="preserve"> de la Conférence de plénipotentiaires pour les grandes manifestations à venir</w:t>
      </w:r>
      <w:r w:rsidR="00AC119E" w:rsidRPr="00984597">
        <w:t xml:space="preserve"> pour ce qui est de la soumission des contributions dans des délais suffisants pour permettre leur traduction</w:t>
      </w:r>
      <w:r w:rsidRPr="00984597">
        <w:t>.</w:t>
      </w:r>
    </w:p>
    <w:p w14:paraId="67A54A83" w14:textId="6F0ECCAB" w:rsidR="000F68B9" w:rsidRPr="00984597" w:rsidRDefault="000F68B9" w:rsidP="00CD4BDD">
      <w:pPr>
        <w:keepNext/>
        <w:keepLines/>
      </w:pPr>
      <w:r w:rsidRPr="00984597">
        <w:lastRenderedPageBreak/>
        <w:t>4</w:t>
      </w:r>
      <w:r w:rsidRPr="00984597">
        <w:tab/>
      </w:r>
      <w:r w:rsidR="00B32470" w:rsidRPr="00984597">
        <w:t xml:space="preserve">À sa </w:t>
      </w:r>
      <w:hyperlink r:id="rId14" w:history="1">
        <w:r w:rsidR="00B32470" w:rsidRPr="00984597">
          <w:rPr>
            <w:rStyle w:val="Hyperlink"/>
          </w:rPr>
          <w:t>douzième réunion</w:t>
        </w:r>
      </w:hyperlink>
      <w:r w:rsidR="00B32470" w:rsidRPr="00984597">
        <w:t xml:space="preserve">, tenue le 18 janvier 2022, le GTC-LANG a </w:t>
      </w:r>
      <w:r w:rsidR="006A2E0A" w:rsidRPr="00984597">
        <w:t>principalement</w:t>
      </w:r>
      <w:r w:rsidRPr="00984597">
        <w:t>:</w:t>
      </w:r>
    </w:p>
    <w:p w14:paraId="4B286E10" w14:textId="7A85DDCB" w:rsidR="000F68B9" w:rsidRPr="00984597" w:rsidRDefault="000F68B9" w:rsidP="00CD4BDD">
      <w:pPr>
        <w:pStyle w:val="enumlev1"/>
        <w:keepNext/>
        <w:keepLines/>
      </w:pPr>
      <w:r w:rsidRPr="00984597">
        <w:t>–</w:t>
      </w:r>
      <w:r w:rsidRPr="00984597">
        <w:tab/>
      </w:r>
      <w:r w:rsidR="00AC119E" w:rsidRPr="00984597">
        <w:rPr>
          <w:bCs/>
        </w:rPr>
        <w:t>demandé</w:t>
      </w:r>
      <w:r w:rsidR="00957AF6" w:rsidRPr="00984597">
        <w:rPr>
          <w:bCs/>
        </w:rPr>
        <w:t xml:space="preserve"> </w:t>
      </w:r>
      <w:r w:rsidR="00B32470" w:rsidRPr="00984597">
        <w:rPr>
          <w:bCs/>
        </w:rPr>
        <w:t xml:space="preserve">que le développement </w:t>
      </w:r>
      <w:r w:rsidR="00957AF6" w:rsidRPr="00984597">
        <w:rPr>
          <w:bCs/>
        </w:rPr>
        <w:t>du site web OneITU</w:t>
      </w:r>
      <w:r w:rsidR="00B32470" w:rsidRPr="00984597">
        <w:rPr>
          <w:bCs/>
        </w:rPr>
        <w:t xml:space="preserve"> soit accéléré</w:t>
      </w:r>
      <w:r w:rsidR="00957AF6" w:rsidRPr="00984597">
        <w:rPr>
          <w:bCs/>
        </w:rPr>
        <w:t>, en fournissant des indications concrètes, des prototypes et des délais</w:t>
      </w:r>
      <w:r w:rsidRPr="00984597">
        <w:t>;</w:t>
      </w:r>
    </w:p>
    <w:p w14:paraId="691339EC" w14:textId="1785BAB1" w:rsidR="000F68B9" w:rsidRPr="00984597" w:rsidRDefault="000F68B9" w:rsidP="00CD4BDD">
      <w:pPr>
        <w:pStyle w:val="enumlev1"/>
      </w:pPr>
      <w:r w:rsidRPr="00984597">
        <w:t>–</w:t>
      </w:r>
      <w:r w:rsidRPr="00984597">
        <w:tab/>
      </w:r>
      <w:r w:rsidR="00B32470" w:rsidRPr="00984597">
        <w:t>proposé que le</w:t>
      </w:r>
      <w:r w:rsidR="00244D6B" w:rsidRPr="00984597">
        <w:t xml:space="preserve"> cadre politique sur le multilinguisme, tel que modifié par le Groupe de travail du Conseil</w:t>
      </w:r>
      <w:r w:rsidR="00B32470" w:rsidRPr="00984597">
        <w:t>, soit approuvé</w:t>
      </w:r>
      <w:r w:rsidRPr="00984597">
        <w:t>;</w:t>
      </w:r>
    </w:p>
    <w:p w14:paraId="21A1F1F8" w14:textId="6E1F97DB" w:rsidR="000F68B9" w:rsidRPr="00984597" w:rsidRDefault="000F68B9" w:rsidP="00CD4BDD">
      <w:pPr>
        <w:pStyle w:val="enumlev1"/>
      </w:pPr>
      <w:r w:rsidRPr="00984597">
        <w:t>–</w:t>
      </w:r>
      <w:r w:rsidRPr="00984597">
        <w:tab/>
      </w:r>
      <w:r w:rsidR="00B32470" w:rsidRPr="00984597">
        <w:rPr>
          <w:bCs/>
        </w:rPr>
        <w:t>proposé qu'il soit</w:t>
      </w:r>
      <w:r w:rsidR="00957AF6" w:rsidRPr="00984597">
        <w:rPr>
          <w:bCs/>
        </w:rPr>
        <w:t xml:space="preserve"> demandé au Secrétariat d'élaborer des lignes directrices administratives et opérationnelles pour la mise en œuvre </w:t>
      </w:r>
      <w:r w:rsidR="006A2E0A" w:rsidRPr="00984597">
        <w:rPr>
          <w:bCs/>
        </w:rPr>
        <w:t xml:space="preserve">de ce </w:t>
      </w:r>
      <w:r w:rsidR="00957AF6" w:rsidRPr="00984597">
        <w:rPr>
          <w:bCs/>
        </w:rPr>
        <w:t>cadre politique</w:t>
      </w:r>
      <w:r w:rsidRPr="00984597">
        <w:t>;</w:t>
      </w:r>
    </w:p>
    <w:p w14:paraId="5CCC8BC3" w14:textId="4D119E99" w:rsidR="000F68B9" w:rsidRPr="00984597" w:rsidRDefault="000F68B9" w:rsidP="00CD4BDD">
      <w:pPr>
        <w:pStyle w:val="enumlev1"/>
      </w:pPr>
      <w:r w:rsidRPr="00984597">
        <w:t>–</w:t>
      </w:r>
      <w:r w:rsidR="004B6015" w:rsidRPr="00984597">
        <w:tab/>
      </w:r>
      <w:r w:rsidR="00957AF6" w:rsidRPr="00984597">
        <w:t xml:space="preserve">proposé </w:t>
      </w:r>
      <w:r w:rsidR="004B6015" w:rsidRPr="00984597">
        <w:t xml:space="preserve">que soient fixés </w:t>
      </w:r>
      <w:r w:rsidR="00957AF6" w:rsidRPr="00984597">
        <w:t>de</w:t>
      </w:r>
      <w:r w:rsidR="006A2E0A" w:rsidRPr="00984597">
        <w:t xml:space="preserve"> nouveaux</w:t>
      </w:r>
      <w:r w:rsidR="00957AF6" w:rsidRPr="00984597">
        <w:t xml:space="preserve"> délais pour la publication sur le web des documents traduits avant les réunions et les conférences</w:t>
      </w:r>
      <w:r w:rsidRPr="00984597">
        <w:t xml:space="preserve">; </w:t>
      </w:r>
      <w:r w:rsidR="00957AF6" w:rsidRPr="00984597">
        <w:t>et</w:t>
      </w:r>
    </w:p>
    <w:p w14:paraId="2E1A9B6C" w14:textId="7DE5179C" w:rsidR="000F68B9" w:rsidRPr="00984597" w:rsidRDefault="000F68B9" w:rsidP="00CD4BDD">
      <w:pPr>
        <w:pStyle w:val="enumlev1"/>
      </w:pPr>
      <w:r w:rsidRPr="00984597">
        <w:t>–</w:t>
      </w:r>
      <w:r w:rsidRPr="00984597">
        <w:tab/>
      </w:r>
      <w:r w:rsidR="004B6015" w:rsidRPr="00984597">
        <w:t>proposé de</w:t>
      </w:r>
      <w:r w:rsidR="007A64A2" w:rsidRPr="00984597">
        <w:t xml:space="preserve"> fournir </w:t>
      </w:r>
      <w:r w:rsidR="00957AF6" w:rsidRPr="00984597">
        <w:t>un rapport quadriennal résumant les résultats des réunions du GTC-LANG tenues entre 2019 et 2022, qui sera soumis à la Conférence de plénipotentiaires de 2022</w:t>
      </w:r>
      <w:r w:rsidRPr="00984597">
        <w:t>.</w:t>
      </w:r>
    </w:p>
    <w:p w14:paraId="4DC94112" w14:textId="0A9E03E6" w:rsidR="000F68B9" w:rsidRPr="00984597" w:rsidRDefault="000F68B9" w:rsidP="00CD4BDD">
      <w:pPr>
        <w:pStyle w:val="Heading1"/>
      </w:pPr>
      <w:r w:rsidRPr="00984597">
        <w:t>III</w:t>
      </w:r>
      <w:r w:rsidRPr="00984597">
        <w:tab/>
        <w:t>Recomm</w:t>
      </w:r>
      <w:r w:rsidR="004B6015" w:rsidRPr="00984597">
        <w:t>a</w:t>
      </w:r>
      <w:r w:rsidRPr="00984597">
        <w:t xml:space="preserve">ndations </w:t>
      </w:r>
      <w:r w:rsidR="004B6015" w:rsidRPr="00984597">
        <w:t>à l'intention de la</w:t>
      </w:r>
      <w:r w:rsidRPr="00984597">
        <w:t xml:space="preserve"> PP-22</w:t>
      </w:r>
    </w:p>
    <w:p w14:paraId="3CD22A47" w14:textId="35B103F3" w:rsidR="000F68B9" w:rsidRPr="00984597" w:rsidRDefault="004B6015" w:rsidP="00CD4BDD">
      <w:r w:rsidRPr="00984597">
        <w:t>En vertu des</w:t>
      </w:r>
      <w:r w:rsidR="00664C8E" w:rsidRPr="00984597">
        <w:t xml:space="preserve"> points 4 et 5 du </w:t>
      </w:r>
      <w:r w:rsidR="00664C8E" w:rsidRPr="00984597">
        <w:rPr>
          <w:i/>
          <w:iCs/>
        </w:rPr>
        <w:t xml:space="preserve">décide </w:t>
      </w:r>
      <w:r w:rsidR="00664C8E" w:rsidRPr="00984597">
        <w:t xml:space="preserve">de la Décision </w:t>
      </w:r>
      <w:r w:rsidR="00664C8E" w:rsidRPr="00984597">
        <w:rPr>
          <w:b/>
          <w:bCs/>
        </w:rPr>
        <w:t>11</w:t>
      </w:r>
      <w:r w:rsidR="00664C8E" w:rsidRPr="00984597">
        <w:t xml:space="preserve"> </w:t>
      </w:r>
      <w:r w:rsidR="006A2E0A" w:rsidRPr="00984597">
        <w:t xml:space="preserve">(Rév. Dubaï, 2018) </w:t>
      </w:r>
      <w:r w:rsidR="00664C8E" w:rsidRPr="00984597">
        <w:t>de la Conférence de plénipotentiaires, le Conseil est invité à recommander à la Conférence de plénipotentiaires de maintenir le Groupe de travail du Conseil sur l'utilisation des langues</w:t>
      </w:r>
      <w:r w:rsidR="00C179C8" w:rsidRPr="00984597">
        <w:t>, conformément à la Résolution 154</w:t>
      </w:r>
      <w:r w:rsidR="006A2E0A" w:rsidRPr="00984597">
        <w:t xml:space="preserve"> (Rév. Dubaï, 2018)</w:t>
      </w:r>
      <w:r w:rsidR="00C179C8" w:rsidRPr="00984597">
        <w:t xml:space="preserve"> de la Conférence de plénipotentiaires relative à l'utilisation des six langues officielles de l'Union sur un pied d'égalité</w:t>
      </w:r>
      <w:r w:rsidR="000F68B9" w:rsidRPr="00984597">
        <w:t>.</w:t>
      </w:r>
    </w:p>
    <w:p w14:paraId="66766681" w14:textId="77777777" w:rsidR="00957AF6" w:rsidRPr="00984597" w:rsidRDefault="00957AF6" w:rsidP="00AC765B">
      <w:pPr>
        <w:spacing w:before="840"/>
        <w:jc w:val="center"/>
      </w:pPr>
      <w:r w:rsidRPr="00984597">
        <w:t>______________</w:t>
      </w:r>
    </w:p>
    <w:sectPr w:rsidR="00957AF6" w:rsidRPr="00984597"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1210" w14:textId="77777777" w:rsidR="000F68B9" w:rsidRDefault="000F68B9">
      <w:r>
        <w:separator/>
      </w:r>
    </w:p>
  </w:endnote>
  <w:endnote w:type="continuationSeparator" w:id="0">
    <w:p w14:paraId="0C81D1E8" w14:textId="77777777" w:rsidR="000F68B9" w:rsidRDefault="000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3689" w14:textId="057AB360" w:rsidR="00732045" w:rsidRDefault="00F63F69">
    <w:pPr>
      <w:pStyle w:val="Footer"/>
    </w:pPr>
    <w:r>
      <w:fldChar w:fldCharType="begin"/>
    </w:r>
    <w:r>
      <w:instrText xml:space="preserve"> FILENAME \p \* MERGEFORMAT </w:instrText>
    </w:r>
    <w:r>
      <w:fldChar w:fldCharType="separate"/>
    </w:r>
    <w:r w:rsidR="00A0307A">
      <w:t>P:\FRA\SG\CONSEIL\C22\000\055F.docx</w:t>
    </w:r>
    <w:r>
      <w:fldChar w:fldCharType="end"/>
    </w:r>
    <w:r w:rsidR="00732045">
      <w:tab/>
    </w:r>
    <w:r w:rsidR="002F1B76">
      <w:fldChar w:fldCharType="begin"/>
    </w:r>
    <w:r w:rsidR="00732045">
      <w:instrText xml:space="preserve"> savedate \@ dd.MM.yy </w:instrText>
    </w:r>
    <w:r w:rsidR="002F1B76">
      <w:fldChar w:fldCharType="separate"/>
    </w:r>
    <w:r>
      <w:t>01.03.22</w:t>
    </w:r>
    <w:r w:rsidR="002F1B76">
      <w:fldChar w:fldCharType="end"/>
    </w:r>
    <w:r w:rsidR="00732045">
      <w:tab/>
    </w:r>
    <w:r w:rsidR="002F1B76">
      <w:fldChar w:fldCharType="begin"/>
    </w:r>
    <w:r w:rsidR="00732045">
      <w:instrText xml:space="preserve"> printdate \@ dd.MM.yy </w:instrText>
    </w:r>
    <w:r w:rsidR="002F1B76">
      <w:fldChar w:fldCharType="separate"/>
    </w:r>
    <w:r w:rsidR="00A0307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58F6" w14:textId="15E31157" w:rsidR="00732045" w:rsidRPr="00AC765B" w:rsidRDefault="00984597">
    <w:pPr>
      <w:pStyle w:val="Footer"/>
      <w:rPr>
        <w:color w:val="F2F2F2" w:themeColor="background1" w:themeShade="F2"/>
      </w:rPr>
    </w:pPr>
    <w:r w:rsidRPr="00AC765B">
      <w:rPr>
        <w:color w:val="F2F2F2" w:themeColor="background1" w:themeShade="F2"/>
      </w:rPr>
      <w:fldChar w:fldCharType="begin"/>
    </w:r>
    <w:r w:rsidRPr="00AC765B">
      <w:rPr>
        <w:color w:val="F2F2F2" w:themeColor="background1" w:themeShade="F2"/>
      </w:rPr>
      <w:instrText xml:space="preserve"> FILENAME \p \* MERGEFORMAT </w:instrText>
    </w:r>
    <w:r w:rsidRPr="00AC765B">
      <w:rPr>
        <w:color w:val="F2F2F2" w:themeColor="background1" w:themeShade="F2"/>
      </w:rPr>
      <w:fldChar w:fldCharType="separate"/>
    </w:r>
    <w:r w:rsidR="00A0307A" w:rsidRPr="00AC765B">
      <w:rPr>
        <w:color w:val="F2F2F2" w:themeColor="background1" w:themeShade="F2"/>
      </w:rPr>
      <w:t>P:\FRA\SG\CONSEIL\C22\000\055F.docx</w:t>
    </w:r>
    <w:r w:rsidRPr="00AC765B">
      <w:rPr>
        <w:color w:val="F2F2F2" w:themeColor="background1" w:themeShade="F2"/>
      </w:rPr>
      <w:fldChar w:fldCharType="end"/>
    </w:r>
    <w:r w:rsidR="00957AF6" w:rsidRPr="00AC765B">
      <w:rPr>
        <w:color w:val="F2F2F2" w:themeColor="background1" w:themeShade="F2"/>
      </w:rPr>
      <w:t xml:space="preserve"> (501461)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13C9"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0BFC" w14:textId="77777777" w:rsidR="000F68B9" w:rsidRDefault="000F68B9">
      <w:r>
        <w:t>____________________</w:t>
      </w:r>
    </w:p>
  </w:footnote>
  <w:footnote w:type="continuationSeparator" w:id="0">
    <w:p w14:paraId="1744FDD8" w14:textId="77777777" w:rsidR="000F68B9" w:rsidRDefault="000F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D3A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DB35D7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7AE3"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CE12A89" w14:textId="437CA058" w:rsidR="00732045" w:rsidRDefault="00732045" w:rsidP="00106B19">
    <w:pPr>
      <w:pStyle w:val="Header"/>
    </w:pPr>
    <w:r>
      <w:t>C</w:t>
    </w:r>
    <w:r w:rsidR="009C353C">
      <w:t>2</w:t>
    </w:r>
    <w:r w:rsidR="0083391C">
      <w:t>2</w:t>
    </w:r>
    <w:r>
      <w:t>/</w:t>
    </w:r>
    <w:r w:rsidR="00957AF6">
      <w:t>55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77B82"/>
    <w:multiLevelType w:val="hybridMultilevel"/>
    <w:tmpl w:val="06B6CB1C"/>
    <w:lvl w:ilvl="0" w:tplc="74E275B4">
      <w:start w:val="1"/>
      <w:numFmt w:val="upperRoman"/>
      <w:lvlText w:val="%1."/>
      <w:lvlJc w:val="left"/>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B9"/>
    <w:rsid w:val="000D0D0A"/>
    <w:rsid w:val="000F68B9"/>
    <w:rsid w:val="00103163"/>
    <w:rsid w:val="00106B19"/>
    <w:rsid w:val="00115D93"/>
    <w:rsid w:val="001247A8"/>
    <w:rsid w:val="001378C0"/>
    <w:rsid w:val="0018694A"/>
    <w:rsid w:val="001A3287"/>
    <w:rsid w:val="001A6508"/>
    <w:rsid w:val="001D4C31"/>
    <w:rsid w:val="001E4D21"/>
    <w:rsid w:val="00207CD1"/>
    <w:rsid w:val="00244D6B"/>
    <w:rsid w:val="002477A2"/>
    <w:rsid w:val="00263A51"/>
    <w:rsid w:val="00267E02"/>
    <w:rsid w:val="002713ED"/>
    <w:rsid w:val="002A5D44"/>
    <w:rsid w:val="002E0BC4"/>
    <w:rsid w:val="002F1B76"/>
    <w:rsid w:val="0033568E"/>
    <w:rsid w:val="00355FF5"/>
    <w:rsid w:val="003604F3"/>
    <w:rsid w:val="00361350"/>
    <w:rsid w:val="00397DD0"/>
    <w:rsid w:val="003C3FAE"/>
    <w:rsid w:val="003E6B09"/>
    <w:rsid w:val="003F03C6"/>
    <w:rsid w:val="004038CB"/>
    <w:rsid w:val="0040546F"/>
    <w:rsid w:val="0042404A"/>
    <w:rsid w:val="0044618F"/>
    <w:rsid w:val="004536A4"/>
    <w:rsid w:val="0046769A"/>
    <w:rsid w:val="00475FB3"/>
    <w:rsid w:val="004B6015"/>
    <w:rsid w:val="004C37A9"/>
    <w:rsid w:val="004D1D50"/>
    <w:rsid w:val="004F003C"/>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64C8E"/>
    <w:rsid w:val="006A2E0A"/>
    <w:rsid w:val="007210CD"/>
    <w:rsid w:val="00732045"/>
    <w:rsid w:val="007369DB"/>
    <w:rsid w:val="007956C2"/>
    <w:rsid w:val="007A187E"/>
    <w:rsid w:val="007A64A2"/>
    <w:rsid w:val="007C72C2"/>
    <w:rsid w:val="007D4436"/>
    <w:rsid w:val="007F257A"/>
    <w:rsid w:val="007F3665"/>
    <w:rsid w:val="00800037"/>
    <w:rsid w:val="0083391C"/>
    <w:rsid w:val="00861D73"/>
    <w:rsid w:val="00897553"/>
    <w:rsid w:val="008A4E87"/>
    <w:rsid w:val="008D76E6"/>
    <w:rsid w:val="0092392D"/>
    <w:rsid w:val="0093234A"/>
    <w:rsid w:val="00957AF6"/>
    <w:rsid w:val="0097363B"/>
    <w:rsid w:val="00984597"/>
    <w:rsid w:val="009B7C8A"/>
    <w:rsid w:val="009C307F"/>
    <w:rsid w:val="009C353C"/>
    <w:rsid w:val="00A0307A"/>
    <w:rsid w:val="00A2113E"/>
    <w:rsid w:val="00A23A51"/>
    <w:rsid w:val="00A24607"/>
    <w:rsid w:val="00A25CD3"/>
    <w:rsid w:val="00A44578"/>
    <w:rsid w:val="00A709FE"/>
    <w:rsid w:val="00A82767"/>
    <w:rsid w:val="00AA332F"/>
    <w:rsid w:val="00AA7BBB"/>
    <w:rsid w:val="00AB64A8"/>
    <w:rsid w:val="00AC0266"/>
    <w:rsid w:val="00AC119E"/>
    <w:rsid w:val="00AC765B"/>
    <w:rsid w:val="00AD24EC"/>
    <w:rsid w:val="00B309F9"/>
    <w:rsid w:val="00B32470"/>
    <w:rsid w:val="00B32B60"/>
    <w:rsid w:val="00B61619"/>
    <w:rsid w:val="00BB4545"/>
    <w:rsid w:val="00BD5873"/>
    <w:rsid w:val="00C04BE3"/>
    <w:rsid w:val="00C179C8"/>
    <w:rsid w:val="00C25D29"/>
    <w:rsid w:val="00C27A7C"/>
    <w:rsid w:val="00C85E7F"/>
    <w:rsid w:val="00CA08ED"/>
    <w:rsid w:val="00CD4BDD"/>
    <w:rsid w:val="00CE512C"/>
    <w:rsid w:val="00CF183B"/>
    <w:rsid w:val="00CF22D0"/>
    <w:rsid w:val="00D375CD"/>
    <w:rsid w:val="00D553A2"/>
    <w:rsid w:val="00D774D3"/>
    <w:rsid w:val="00D904E8"/>
    <w:rsid w:val="00DA08C3"/>
    <w:rsid w:val="00DB5A3E"/>
    <w:rsid w:val="00DC22AA"/>
    <w:rsid w:val="00DF74DD"/>
    <w:rsid w:val="00E25AD0"/>
    <w:rsid w:val="00EB6350"/>
    <w:rsid w:val="00F15B57"/>
    <w:rsid w:val="00F427DB"/>
    <w:rsid w:val="00F63F6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20CBD"/>
  <w15:docId w15:val="{C85D9BDE-0633-4D1D-BC93-59ABCA28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0F68B9"/>
    <w:rPr>
      <w:color w:val="605E5C"/>
      <w:shd w:val="clear" w:color="auto" w:fill="E1DFDD"/>
    </w:rPr>
  </w:style>
  <w:style w:type="paragraph" w:styleId="Revision">
    <w:name w:val="Revision"/>
    <w:hidden/>
    <w:uiPriority w:val="99"/>
    <w:semiHidden/>
    <w:rsid w:val="00397DD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CWGLANG11-C-000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0-RCLCWGLANG10-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RCLCWGLANG9-C-0005/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cwg-lang/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Documents/basic-texts/DEC-011-F.pdf" TargetMode="External"/><Relationship Id="rId14" Type="http://schemas.openxmlformats.org/officeDocument/2006/relationships/hyperlink" Target="https://www.itu.int/md/S22-RCLCWGLANG12-C-0005/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05A1-515C-4EC3-9998-87BD36F3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3</Pages>
  <Words>911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du Groupe de Travail du Conseil Sur l'utilisation des langues</dc:title>
  <dc:subject>Conseil 2022</dc:subject>
  <dc:creator>French</dc:creator>
  <cp:keywords>C2022, C22, Council-22</cp:keywords>
  <dc:description/>
  <cp:lastModifiedBy>Xue, Kun</cp:lastModifiedBy>
  <cp:revision>3</cp:revision>
  <cp:lastPrinted>2000-07-18T08:55:00Z</cp:lastPrinted>
  <dcterms:created xsi:type="dcterms:W3CDTF">2022-03-01T07:46:00Z</dcterms:created>
  <dcterms:modified xsi:type="dcterms:W3CDTF">2022-03-01T12:51:00Z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