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48555F6C" w14:textId="77777777" w:rsidTr="00464B6C">
        <w:trPr>
          <w:cantSplit/>
        </w:trPr>
        <w:tc>
          <w:tcPr>
            <w:tcW w:w="6911" w:type="dxa"/>
          </w:tcPr>
          <w:p w14:paraId="17DEFEF8" w14:textId="67574F26" w:rsidR="002A2188" w:rsidRPr="00813E5E" w:rsidRDefault="002A2188" w:rsidP="00B84B9D">
            <w:pPr>
              <w:spacing w:before="360" w:after="48" w:line="240" w:lineRule="atLeast"/>
              <w:rPr>
                <w:position w:val="6"/>
              </w:rPr>
            </w:pPr>
            <w:bookmarkStart w:id="0" w:name="dc06"/>
            <w:bookmarkStart w:id="1" w:name="_Hlk66378539"/>
            <w:bookmarkEnd w:id="0"/>
            <w:r w:rsidRPr="00B84B9D">
              <w:rPr>
                <w:b/>
                <w:bCs/>
                <w:position w:val="6"/>
                <w:sz w:val="30"/>
                <w:szCs w:val="30"/>
              </w:rPr>
              <w:t>Council 20</w:t>
            </w:r>
            <w:r w:rsidR="004A1B8B" w:rsidRPr="00B84B9D">
              <w:rPr>
                <w:b/>
                <w:bCs/>
                <w:position w:val="6"/>
                <w:sz w:val="30"/>
                <w:szCs w:val="30"/>
              </w:rPr>
              <w:t>2</w:t>
            </w:r>
            <w:r w:rsidR="0014634F">
              <w:rPr>
                <w:b/>
                <w:bCs/>
                <w:position w:val="6"/>
                <w:sz w:val="30"/>
                <w:szCs w:val="30"/>
              </w:rPr>
              <w:t>2</w:t>
            </w:r>
            <w:r w:rsidRPr="00E85629">
              <w:rPr>
                <w:rFonts w:cs="Times"/>
                <w:b/>
                <w:position w:val="6"/>
                <w:sz w:val="26"/>
                <w:szCs w:val="26"/>
                <w:lang w:val="en-US"/>
              </w:rPr>
              <w:br/>
            </w:r>
            <w:bookmarkEnd w:id="1"/>
            <w:r w:rsidR="0014634F" w:rsidRPr="0014634F">
              <w:rPr>
                <w:b/>
                <w:bCs/>
                <w:position w:val="6"/>
                <w:sz w:val="26"/>
                <w:szCs w:val="26"/>
                <w:lang w:val="en-US"/>
              </w:rPr>
              <w:t>Geneva, 21-31 March 2022</w:t>
            </w:r>
          </w:p>
        </w:tc>
        <w:tc>
          <w:tcPr>
            <w:tcW w:w="3120" w:type="dxa"/>
          </w:tcPr>
          <w:p w14:paraId="60E83C12" w14:textId="77777777" w:rsidR="002A2188" w:rsidRPr="00813E5E" w:rsidRDefault="004A1B8B" w:rsidP="004A1B8B">
            <w:pPr>
              <w:spacing w:before="0" w:line="240" w:lineRule="atLeast"/>
            </w:pPr>
            <w:bookmarkStart w:id="2" w:name="ditulogo"/>
            <w:bookmarkEnd w:id="2"/>
            <w:r>
              <w:rPr>
                <w:noProof/>
                <w:lang w:eastAsia="en-GB"/>
              </w:rPr>
              <w:drawing>
                <wp:inline distT="0" distB="0" distL="0" distR="0" wp14:anchorId="429711E0" wp14:editId="38958B5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6DC308F" w14:textId="77777777" w:rsidTr="00464B6C">
        <w:trPr>
          <w:cantSplit/>
        </w:trPr>
        <w:tc>
          <w:tcPr>
            <w:tcW w:w="6911" w:type="dxa"/>
            <w:tcBorders>
              <w:bottom w:val="single" w:sz="12" w:space="0" w:color="auto"/>
            </w:tcBorders>
          </w:tcPr>
          <w:p w14:paraId="0E3A86C2" w14:textId="77777777" w:rsidR="002A2188" w:rsidRPr="00813E5E" w:rsidRDefault="002A2188" w:rsidP="0014634F">
            <w:pPr>
              <w:spacing w:before="0" w:line="240" w:lineRule="atLeast"/>
              <w:rPr>
                <w:b/>
                <w:smallCaps/>
                <w:szCs w:val="24"/>
              </w:rPr>
            </w:pPr>
          </w:p>
        </w:tc>
        <w:tc>
          <w:tcPr>
            <w:tcW w:w="3120" w:type="dxa"/>
            <w:tcBorders>
              <w:bottom w:val="single" w:sz="12" w:space="0" w:color="auto"/>
            </w:tcBorders>
          </w:tcPr>
          <w:p w14:paraId="76506FC1" w14:textId="77777777" w:rsidR="002A2188" w:rsidRPr="00813E5E" w:rsidRDefault="002A2188" w:rsidP="0014634F">
            <w:pPr>
              <w:spacing w:before="0" w:line="240" w:lineRule="atLeast"/>
              <w:rPr>
                <w:szCs w:val="24"/>
              </w:rPr>
            </w:pPr>
          </w:p>
        </w:tc>
      </w:tr>
      <w:tr w:rsidR="002A2188" w:rsidRPr="00813E5E" w14:paraId="5887DC04" w14:textId="77777777" w:rsidTr="00464B6C">
        <w:trPr>
          <w:cantSplit/>
        </w:trPr>
        <w:tc>
          <w:tcPr>
            <w:tcW w:w="6911" w:type="dxa"/>
            <w:tcBorders>
              <w:top w:val="single" w:sz="12" w:space="0" w:color="auto"/>
            </w:tcBorders>
          </w:tcPr>
          <w:p w14:paraId="483F91B9" w14:textId="77777777" w:rsidR="002A2188" w:rsidRPr="00813E5E" w:rsidRDefault="002A2188" w:rsidP="0014634F">
            <w:pPr>
              <w:spacing w:before="0" w:line="240" w:lineRule="atLeast"/>
              <w:rPr>
                <w:b/>
                <w:smallCaps/>
                <w:szCs w:val="24"/>
              </w:rPr>
            </w:pPr>
          </w:p>
        </w:tc>
        <w:tc>
          <w:tcPr>
            <w:tcW w:w="3120" w:type="dxa"/>
            <w:tcBorders>
              <w:top w:val="single" w:sz="12" w:space="0" w:color="auto"/>
            </w:tcBorders>
          </w:tcPr>
          <w:p w14:paraId="49C653C0" w14:textId="77777777" w:rsidR="002A2188" w:rsidRPr="00813E5E" w:rsidRDefault="002A2188" w:rsidP="0014634F">
            <w:pPr>
              <w:spacing w:before="0" w:line="240" w:lineRule="atLeast"/>
              <w:rPr>
                <w:szCs w:val="24"/>
              </w:rPr>
            </w:pPr>
          </w:p>
        </w:tc>
      </w:tr>
      <w:tr w:rsidR="002A2188" w:rsidRPr="00813E5E" w14:paraId="15B0AE9E" w14:textId="77777777" w:rsidTr="00464B6C">
        <w:trPr>
          <w:cantSplit/>
          <w:trHeight w:val="23"/>
        </w:trPr>
        <w:tc>
          <w:tcPr>
            <w:tcW w:w="6911" w:type="dxa"/>
            <w:vMerge w:val="restart"/>
          </w:tcPr>
          <w:p w14:paraId="6F107B8A" w14:textId="5E5C5C34" w:rsidR="002A2188" w:rsidRPr="00E85629" w:rsidRDefault="0014634F" w:rsidP="00846D20">
            <w:pPr>
              <w:tabs>
                <w:tab w:val="left" w:pos="851"/>
              </w:tabs>
              <w:spacing w:before="0" w:line="240" w:lineRule="atLeast"/>
              <w:rPr>
                <w:b/>
              </w:rPr>
            </w:pPr>
            <w:bookmarkStart w:id="3" w:name="dmeeting" w:colFirst="0" w:colLast="0"/>
            <w:bookmarkStart w:id="4" w:name="dnum" w:colFirst="1" w:colLast="1"/>
            <w:r>
              <w:rPr>
                <w:b/>
              </w:rPr>
              <w:t>Agenda item:</w:t>
            </w:r>
            <w:r w:rsidR="00596A03">
              <w:rPr>
                <w:b/>
              </w:rPr>
              <w:t xml:space="preserve"> </w:t>
            </w:r>
            <w:r w:rsidR="00D91489" w:rsidRPr="006133E7">
              <w:rPr>
                <w:b/>
              </w:rPr>
              <w:t xml:space="preserve">PL </w:t>
            </w:r>
            <w:r w:rsidR="00846D20" w:rsidRPr="006133E7">
              <w:rPr>
                <w:b/>
              </w:rPr>
              <w:t>1.6</w:t>
            </w:r>
          </w:p>
        </w:tc>
        <w:tc>
          <w:tcPr>
            <w:tcW w:w="3120" w:type="dxa"/>
          </w:tcPr>
          <w:p w14:paraId="66604129" w14:textId="01FBFAF4" w:rsidR="002A2188" w:rsidRPr="00E85629" w:rsidRDefault="002A2188" w:rsidP="00846D20">
            <w:pPr>
              <w:tabs>
                <w:tab w:val="left" w:pos="851"/>
              </w:tabs>
              <w:spacing w:before="0" w:line="240" w:lineRule="atLeast"/>
              <w:rPr>
                <w:b/>
              </w:rPr>
            </w:pPr>
            <w:r>
              <w:rPr>
                <w:b/>
              </w:rPr>
              <w:t>Document C</w:t>
            </w:r>
            <w:r w:rsidR="004A1B8B">
              <w:rPr>
                <w:b/>
              </w:rPr>
              <w:t>2</w:t>
            </w:r>
            <w:r w:rsidR="0014634F">
              <w:rPr>
                <w:b/>
              </w:rPr>
              <w:t>2</w:t>
            </w:r>
            <w:r>
              <w:rPr>
                <w:b/>
              </w:rPr>
              <w:t>/</w:t>
            </w:r>
            <w:r w:rsidR="005A2D7C" w:rsidRPr="005A2D7C">
              <w:rPr>
                <w:b/>
              </w:rPr>
              <w:t>55</w:t>
            </w:r>
            <w:r w:rsidRPr="005A2D7C">
              <w:rPr>
                <w:b/>
              </w:rPr>
              <w:t>-</w:t>
            </w:r>
            <w:r>
              <w:rPr>
                <w:b/>
              </w:rPr>
              <w:t>E</w:t>
            </w:r>
          </w:p>
        </w:tc>
      </w:tr>
      <w:tr w:rsidR="002A2188" w:rsidRPr="00813E5E" w14:paraId="275E195F" w14:textId="77777777" w:rsidTr="00464B6C">
        <w:trPr>
          <w:cantSplit/>
          <w:trHeight w:val="23"/>
        </w:trPr>
        <w:tc>
          <w:tcPr>
            <w:tcW w:w="6911" w:type="dxa"/>
            <w:vMerge/>
          </w:tcPr>
          <w:p w14:paraId="3627AC61" w14:textId="77777777" w:rsidR="002A2188" w:rsidRPr="00813E5E" w:rsidRDefault="002A2188" w:rsidP="0014634F">
            <w:pPr>
              <w:tabs>
                <w:tab w:val="left" w:pos="851"/>
              </w:tabs>
              <w:spacing w:before="0" w:line="240" w:lineRule="atLeast"/>
              <w:rPr>
                <w:b/>
              </w:rPr>
            </w:pPr>
            <w:bookmarkStart w:id="5" w:name="ddate" w:colFirst="1" w:colLast="1"/>
            <w:bookmarkEnd w:id="3"/>
            <w:bookmarkEnd w:id="4"/>
          </w:p>
        </w:tc>
        <w:tc>
          <w:tcPr>
            <w:tcW w:w="3120" w:type="dxa"/>
          </w:tcPr>
          <w:p w14:paraId="2B0CDBEF" w14:textId="1CBCAA72" w:rsidR="002A2188" w:rsidRPr="00E85629" w:rsidRDefault="00972E19" w:rsidP="0014634F">
            <w:pPr>
              <w:tabs>
                <w:tab w:val="left" w:pos="993"/>
              </w:tabs>
              <w:spacing w:before="0"/>
              <w:rPr>
                <w:b/>
              </w:rPr>
            </w:pPr>
            <w:r>
              <w:rPr>
                <w:b/>
              </w:rPr>
              <w:t>18</w:t>
            </w:r>
            <w:r w:rsidR="002A2188">
              <w:rPr>
                <w:b/>
              </w:rPr>
              <w:t xml:space="preserve"> </w:t>
            </w:r>
            <w:r w:rsidR="00596A03">
              <w:rPr>
                <w:b/>
              </w:rPr>
              <w:t>February</w:t>
            </w:r>
            <w:r w:rsidR="002A2188">
              <w:rPr>
                <w:b/>
              </w:rPr>
              <w:t xml:space="preserve"> 20</w:t>
            </w:r>
            <w:r w:rsidR="004A1B8B">
              <w:rPr>
                <w:b/>
              </w:rPr>
              <w:t>2</w:t>
            </w:r>
            <w:r w:rsidR="00E3513C">
              <w:rPr>
                <w:b/>
              </w:rPr>
              <w:t>2</w:t>
            </w:r>
          </w:p>
        </w:tc>
      </w:tr>
      <w:tr w:rsidR="002A2188" w:rsidRPr="00813E5E" w14:paraId="29B42488" w14:textId="77777777" w:rsidTr="00464B6C">
        <w:trPr>
          <w:cantSplit/>
          <w:trHeight w:val="23"/>
        </w:trPr>
        <w:tc>
          <w:tcPr>
            <w:tcW w:w="6911" w:type="dxa"/>
            <w:vMerge/>
          </w:tcPr>
          <w:p w14:paraId="6000182B" w14:textId="77777777" w:rsidR="002A2188" w:rsidRPr="00813E5E" w:rsidRDefault="002A2188" w:rsidP="0014634F">
            <w:pPr>
              <w:tabs>
                <w:tab w:val="left" w:pos="851"/>
              </w:tabs>
              <w:spacing w:before="0" w:line="240" w:lineRule="atLeast"/>
              <w:rPr>
                <w:b/>
              </w:rPr>
            </w:pPr>
            <w:bookmarkStart w:id="6" w:name="dorlang" w:colFirst="1" w:colLast="1"/>
            <w:bookmarkEnd w:id="5"/>
          </w:p>
        </w:tc>
        <w:tc>
          <w:tcPr>
            <w:tcW w:w="3120" w:type="dxa"/>
          </w:tcPr>
          <w:p w14:paraId="7EAC0E79" w14:textId="77777777" w:rsidR="002A2188" w:rsidRPr="00E85629" w:rsidRDefault="002A2188" w:rsidP="0014634F">
            <w:pPr>
              <w:tabs>
                <w:tab w:val="left" w:pos="993"/>
              </w:tabs>
              <w:spacing w:before="0"/>
              <w:rPr>
                <w:b/>
              </w:rPr>
            </w:pPr>
            <w:r>
              <w:rPr>
                <w:b/>
              </w:rPr>
              <w:t>Original: English</w:t>
            </w:r>
          </w:p>
        </w:tc>
      </w:tr>
      <w:tr w:rsidR="002A2188" w:rsidRPr="00813E5E" w14:paraId="79546A94" w14:textId="77777777" w:rsidTr="00464B6C">
        <w:trPr>
          <w:cantSplit/>
        </w:trPr>
        <w:tc>
          <w:tcPr>
            <w:tcW w:w="10031" w:type="dxa"/>
            <w:gridSpan w:val="2"/>
          </w:tcPr>
          <w:p w14:paraId="7EEA3085" w14:textId="51D35CBB" w:rsidR="002A2188" w:rsidRPr="00813E5E" w:rsidRDefault="0014634F" w:rsidP="00464B6C">
            <w:pPr>
              <w:pStyle w:val="Source"/>
            </w:pPr>
            <w:bookmarkStart w:id="7" w:name="dsource" w:colFirst="0" w:colLast="0"/>
            <w:bookmarkEnd w:id="6"/>
            <w:r w:rsidRPr="0014634F">
              <w:t xml:space="preserve">Report by the </w:t>
            </w:r>
            <w:r w:rsidR="00596A03">
              <w:t xml:space="preserve">Chairman of the Council Working Group on </w:t>
            </w:r>
            <w:r w:rsidR="00846D20">
              <w:t>the use of the six official languages of the Union (CWG-LANG)</w:t>
            </w:r>
          </w:p>
        </w:tc>
      </w:tr>
      <w:tr w:rsidR="002A2188" w:rsidRPr="00813E5E" w14:paraId="5B5E8CC5" w14:textId="77777777" w:rsidTr="00464B6C">
        <w:trPr>
          <w:cantSplit/>
        </w:trPr>
        <w:tc>
          <w:tcPr>
            <w:tcW w:w="10031" w:type="dxa"/>
            <w:gridSpan w:val="2"/>
          </w:tcPr>
          <w:p w14:paraId="3689B12B" w14:textId="6E199481" w:rsidR="002A2188" w:rsidRPr="00813E5E" w:rsidRDefault="00596A03" w:rsidP="00846D20">
            <w:pPr>
              <w:pStyle w:val="Title1"/>
            </w:pPr>
            <w:bookmarkStart w:id="8" w:name="_Hlk94888833"/>
            <w:bookmarkStart w:id="9" w:name="dtitle1" w:colFirst="0" w:colLast="0"/>
            <w:bookmarkEnd w:id="7"/>
            <w:r>
              <w:t xml:space="preserve">four-year </w:t>
            </w:r>
            <w:r w:rsidRPr="008571D7">
              <w:t xml:space="preserve">Report </w:t>
            </w:r>
            <w:r>
              <w:t xml:space="preserve">of </w:t>
            </w:r>
            <w:r w:rsidRPr="008571D7">
              <w:t xml:space="preserve">the Council Working Group </w:t>
            </w:r>
            <w:r w:rsidRPr="008571D7">
              <w:br/>
              <w:t>on</w:t>
            </w:r>
            <w:r>
              <w:t xml:space="preserve"> </w:t>
            </w:r>
            <w:r w:rsidR="00846D20">
              <w:t>languages</w:t>
            </w:r>
            <w:bookmarkEnd w:id="8"/>
          </w:p>
        </w:tc>
      </w:tr>
      <w:bookmarkEnd w:id="9"/>
    </w:tbl>
    <w:p w14:paraId="554B4CB6"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1DF07826"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44CAD894" w14:textId="77777777" w:rsidR="002A2188" w:rsidRPr="00813E5E" w:rsidRDefault="002A2188" w:rsidP="008532FE">
            <w:pPr>
              <w:pStyle w:val="Headingb"/>
              <w:spacing w:before="120" w:after="120"/>
            </w:pPr>
            <w:r w:rsidRPr="00813E5E">
              <w:t>Summary</w:t>
            </w:r>
          </w:p>
          <w:p w14:paraId="779A77EC" w14:textId="77777777" w:rsidR="00846D20" w:rsidRPr="00653FDE" w:rsidRDefault="00846D20" w:rsidP="00846D20">
            <w:pPr>
              <w:spacing w:before="160"/>
              <w:jc w:val="both"/>
              <w:rPr>
                <w:szCs w:val="24"/>
              </w:rPr>
            </w:pPr>
            <w:r w:rsidRPr="00653FDE">
              <w:rPr>
                <w:rFonts w:asciiTheme="minorHAnsi" w:hAnsiTheme="minorHAnsi"/>
                <w:color w:val="000000"/>
              </w:rPr>
              <w:t xml:space="preserve">This Report summarizes the activities and achievements of the Council Working Group on Languages (CWG-LANG) over the period 2019-2022, in accordance with </w:t>
            </w:r>
            <w:r w:rsidRPr="00653FDE">
              <w:rPr>
                <w:szCs w:val="24"/>
              </w:rPr>
              <w:t>Resolution 154 (Rev. Dubai, 2018) and Council Resolution 1372 (Rev. 201</w:t>
            </w:r>
            <w:r>
              <w:rPr>
                <w:szCs w:val="24"/>
              </w:rPr>
              <w:t>9</w:t>
            </w:r>
            <w:r w:rsidRPr="00653FDE">
              <w:rPr>
                <w:szCs w:val="24"/>
              </w:rPr>
              <w:t>).</w:t>
            </w:r>
          </w:p>
          <w:p w14:paraId="17A30379" w14:textId="77777777" w:rsidR="002A2188" w:rsidRPr="00813E5E" w:rsidRDefault="002A2188" w:rsidP="008532FE">
            <w:pPr>
              <w:pStyle w:val="Headingb"/>
              <w:spacing w:before="120" w:after="120"/>
            </w:pPr>
            <w:r w:rsidRPr="00813E5E">
              <w:t>Action required</w:t>
            </w:r>
          </w:p>
          <w:p w14:paraId="63C8FCD7" w14:textId="514BA163" w:rsidR="002A2188" w:rsidRPr="00813E5E" w:rsidRDefault="00D91489" w:rsidP="008532FE">
            <w:pPr>
              <w:spacing w:after="120"/>
            </w:pPr>
            <w:r w:rsidRPr="00D91489">
              <w:t xml:space="preserve">The Council is invited </w:t>
            </w:r>
            <w:r w:rsidRPr="00D91489">
              <w:rPr>
                <w:b/>
                <w:bCs/>
              </w:rPr>
              <w:t xml:space="preserve">to </w:t>
            </w:r>
            <w:r w:rsidR="00E02273">
              <w:rPr>
                <w:b/>
                <w:bCs/>
              </w:rPr>
              <w:t xml:space="preserve">consider </w:t>
            </w:r>
            <w:r w:rsidR="00E02273" w:rsidRPr="00E02273">
              <w:t>this report and</w:t>
            </w:r>
            <w:r w:rsidR="00E02273">
              <w:rPr>
                <w:b/>
                <w:bCs/>
              </w:rPr>
              <w:t xml:space="preserve"> to </w:t>
            </w:r>
            <w:r w:rsidRPr="00D91489">
              <w:rPr>
                <w:b/>
                <w:bCs/>
              </w:rPr>
              <w:t>submit</w:t>
            </w:r>
            <w:r w:rsidRPr="00D91489">
              <w:t xml:space="preserve"> </w:t>
            </w:r>
            <w:r w:rsidR="00E02273">
              <w:t xml:space="preserve">its recommendations to the </w:t>
            </w:r>
            <w:r w:rsidRPr="00D91489">
              <w:t>Plenipotentiary Conference as appropriate.</w:t>
            </w:r>
          </w:p>
          <w:p w14:paraId="3098B3AD" w14:textId="77777777" w:rsidR="002A2188" w:rsidRPr="00813E5E" w:rsidRDefault="002A2188" w:rsidP="008532FE">
            <w:pPr>
              <w:pStyle w:val="Table"/>
              <w:keepNext w:val="0"/>
              <w:spacing w:before="120"/>
              <w:rPr>
                <w:rFonts w:ascii="Calibri" w:hAnsi="Calibri"/>
                <w:caps w:val="0"/>
                <w:sz w:val="22"/>
              </w:rPr>
            </w:pPr>
            <w:r w:rsidRPr="00813E5E">
              <w:rPr>
                <w:rFonts w:ascii="Calibri" w:hAnsi="Calibri"/>
                <w:caps w:val="0"/>
                <w:sz w:val="22"/>
              </w:rPr>
              <w:t>____________</w:t>
            </w:r>
          </w:p>
          <w:p w14:paraId="6D31B914" w14:textId="77777777" w:rsidR="002A2188" w:rsidRPr="00813E5E" w:rsidRDefault="002A2188" w:rsidP="008532FE">
            <w:pPr>
              <w:pStyle w:val="Headingb"/>
              <w:spacing w:before="120" w:after="120"/>
            </w:pPr>
            <w:r w:rsidRPr="00813E5E">
              <w:t>References</w:t>
            </w:r>
          </w:p>
          <w:p w14:paraId="47763C34" w14:textId="241872E1" w:rsidR="002A2188" w:rsidRPr="00813E5E" w:rsidRDefault="00972E19" w:rsidP="00846D20">
            <w:pPr>
              <w:spacing w:after="120"/>
              <w:rPr>
                <w:i/>
                <w:iCs/>
              </w:rPr>
            </w:pPr>
            <w:hyperlink r:id="rId9" w:history="1">
              <w:r w:rsidR="00596A03" w:rsidRPr="00954032">
                <w:rPr>
                  <w:rStyle w:val="Hyperlink"/>
                  <w:i/>
                  <w:iCs/>
                </w:rPr>
                <w:t>Plenipotentiary Conference Decision 11 (Rev. Dubai, 2018)</w:t>
              </w:r>
            </w:hyperlink>
            <w:r w:rsidR="00596A03">
              <w:rPr>
                <w:i/>
                <w:iCs/>
              </w:rPr>
              <w:br/>
            </w:r>
            <w:hyperlink r:id="rId10" w:history="1">
              <w:r w:rsidR="00596A03" w:rsidRPr="006133E7">
                <w:rPr>
                  <w:rStyle w:val="Hyperlink"/>
                  <w:i/>
                  <w:iCs/>
                </w:rPr>
                <w:t>CWG-</w:t>
              </w:r>
              <w:r w:rsidR="00846D20" w:rsidRPr="006133E7">
                <w:rPr>
                  <w:rStyle w:val="Hyperlink"/>
                  <w:i/>
                  <w:iCs/>
                </w:rPr>
                <w:t>LANG</w:t>
              </w:r>
              <w:r w:rsidR="00596A03" w:rsidRPr="006133E7">
                <w:rPr>
                  <w:rStyle w:val="Hyperlink"/>
                  <w:i/>
                  <w:iCs/>
                </w:rPr>
                <w:t xml:space="preserve"> website</w:t>
              </w:r>
            </w:hyperlink>
            <w:r w:rsidR="00596A03">
              <w:rPr>
                <w:i/>
                <w:iCs/>
              </w:rPr>
              <w:t xml:space="preserve"> </w:t>
            </w:r>
          </w:p>
        </w:tc>
      </w:tr>
    </w:tbl>
    <w:p w14:paraId="0F8EBB32" w14:textId="5D7B34BF" w:rsidR="00D91489" w:rsidRDefault="00D91489" w:rsidP="008532FE">
      <w:pPr>
        <w:pStyle w:val="ListParagraph"/>
        <w:numPr>
          <w:ilvl w:val="0"/>
          <w:numId w:val="2"/>
        </w:numPr>
        <w:tabs>
          <w:tab w:val="clear" w:pos="567"/>
          <w:tab w:val="clear" w:pos="1134"/>
          <w:tab w:val="clear" w:pos="1701"/>
          <w:tab w:val="clear" w:pos="2268"/>
          <w:tab w:val="clear" w:pos="2835"/>
        </w:tabs>
        <w:spacing w:before="360" w:after="120"/>
        <w:ind w:left="0"/>
        <w:contextualSpacing w:val="0"/>
        <w:rPr>
          <w:b/>
          <w:bCs/>
          <w:lang w:val="en-US"/>
        </w:rPr>
      </w:pPr>
      <w:bookmarkStart w:id="10" w:name="dstart"/>
      <w:bookmarkStart w:id="11" w:name="dbreak"/>
      <w:bookmarkEnd w:id="10"/>
      <w:bookmarkEnd w:id="11"/>
      <w:r w:rsidRPr="00E02273">
        <w:rPr>
          <w:b/>
          <w:bCs/>
          <w:lang w:val="en-US"/>
        </w:rPr>
        <w:t>Introduction</w:t>
      </w:r>
    </w:p>
    <w:p w14:paraId="1663C0E2" w14:textId="440C980C" w:rsidR="004C6F52" w:rsidRDefault="004C6F52" w:rsidP="00C52608">
      <w:pPr>
        <w:tabs>
          <w:tab w:val="clear" w:pos="567"/>
          <w:tab w:val="clear" w:pos="1134"/>
          <w:tab w:val="clear" w:pos="1701"/>
          <w:tab w:val="clear" w:pos="2268"/>
          <w:tab w:val="clear" w:pos="2835"/>
        </w:tabs>
        <w:spacing w:after="120"/>
        <w:jc w:val="both"/>
        <w:rPr>
          <w:rFonts w:asciiTheme="minorHAnsi" w:hAnsiTheme="minorHAnsi" w:cstheme="majorBidi"/>
        </w:rPr>
      </w:pPr>
      <w:r w:rsidRPr="00653FDE">
        <w:rPr>
          <w:rFonts w:asciiTheme="minorHAnsi" w:hAnsiTheme="minorHAnsi"/>
          <w:szCs w:val="22"/>
        </w:rPr>
        <w:t>As per Resolution 154 (Rev. Dubai, 2018) and Council Resolution 1372, t</w:t>
      </w:r>
      <w:r w:rsidRPr="00653FDE">
        <w:rPr>
          <w:rFonts w:asciiTheme="minorHAnsi" w:hAnsiTheme="minorHAnsi" w:cstheme="majorBidi"/>
        </w:rPr>
        <w:t xml:space="preserve">he Council Working Group </w:t>
      </w:r>
      <w:r w:rsidRPr="00653FDE">
        <w:rPr>
          <w:rFonts w:asciiTheme="minorHAnsi" w:hAnsiTheme="minorHAnsi" w:cstheme="majorBidi"/>
          <w:color w:val="000000"/>
        </w:rPr>
        <w:t xml:space="preserve">on Languages (CWG-LANG) is </w:t>
      </w:r>
      <w:r>
        <w:rPr>
          <w:rFonts w:asciiTheme="minorHAnsi" w:hAnsiTheme="minorHAnsi" w:cstheme="majorBidi"/>
          <w:color w:val="000000"/>
        </w:rPr>
        <w:t>mandated</w:t>
      </w:r>
      <w:r>
        <w:rPr>
          <w:rFonts w:asciiTheme="minorHAnsi" w:hAnsiTheme="minorHAnsi"/>
          <w:szCs w:val="22"/>
        </w:rPr>
        <w:t xml:space="preserve"> to continue to take all necessary measures to ensure the use of the six official languages of the Union on an equal footing, and to provide interpretation and translation of ITU documentation.</w:t>
      </w:r>
    </w:p>
    <w:p w14:paraId="5CE3A71C" w14:textId="66989B61" w:rsidR="004C6F52" w:rsidRPr="00E02273" w:rsidRDefault="004C6F52" w:rsidP="00C52608">
      <w:pPr>
        <w:tabs>
          <w:tab w:val="clear" w:pos="567"/>
          <w:tab w:val="clear" w:pos="1134"/>
          <w:tab w:val="clear" w:pos="1701"/>
          <w:tab w:val="clear" w:pos="2268"/>
          <w:tab w:val="clear" w:pos="2835"/>
        </w:tabs>
        <w:spacing w:after="120"/>
        <w:rPr>
          <w:lang w:val="en-US"/>
        </w:rPr>
      </w:pPr>
      <w:r>
        <w:rPr>
          <w:rFonts w:asciiTheme="minorHAnsi" w:hAnsiTheme="minorHAnsi"/>
          <w:szCs w:val="22"/>
        </w:rPr>
        <w:t xml:space="preserve">Chaired by </w:t>
      </w:r>
      <w:r w:rsidRPr="00011681">
        <w:rPr>
          <w:rFonts w:cs="Calibri"/>
          <w:b/>
          <w:bCs/>
          <w:szCs w:val="24"/>
        </w:rPr>
        <w:t>Monia Jaber Khalfallah</w:t>
      </w:r>
      <w:r w:rsidRPr="004F11D7">
        <w:rPr>
          <w:rFonts w:cs="Calibri"/>
          <w:bCs/>
          <w:szCs w:val="24"/>
        </w:rPr>
        <w:t xml:space="preserve"> </w:t>
      </w:r>
      <w:r w:rsidRPr="00F40E30">
        <w:rPr>
          <w:rFonts w:asciiTheme="minorHAnsi" w:hAnsiTheme="minorHAnsi" w:cstheme="majorBidi"/>
          <w:b/>
          <w:szCs w:val="22"/>
        </w:rPr>
        <w:t>(</w:t>
      </w:r>
      <w:r>
        <w:rPr>
          <w:rFonts w:asciiTheme="minorHAnsi" w:hAnsiTheme="minorHAnsi" w:cstheme="majorBidi"/>
          <w:b/>
          <w:szCs w:val="22"/>
        </w:rPr>
        <w:t>Tunisia</w:t>
      </w:r>
      <w:r w:rsidRPr="00F40E30">
        <w:rPr>
          <w:rFonts w:asciiTheme="minorHAnsi" w:hAnsiTheme="minorHAnsi" w:cstheme="majorBidi"/>
          <w:b/>
          <w:szCs w:val="22"/>
        </w:rPr>
        <w:t>)</w:t>
      </w:r>
      <w:r>
        <w:rPr>
          <w:rFonts w:asciiTheme="minorHAnsi" w:hAnsiTheme="minorHAnsi" w:cstheme="majorBidi"/>
          <w:b/>
          <w:szCs w:val="22"/>
        </w:rPr>
        <w:t xml:space="preserve"> </w:t>
      </w:r>
      <w:r w:rsidRPr="004C6F52">
        <w:rPr>
          <w:rFonts w:asciiTheme="minorHAnsi" w:hAnsiTheme="minorHAnsi" w:cstheme="majorBidi"/>
          <w:szCs w:val="22"/>
        </w:rPr>
        <w:t xml:space="preserve">throughout the period 2019 -2022, the </w:t>
      </w:r>
      <w:r>
        <w:rPr>
          <w:rFonts w:asciiTheme="minorHAnsi" w:hAnsiTheme="minorHAnsi" w:cstheme="majorBidi"/>
          <w:szCs w:val="22"/>
        </w:rPr>
        <w:t xml:space="preserve">work of </w:t>
      </w:r>
      <w:r w:rsidRPr="004C6F52">
        <w:rPr>
          <w:rFonts w:asciiTheme="minorHAnsi" w:hAnsiTheme="minorHAnsi" w:cstheme="majorBidi"/>
          <w:szCs w:val="22"/>
        </w:rPr>
        <w:t>CWG-LANG</w:t>
      </w:r>
      <w:r w:rsidRPr="004C6F52">
        <w:rPr>
          <w:lang w:val="en-US"/>
        </w:rPr>
        <w:t xml:space="preserve"> </w:t>
      </w:r>
      <w:r>
        <w:rPr>
          <w:lang w:val="en-US"/>
        </w:rPr>
        <w:t>focused on:</w:t>
      </w:r>
    </w:p>
    <w:p w14:paraId="5AEE346D" w14:textId="295A8F9B" w:rsidR="004C6F52" w:rsidRPr="004C6F52" w:rsidRDefault="004C6F52" w:rsidP="00C52608">
      <w:pPr>
        <w:tabs>
          <w:tab w:val="clear" w:pos="567"/>
          <w:tab w:val="clear" w:pos="1134"/>
          <w:tab w:val="clear" w:pos="1701"/>
          <w:tab w:val="clear" w:pos="2268"/>
          <w:tab w:val="clear" w:pos="2835"/>
          <w:tab w:val="left" w:pos="709"/>
        </w:tabs>
        <w:spacing w:after="120"/>
        <w:jc w:val="both"/>
        <w:rPr>
          <w:lang w:val="en-US"/>
        </w:rPr>
      </w:pPr>
      <w:r w:rsidRPr="004C6F52">
        <w:rPr>
          <w:rFonts w:asciiTheme="minorHAnsi" w:hAnsiTheme="minorHAnsi"/>
          <w:bCs/>
          <w:szCs w:val="22"/>
        </w:rPr>
        <w:t>a)</w:t>
      </w:r>
      <w:r w:rsidRPr="004C6F52">
        <w:rPr>
          <w:rFonts w:asciiTheme="minorHAnsi" w:hAnsiTheme="minorHAnsi"/>
          <w:bCs/>
          <w:szCs w:val="22"/>
        </w:rPr>
        <w:tab/>
        <w:t xml:space="preserve">Analysis of </w:t>
      </w:r>
      <w:r w:rsidRPr="004C6F52">
        <w:rPr>
          <w:rFonts w:cs="Calibri"/>
          <w:bCs/>
          <w:szCs w:val="24"/>
        </w:rPr>
        <w:t>translation and interpretation budget and procedures in the six official languages.</w:t>
      </w:r>
    </w:p>
    <w:p w14:paraId="7F5E14A2" w14:textId="2639C6DF" w:rsidR="004C6F52" w:rsidRPr="004C6F52" w:rsidRDefault="004C6F52" w:rsidP="00C52608">
      <w:pPr>
        <w:tabs>
          <w:tab w:val="clear" w:pos="567"/>
          <w:tab w:val="clear" w:pos="1134"/>
          <w:tab w:val="clear" w:pos="1701"/>
          <w:tab w:val="clear" w:pos="2268"/>
          <w:tab w:val="clear" w:pos="2835"/>
          <w:tab w:val="left" w:pos="709"/>
        </w:tabs>
        <w:spacing w:after="120"/>
        <w:jc w:val="both"/>
        <w:rPr>
          <w:lang w:val="en-US"/>
        </w:rPr>
      </w:pPr>
      <w:r w:rsidRPr="004C6F52">
        <w:rPr>
          <w:rFonts w:asciiTheme="minorHAnsi" w:hAnsiTheme="minorHAnsi"/>
          <w:bCs/>
          <w:szCs w:val="22"/>
        </w:rPr>
        <w:t>b)</w:t>
      </w:r>
      <w:r w:rsidRPr="004C6F52">
        <w:rPr>
          <w:rFonts w:asciiTheme="minorHAnsi" w:hAnsiTheme="minorHAnsi"/>
          <w:bCs/>
          <w:szCs w:val="22"/>
        </w:rPr>
        <w:tab/>
      </w:r>
      <w:r w:rsidRPr="004C6F52">
        <w:rPr>
          <w:rFonts w:cs="Calibri"/>
          <w:bCs/>
          <w:szCs w:val="24"/>
        </w:rPr>
        <w:t>Statistics on use, download and purchase of different language versions of ITU documents</w:t>
      </w:r>
      <w:r w:rsidRPr="004C6F52">
        <w:rPr>
          <w:lang w:val="en-US"/>
        </w:rPr>
        <w:t>.</w:t>
      </w:r>
    </w:p>
    <w:p w14:paraId="574A7F4A" w14:textId="704BDC97" w:rsidR="004C6F52" w:rsidRPr="004C6F52" w:rsidRDefault="004C6F52" w:rsidP="00C52608">
      <w:pPr>
        <w:tabs>
          <w:tab w:val="clear" w:pos="567"/>
          <w:tab w:val="clear" w:pos="1134"/>
          <w:tab w:val="clear" w:pos="1701"/>
          <w:tab w:val="clear" w:pos="2268"/>
          <w:tab w:val="clear" w:pos="2835"/>
          <w:tab w:val="left" w:pos="709"/>
        </w:tabs>
        <w:spacing w:after="120"/>
        <w:jc w:val="both"/>
        <w:rPr>
          <w:lang w:val="en-US"/>
        </w:rPr>
      </w:pPr>
      <w:r w:rsidRPr="004C6F52">
        <w:rPr>
          <w:rFonts w:asciiTheme="minorHAnsi" w:hAnsiTheme="minorHAnsi"/>
          <w:bCs/>
          <w:szCs w:val="22"/>
        </w:rPr>
        <w:t>c)</w:t>
      </w:r>
      <w:r w:rsidRPr="004C6F52">
        <w:rPr>
          <w:rFonts w:asciiTheme="minorHAnsi" w:hAnsiTheme="minorHAnsi"/>
          <w:bCs/>
          <w:szCs w:val="22"/>
        </w:rPr>
        <w:tab/>
      </w:r>
      <w:r w:rsidRPr="004C6F52">
        <w:rPr>
          <w:rFonts w:cs="Calibri"/>
          <w:bCs/>
          <w:szCs w:val="24"/>
        </w:rPr>
        <w:t>Participation in inter-institutional meetings to benchmark tools and procedures-</w:t>
      </w:r>
    </w:p>
    <w:p w14:paraId="60021E36" w14:textId="118F182E" w:rsidR="004C6F52" w:rsidRPr="004C6F52" w:rsidRDefault="004C6F52" w:rsidP="00C52608">
      <w:pPr>
        <w:tabs>
          <w:tab w:val="clear" w:pos="567"/>
          <w:tab w:val="clear" w:pos="1134"/>
          <w:tab w:val="clear" w:pos="1701"/>
          <w:tab w:val="clear" w:pos="2268"/>
          <w:tab w:val="clear" w:pos="2835"/>
          <w:tab w:val="left" w:pos="709"/>
        </w:tabs>
        <w:spacing w:after="120"/>
        <w:jc w:val="both"/>
        <w:rPr>
          <w:lang w:val="en-US"/>
        </w:rPr>
      </w:pPr>
      <w:r w:rsidRPr="004C6F52">
        <w:rPr>
          <w:rFonts w:asciiTheme="minorHAnsi" w:hAnsiTheme="minorHAnsi"/>
          <w:bCs/>
          <w:szCs w:val="22"/>
        </w:rPr>
        <w:t>d)</w:t>
      </w:r>
      <w:r w:rsidRPr="004C6F52">
        <w:rPr>
          <w:rFonts w:asciiTheme="minorHAnsi" w:hAnsiTheme="minorHAnsi"/>
          <w:bCs/>
          <w:szCs w:val="22"/>
        </w:rPr>
        <w:tab/>
      </w:r>
      <w:r w:rsidRPr="004C6F52">
        <w:rPr>
          <w:rFonts w:cs="Calibri"/>
          <w:bCs/>
          <w:szCs w:val="24"/>
        </w:rPr>
        <w:t>Study and evaluation of alternative translation procedures</w:t>
      </w:r>
      <w:r w:rsidRPr="004C6F52">
        <w:rPr>
          <w:lang w:val="en-US"/>
        </w:rPr>
        <w:t>.</w:t>
      </w:r>
    </w:p>
    <w:p w14:paraId="4C4DDFC6" w14:textId="14470951" w:rsidR="004C6F52" w:rsidRPr="004C6F52" w:rsidRDefault="004C6F52" w:rsidP="00C52608">
      <w:pPr>
        <w:tabs>
          <w:tab w:val="clear" w:pos="567"/>
          <w:tab w:val="clear" w:pos="1134"/>
          <w:tab w:val="clear" w:pos="1701"/>
          <w:tab w:val="clear" w:pos="2268"/>
          <w:tab w:val="clear" w:pos="2835"/>
          <w:tab w:val="left" w:pos="709"/>
        </w:tabs>
        <w:spacing w:after="120"/>
        <w:jc w:val="both"/>
        <w:rPr>
          <w:rFonts w:cs="Calibri"/>
          <w:bCs/>
          <w:szCs w:val="24"/>
        </w:rPr>
      </w:pPr>
      <w:r w:rsidRPr="004C6F52">
        <w:rPr>
          <w:rFonts w:asciiTheme="minorHAnsi" w:hAnsiTheme="minorHAnsi"/>
          <w:bCs/>
          <w:szCs w:val="22"/>
          <w:lang w:val="en-US"/>
        </w:rPr>
        <w:t>e</w:t>
      </w:r>
      <w:r w:rsidRPr="004C6F52">
        <w:rPr>
          <w:rFonts w:asciiTheme="minorHAnsi" w:hAnsiTheme="minorHAnsi"/>
          <w:bCs/>
          <w:szCs w:val="22"/>
        </w:rPr>
        <w:t>)</w:t>
      </w:r>
      <w:r w:rsidRPr="004C6F52">
        <w:rPr>
          <w:rFonts w:asciiTheme="minorHAnsi" w:hAnsiTheme="minorHAnsi"/>
          <w:bCs/>
          <w:szCs w:val="22"/>
        </w:rPr>
        <w:tab/>
      </w:r>
      <w:r w:rsidRPr="004C6F52">
        <w:rPr>
          <w:rFonts w:cs="Calibri"/>
          <w:bCs/>
          <w:szCs w:val="24"/>
        </w:rPr>
        <w:t xml:space="preserve">Efforts to improve the use of the six languages on the ITU website on an equal footing. </w:t>
      </w:r>
    </w:p>
    <w:p w14:paraId="628E86D2" w14:textId="043D1623" w:rsidR="004C6F52" w:rsidRPr="004C6F52" w:rsidRDefault="004C6F52" w:rsidP="00C52608">
      <w:pPr>
        <w:snapToGrid w:val="0"/>
        <w:spacing w:after="120"/>
        <w:jc w:val="both"/>
        <w:rPr>
          <w:rFonts w:cs="Calibri"/>
          <w:bCs/>
          <w:szCs w:val="24"/>
        </w:rPr>
      </w:pPr>
      <w:r w:rsidRPr="004C6F52">
        <w:rPr>
          <w:rFonts w:asciiTheme="minorHAnsi" w:hAnsiTheme="minorHAnsi"/>
          <w:bCs/>
          <w:szCs w:val="22"/>
        </w:rPr>
        <w:lastRenderedPageBreak/>
        <w:t>f)</w:t>
      </w:r>
      <w:r w:rsidRPr="004C6F52">
        <w:rPr>
          <w:rFonts w:asciiTheme="minorHAnsi" w:hAnsiTheme="minorHAnsi"/>
          <w:bCs/>
          <w:szCs w:val="22"/>
        </w:rPr>
        <w:tab/>
      </w:r>
      <w:r w:rsidRPr="004C6F52">
        <w:rPr>
          <w:rFonts w:cs="Calibri"/>
          <w:bCs/>
          <w:szCs w:val="24"/>
        </w:rPr>
        <w:t>Establishment of an Intersectoral Group on Multilingualism.</w:t>
      </w:r>
    </w:p>
    <w:p w14:paraId="238B9F65" w14:textId="709426A9" w:rsidR="004C6F52" w:rsidRPr="004C6F52" w:rsidRDefault="004C6F52" w:rsidP="00C52608">
      <w:pPr>
        <w:snapToGrid w:val="0"/>
        <w:spacing w:after="120"/>
        <w:jc w:val="both"/>
        <w:rPr>
          <w:lang w:val="en-US"/>
        </w:rPr>
      </w:pPr>
      <w:r w:rsidRPr="004C6F52">
        <w:rPr>
          <w:rFonts w:asciiTheme="minorHAnsi" w:hAnsiTheme="minorHAnsi"/>
          <w:bCs/>
          <w:szCs w:val="22"/>
        </w:rPr>
        <w:t>g)</w:t>
      </w:r>
      <w:r w:rsidRPr="004C6F52">
        <w:rPr>
          <w:rFonts w:asciiTheme="minorHAnsi" w:hAnsiTheme="minorHAnsi"/>
          <w:bCs/>
          <w:szCs w:val="22"/>
        </w:rPr>
        <w:tab/>
      </w:r>
      <w:r w:rsidRPr="004C6F52">
        <w:rPr>
          <w:rFonts w:cs="Calibri"/>
          <w:bCs/>
          <w:szCs w:val="24"/>
        </w:rPr>
        <w:t>Development of a Multilingualism Policy Framework</w:t>
      </w:r>
      <w:r w:rsidRPr="004C6F52">
        <w:rPr>
          <w:lang w:val="en-US"/>
        </w:rPr>
        <w:t xml:space="preserve">. </w:t>
      </w:r>
    </w:p>
    <w:p w14:paraId="201EE9D2" w14:textId="18DAEA75" w:rsidR="00D91489" w:rsidRDefault="00362C90" w:rsidP="008532FE">
      <w:pPr>
        <w:pStyle w:val="ListParagraph"/>
        <w:numPr>
          <w:ilvl w:val="0"/>
          <w:numId w:val="2"/>
        </w:numPr>
        <w:tabs>
          <w:tab w:val="clear" w:pos="567"/>
          <w:tab w:val="clear" w:pos="1134"/>
          <w:tab w:val="clear" w:pos="1701"/>
          <w:tab w:val="clear" w:pos="2268"/>
          <w:tab w:val="clear" w:pos="2835"/>
        </w:tabs>
        <w:spacing w:before="360" w:after="120"/>
        <w:ind w:left="0"/>
        <w:contextualSpacing w:val="0"/>
        <w:rPr>
          <w:b/>
          <w:bCs/>
          <w:lang w:val="en-US"/>
        </w:rPr>
      </w:pPr>
      <w:r w:rsidRPr="00E02273">
        <w:rPr>
          <w:b/>
          <w:bCs/>
          <w:lang w:val="en-US"/>
        </w:rPr>
        <w:t>CWG-</w:t>
      </w:r>
      <w:r w:rsidR="00846D20">
        <w:rPr>
          <w:b/>
          <w:bCs/>
          <w:lang w:val="en-US"/>
        </w:rPr>
        <w:t>LANG</w:t>
      </w:r>
      <w:r w:rsidRPr="00E02273">
        <w:rPr>
          <w:b/>
          <w:bCs/>
          <w:lang w:val="en-US"/>
        </w:rPr>
        <w:t xml:space="preserve"> activities</w:t>
      </w:r>
    </w:p>
    <w:p w14:paraId="51C1058B" w14:textId="26BCC294" w:rsidR="00846D20" w:rsidRDefault="00846D20" w:rsidP="00C52608">
      <w:pPr>
        <w:tabs>
          <w:tab w:val="clear" w:pos="567"/>
          <w:tab w:val="clear" w:pos="1134"/>
          <w:tab w:val="clear" w:pos="1701"/>
          <w:tab w:val="clear" w:pos="2268"/>
          <w:tab w:val="clear" w:pos="2835"/>
        </w:tabs>
        <w:spacing w:after="120"/>
        <w:rPr>
          <w:rFonts w:asciiTheme="minorHAnsi" w:hAnsiTheme="minorHAnsi"/>
        </w:rPr>
      </w:pPr>
      <w:r>
        <w:rPr>
          <w:rFonts w:asciiTheme="minorHAnsi" w:hAnsiTheme="minorHAnsi"/>
        </w:rPr>
        <w:t>1. The m</w:t>
      </w:r>
      <w:r w:rsidRPr="00472996">
        <w:rPr>
          <w:rFonts w:asciiTheme="minorHAnsi" w:hAnsiTheme="minorHAnsi"/>
        </w:rPr>
        <w:t xml:space="preserve">ain results of the </w:t>
      </w:r>
      <w:hyperlink r:id="rId11" w:history="1">
        <w:r w:rsidRPr="00686D2C">
          <w:rPr>
            <w:rStyle w:val="Hyperlink"/>
            <w:rFonts w:asciiTheme="minorHAnsi" w:hAnsiTheme="minorHAnsi"/>
          </w:rPr>
          <w:t>ninth meeting</w:t>
        </w:r>
      </w:hyperlink>
      <w:r w:rsidRPr="00472996">
        <w:rPr>
          <w:rFonts w:asciiTheme="minorHAnsi" w:hAnsiTheme="minorHAnsi"/>
        </w:rPr>
        <w:t xml:space="preserve"> of the CWG</w:t>
      </w:r>
      <w:r>
        <w:rPr>
          <w:rFonts w:asciiTheme="minorHAnsi" w:hAnsiTheme="minorHAnsi"/>
        </w:rPr>
        <w:t>-LANG</w:t>
      </w:r>
      <w:r w:rsidRPr="00472996">
        <w:rPr>
          <w:rFonts w:asciiTheme="minorHAnsi" w:hAnsiTheme="minorHAnsi"/>
        </w:rPr>
        <w:t xml:space="preserve">, held on </w:t>
      </w:r>
      <w:r>
        <w:rPr>
          <w:rFonts w:asciiTheme="minorHAnsi" w:hAnsiTheme="minorHAnsi"/>
        </w:rPr>
        <w:t>28</w:t>
      </w:r>
      <w:r w:rsidRPr="00472996">
        <w:rPr>
          <w:rFonts w:asciiTheme="minorHAnsi" w:hAnsiTheme="minorHAnsi"/>
        </w:rPr>
        <w:t xml:space="preserve"> January 20</w:t>
      </w:r>
      <w:r>
        <w:rPr>
          <w:rFonts w:asciiTheme="minorHAnsi" w:hAnsiTheme="minorHAnsi"/>
        </w:rPr>
        <w:t xml:space="preserve">19, were: </w:t>
      </w:r>
    </w:p>
    <w:p w14:paraId="74FE88D9" w14:textId="7E9C1F7F" w:rsidR="00846D20" w:rsidRDefault="00846D20" w:rsidP="00C52608">
      <w:pPr>
        <w:shd w:val="clear" w:color="auto" w:fill="FFFFFF"/>
        <w:tabs>
          <w:tab w:val="clear" w:pos="567"/>
          <w:tab w:val="clear" w:pos="1134"/>
          <w:tab w:val="clear" w:pos="1701"/>
          <w:tab w:val="clear" w:pos="2268"/>
          <w:tab w:val="clear" w:pos="2835"/>
          <w:tab w:val="left" w:pos="709"/>
          <w:tab w:val="left" w:pos="907"/>
        </w:tabs>
        <w:snapToGrid w:val="0"/>
        <w:spacing w:after="120"/>
        <w:ind w:left="907" w:hanging="198"/>
        <w:jc w:val="both"/>
        <w:rPr>
          <w:rFonts w:asciiTheme="minorHAnsi" w:hAnsiTheme="minorHAnsi"/>
          <w:szCs w:val="24"/>
        </w:rPr>
      </w:pPr>
      <w:r>
        <w:rPr>
          <w:rFonts w:asciiTheme="minorHAnsi" w:hAnsiTheme="minorHAnsi"/>
          <w:szCs w:val="24"/>
        </w:rPr>
        <w:t>-</w:t>
      </w:r>
      <w:r>
        <w:rPr>
          <w:rFonts w:asciiTheme="minorHAnsi" w:hAnsiTheme="minorHAnsi"/>
          <w:szCs w:val="24"/>
        </w:rPr>
        <w:tab/>
        <w:t>provision of</w:t>
      </w:r>
      <w:r w:rsidRPr="00B31E43">
        <w:rPr>
          <w:rFonts w:asciiTheme="minorHAnsi" w:hAnsiTheme="minorHAnsi"/>
          <w:szCs w:val="24"/>
        </w:rPr>
        <w:t xml:space="preserve"> guidance for the implementation of Resolution 154 (Rev. Dubai, 2018) over the period 2019-2022</w:t>
      </w:r>
    </w:p>
    <w:p w14:paraId="63D4E77D" w14:textId="46713FF3" w:rsidR="00846D20" w:rsidRPr="00AD608E" w:rsidRDefault="00846D20" w:rsidP="00C52608">
      <w:pPr>
        <w:shd w:val="clear" w:color="auto" w:fill="FFFFFF"/>
        <w:tabs>
          <w:tab w:val="clear" w:pos="567"/>
          <w:tab w:val="clear" w:pos="1134"/>
          <w:tab w:val="clear" w:pos="1701"/>
          <w:tab w:val="clear" w:pos="2268"/>
          <w:tab w:val="clear" w:pos="2835"/>
          <w:tab w:val="left" w:pos="709"/>
          <w:tab w:val="left" w:pos="907"/>
        </w:tabs>
        <w:snapToGrid w:val="0"/>
        <w:spacing w:after="120"/>
        <w:ind w:left="907" w:hanging="198"/>
        <w:jc w:val="both"/>
        <w:rPr>
          <w:rFonts w:asciiTheme="minorHAnsi" w:hAnsiTheme="minorHAnsi"/>
          <w:szCs w:val="24"/>
        </w:rPr>
      </w:pPr>
      <w:r>
        <w:rPr>
          <w:rFonts w:asciiTheme="minorHAnsi" w:hAnsiTheme="minorHAnsi"/>
          <w:szCs w:val="24"/>
        </w:rPr>
        <w:t>-</w:t>
      </w:r>
      <w:r>
        <w:rPr>
          <w:rFonts w:asciiTheme="minorHAnsi" w:hAnsiTheme="minorHAnsi"/>
          <w:szCs w:val="24"/>
        </w:rPr>
        <w:tab/>
        <w:t>request for a</w:t>
      </w:r>
      <w:r w:rsidRPr="00C34A24">
        <w:rPr>
          <w:rFonts w:asciiTheme="minorHAnsi" w:hAnsiTheme="minorHAnsi"/>
          <w:szCs w:val="24"/>
        </w:rPr>
        <w:t xml:space="preserve"> detailed plan for pilot projects related to alternative translation, interpretation and captioning procedures for the next two or four years</w:t>
      </w:r>
      <w:r>
        <w:rPr>
          <w:rFonts w:asciiTheme="minorHAnsi" w:hAnsiTheme="minorHAnsi"/>
          <w:szCs w:val="24"/>
        </w:rPr>
        <w:t>;</w:t>
      </w:r>
    </w:p>
    <w:p w14:paraId="79C18D95" w14:textId="3884EFAC" w:rsidR="00846D20" w:rsidRPr="00AD608E" w:rsidRDefault="00846D20" w:rsidP="00C52608">
      <w:pPr>
        <w:shd w:val="clear" w:color="auto" w:fill="FFFFFF"/>
        <w:tabs>
          <w:tab w:val="clear" w:pos="567"/>
          <w:tab w:val="clear" w:pos="1134"/>
          <w:tab w:val="clear" w:pos="1701"/>
          <w:tab w:val="clear" w:pos="2268"/>
          <w:tab w:val="clear" w:pos="2835"/>
          <w:tab w:val="left" w:pos="709"/>
          <w:tab w:val="left" w:pos="907"/>
        </w:tabs>
        <w:snapToGrid w:val="0"/>
        <w:spacing w:after="120"/>
        <w:ind w:left="907" w:hanging="198"/>
        <w:jc w:val="both"/>
        <w:rPr>
          <w:rFonts w:asciiTheme="minorHAnsi" w:hAnsiTheme="minorHAnsi"/>
          <w:szCs w:val="24"/>
        </w:rPr>
      </w:pPr>
      <w:r>
        <w:rPr>
          <w:rFonts w:asciiTheme="minorHAnsi" w:hAnsiTheme="minorHAnsi"/>
          <w:szCs w:val="24"/>
        </w:rPr>
        <w:t>-</w:t>
      </w:r>
      <w:r>
        <w:rPr>
          <w:rFonts w:asciiTheme="minorHAnsi" w:hAnsiTheme="minorHAnsi"/>
          <w:szCs w:val="24"/>
        </w:rPr>
        <w:tab/>
        <w:t>request a revision of</w:t>
      </w:r>
      <w:r w:rsidRPr="00C34A24">
        <w:rPr>
          <w:rFonts w:asciiTheme="minorHAnsi" w:hAnsiTheme="minorHAnsi"/>
          <w:szCs w:val="24"/>
        </w:rPr>
        <w:t xml:space="preserve"> the terms of reference of CWG-LANG (Council Resolution 1372) to include assistance </w:t>
      </w:r>
      <w:r w:rsidR="004C6F52">
        <w:rPr>
          <w:rFonts w:asciiTheme="minorHAnsi" w:hAnsiTheme="minorHAnsi"/>
          <w:szCs w:val="24"/>
        </w:rPr>
        <w:t>on</w:t>
      </w:r>
      <w:r w:rsidRPr="00C34A24">
        <w:rPr>
          <w:rFonts w:asciiTheme="minorHAnsi" w:hAnsiTheme="minorHAnsi"/>
          <w:szCs w:val="24"/>
        </w:rPr>
        <w:t xml:space="preserve"> financing and maintaining a WSIS Forum website, available in the six official languages of ITU</w:t>
      </w:r>
      <w:r>
        <w:rPr>
          <w:rFonts w:asciiTheme="minorHAnsi" w:hAnsiTheme="minorHAnsi"/>
          <w:szCs w:val="24"/>
        </w:rPr>
        <w:t>.</w:t>
      </w:r>
    </w:p>
    <w:p w14:paraId="116191E8" w14:textId="756406BA" w:rsidR="00846D20" w:rsidRDefault="00846D20" w:rsidP="00C52608">
      <w:pPr>
        <w:shd w:val="clear" w:color="auto" w:fill="FFFFFF"/>
        <w:tabs>
          <w:tab w:val="clear" w:pos="567"/>
          <w:tab w:val="clear" w:pos="1134"/>
          <w:tab w:val="clear" w:pos="1701"/>
          <w:tab w:val="clear" w:pos="2268"/>
          <w:tab w:val="clear" w:pos="2835"/>
          <w:tab w:val="left" w:pos="709"/>
          <w:tab w:val="left" w:pos="907"/>
        </w:tabs>
        <w:snapToGrid w:val="0"/>
        <w:spacing w:after="120"/>
        <w:jc w:val="both"/>
        <w:rPr>
          <w:rFonts w:asciiTheme="minorHAnsi" w:hAnsiTheme="minorHAnsi"/>
        </w:rPr>
      </w:pPr>
      <w:r>
        <w:rPr>
          <w:rFonts w:asciiTheme="minorHAnsi" w:hAnsiTheme="minorHAnsi"/>
        </w:rPr>
        <w:t>2. The m</w:t>
      </w:r>
      <w:r w:rsidRPr="00472996">
        <w:rPr>
          <w:rFonts w:asciiTheme="minorHAnsi" w:hAnsiTheme="minorHAnsi"/>
        </w:rPr>
        <w:t xml:space="preserve">ain results </w:t>
      </w:r>
      <w:r w:rsidRPr="00CE7964">
        <w:rPr>
          <w:rFonts w:asciiTheme="minorHAnsi" w:hAnsiTheme="minorHAnsi"/>
          <w:color w:val="000000"/>
        </w:rPr>
        <w:t xml:space="preserve">of the </w:t>
      </w:r>
      <w:hyperlink r:id="rId12" w:history="1">
        <w:r w:rsidRPr="00686D2C">
          <w:rPr>
            <w:rStyle w:val="Hyperlink"/>
            <w:rFonts w:asciiTheme="minorHAnsi" w:hAnsiTheme="minorHAnsi"/>
          </w:rPr>
          <w:t>tenth meeting</w:t>
        </w:r>
      </w:hyperlink>
      <w:r w:rsidRPr="00CE7964">
        <w:rPr>
          <w:rFonts w:asciiTheme="minorHAnsi" w:hAnsiTheme="minorHAnsi"/>
          <w:color w:val="000000"/>
        </w:rPr>
        <w:t xml:space="preserve"> of the </w:t>
      </w:r>
      <w:r>
        <w:rPr>
          <w:rFonts w:asciiTheme="minorHAnsi" w:hAnsiTheme="minorHAnsi"/>
          <w:color w:val="000000"/>
        </w:rPr>
        <w:t>CWG-LANG</w:t>
      </w:r>
      <w:r w:rsidRPr="00CE7964">
        <w:rPr>
          <w:rFonts w:asciiTheme="minorHAnsi" w:hAnsiTheme="minorHAnsi"/>
          <w:color w:val="000000"/>
        </w:rPr>
        <w:t xml:space="preserve">, held on </w:t>
      </w:r>
      <w:r>
        <w:rPr>
          <w:rFonts w:asciiTheme="minorHAnsi" w:hAnsiTheme="minorHAnsi"/>
          <w:color w:val="000000"/>
        </w:rPr>
        <w:t>14 February 2020, were</w:t>
      </w:r>
      <w:r>
        <w:rPr>
          <w:rFonts w:asciiTheme="minorHAnsi" w:hAnsiTheme="minorHAnsi"/>
        </w:rPr>
        <w:t>:</w:t>
      </w:r>
    </w:p>
    <w:p w14:paraId="67271FA9" w14:textId="77777777" w:rsidR="00846D20" w:rsidRPr="00AD608E" w:rsidRDefault="00846D20" w:rsidP="00C52608">
      <w:pPr>
        <w:shd w:val="clear" w:color="auto" w:fill="FFFFFF"/>
        <w:tabs>
          <w:tab w:val="clear" w:pos="567"/>
          <w:tab w:val="clear" w:pos="1134"/>
          <w:tab w:val="clear" w:pos="1701"/>
          <w:tab w:val="clear" w:pos="2268"/>
          <w:tab w:val="clear" w:pos="2835"/>
          <w:tab w:val="left" w:pos="709"/>
          <w:tab w:val="left" w:pos="907"/>
        </w:tabs>
        <w:snapToGrid w:val="0"/>
        <w:spacing w:after="120"/>
        <w:ind w:left="907" w:hanging="187"/>
        <w:jc w:val="both"/>
        <w:rPr>
          <w:rFonts w:asciiTheme="minorHAnsi" w:hAnsiTheme="minorHAnsi"/>
          <w:szCs w:val="24"/>
        </w:rPr>
      </w:pPr>
      <w:r>
        <w:rPr>
          <w:rFonts w:asciiTheme="minorHAnsi" w:hAnsiTheme="minorHAnsi"/>
          <w:szCs w:val="24"/>
        </w:rPr>
        <w:t>-</w:t>
      </w:r>
      <w:r>
        <w:rPr>
          <w:rFonts w:asciiTheme="minorHAnsi" w:hAnsiTheme="minorHAnsi"/>
          <w:szCs w:val="24"/>
        </w:rPr>
        <w:tab/>
        <w:t>to request the secretariat to include information on the budget for interpretation services in future reports;</w:t>
      </w:r>
    </w:p>
    <w:p w14:paraId="25BD82A2" w14:textId="5EEB775F" w:rsidR="00846D20" w:rsidRDefault="00846D20" w:rsidP="00C52608">
      <w:pPr>
        <w:shd w:val="clear" w:color="auto" w:fill="FFFFFF"/>
        <w:tabs>
          <w:tab w:val="clear" w:pos="567"/>
          <w:tab w:val="clear" w:pos="1134"/>
          <w:tab w:val="clear" w:pos="1701"/>
          <w:tab w:val="clear" w:pos="2268"/>
          <w:tab w:val="clear" w:pos="2835"/>
          <w:tab w:val="left" w:pos="709"/>
          <w:tab w:val="left" w:pos="907"/>
        </w:tabs>
        <w:snapToGrid w:val="0"/>
        <w:spacing w:after="120"/>
        <w:ind w:left="907" w:hanging="198"/>
        <w:jc w:val="both"/>
        <w:rPr>
          <w:rFonts w:asciiTheme="minorHAnsi" w:hAnsiTheme="minorHAnsi"/>
          <w:szCs w:val="24"/>
        </w:rPr>
      </w:pPr>
      <w:r>
        <w:rPr>
          <w:rFonts w:asciiTheme="minorHAnsi" w:hAnsiTheme="minorHAnsi"/>
          <w:szCs w:val="24"/>
        </w:rPr>
        <w:t>-</w:t>
      </w:r>
      <w:r>
        <w:rPr>
          <w:rFonts w:asciiTheme="minorHAnsi" w:hAnsiTheme="minorHAnsi"/>
          <w:szCs w:val="24"/>
        </w:rPr>
        <w:tab/>
        <w:t>to require the secretariat to take all necessary measures to unconditionally fulfil work on the harmonization of the ITU Sector websites using the six official languages of the Union on an equal footing.</w:t>
      </w:r>
    </w:p>
    <w:p w14:paraId="72493599" w14:textId="44C5EE4B" w:rsidR="00846D20" w:rsidRDefault="00846D20" w:rsidP="00C52608">
      <w:pPr>
        <w:tabs>
          <w:tab w:val="clear" w:pos="567"/>
          <w:tab w:val="clear" w:pos="1134"/>
          <w:tab w:val="clear" w:pos="1701"/>
          <w:tab w:val="clear" w:pos="2268"/>
          <w:tab w:val="clear" w:pos="2835"/>
        </w:tabs>
        <w:spacing w:after="120"/>
        <w:jc w:val="both"/>
      </w:pPr>
      <w:r>
        <w:rPr>
          <w:rFonts w:asciiTheme="minorHAnsi" w:hAnsiTheme="minorHAnsi"/>
        </w:rPr>
        <w:t>3. T</w:t>
      </w:r>
      <w:r w:rsidRPr="006600A2">
        <w:t xml:space="preserve">he main results of the </w:t>
      </w:r>
      <w:hyperlink r:id="rId13" w:history="1">
        <w:r>
          <w:rPr>
            <w:rStyle w:val="Hyperlink"/>
          </w:rPr>
          <w:t>eleventh</w:t>
        </w:r>
        <w:r w:rsidRPr="002E4994">
          <w:rPr>
            <w:rStyle w:val="Hyperlink"/>
          </w:rPr>
          <w:t xml:space="preserve"> </w:t>
        </w:r>
        <w:r>
          <w:rPr>
            <w:rStyle w:val="Hyperlink"/>
          </w:rPr>
          <w:t>meeting</w:t>
        </w:r>
      </w:hyperlink>
      <w:r w:rsidRPr="006600A2">
        <w:t xml:space="preserve"> of the </w:t>
      </w:r>
      <w:r>
        <w:t>CWG-LANG</w:t>
      </w:r>
      <w:r w:rsidRPr="006600A2">
        <w:t xml:space="preserve">, held </w:t>
      </w:r>
      <w:r>
        <w:t>on 5</w:t>
      </w:r>
      <w:r w:rsidRPr="006600A2">
        <w:t xml:space="preserve"> February 20</w:t>
      </w:r>
      <w:r>
        <w:t xml:space="preserve">21, were: </w:t>
      </w:r>
    </w:p>
    <w:p w14:paraId="7D9A29FC" w14:textId="77777777" w:rsidR="00846D20" w:rsidRPr="00072A29" w:rsidRDefault="00846D20" w:rsidP="00C52608">
      <w:pPr>
        <w:shd w:val="clear" w:color="auto" w:fill="FFFFFF"/>
        <w:tabs>
          <w:tab w:val="clear" w:pos="567"/>
          <w:tab w:val="clear" w:pos="1134"/>
          <w:tab w:val="clear" w:pos="1701"/>
          <w:tab w:val="clear" w:pos="2268"/>
          <w:tab w:val="clear" w:pos="2835"/>
          <w:tab w:val="left" w:pos="709"/>
          <w:tab w:val="left" w:pos="907"/>
        </w:tabs>
        <w:snapToGrid w:val="0"/>
        <w:spacing w:after="120"/>
        <w:ind w:left="907" w:hanging="187"/>
        <w:jc w:val="both"/>
        <w:rPr>
          <w:rFonts w:asciiTheme="minorHAnsi" w:hAnsiTheme="minorHAnsi"/>
          <w:szCs w:val="24"/>
        </w:rPr>
      </w:pPr>
      <w:r w:rsidRPr="00072A29">
        <w:rPr>
          <w:rFonts w:asciiTheme="minorHAnsi" w:hAnsiTheme="minorHAnsi"/>
          <w:szCs w:val="24"/>
        </w:rPr>
        <w:t>-</w:t>
      </w:r>
      <w:r>
        <w:rPr>
          <w:rFonts w:asciiTheme="minorHAnsi" w:hAnsiTheme="minorHAnsi"/>
          <w:szCs w:val="24"/>
        </w:rPr>
        <w:tab/>
        <w:t>to request the secretariat to include information on the actual expenditures for language services and the evolution of translation volumes per language in future reports;</w:t>
      </w:r>
    </w:p>
    <w:p w14:paraId="1E49AF0C" w14:textId="53E51013" w:rsidR="00846D20" w:rsidRPr="00072A29" w:rsidRDefault="00846D20" w:rsidP="00C52608">
      <w:pPr>
        <w:shd w:val="clear" w:color="auto" w:fill="FFFFFF"/>
        <w:tabs>
          <w:tab w:val="clear" w:pos="567"/>
          <w:tab w:val="clear" w:pos="1134"/>
          <w:tab w:val="clear" w:pos="1701"/>
          <w:tab w:val="clear" w:pos="2268"/>
          <w:tab w:val="clear" w:pos="2835"/>
          <w:tab w:val="left" w:pos="709"/>
          <w:tab w:val="left" w:pos="907"/>
        </w:tabs>
        <w:snapToGrid w:val="0"/>
        <w:spacing w:after="120"/>
        <w:ind w:left="907" w:hanging="187"/>
        <w:jc w:val="both"/>
        <w:rPr>
          <w:rFonts w:asciiTheme="minorHAnsi" w:hAnsiTheme="minorHAnsi"/>
          <w:szCs w:val="24"/>
        </w:rPr>
      </w:pPr>
      <w:r w:rsidRPr="00072A29">
        <w:rPr>
          <w:rFonts w:asciiTheme="minorHAnsi" w:hAnsiTheme="minorHAnsi"/>
          <w:szCs w:val="24"/>
        </w:rPr>
        <w:t>-</w:t>
      </w:r>
      <w:r>
        <w:rPr>
          <w:rFonts w:asciiTheme="minorHAnsi" w:hAnsiTheme="minorHAnsi"/>
          <w:szCs w:val="24"/>
        </w:rPr>
        <w:tab/>
        <w:t>to request the secretariat to follow up on JIU’s recommendations on supporting multilingualism in commun</w:t>
      </w:r>
      <w:r w:rsidR="004C6F52">
        <w:rPr>
          <w:rFonts w:asciiTheme="minorHAnsi" w:hAnsiTheme="minorHAnsi"/>
          <w:szCs w:val="24"/>
        </w:rPr>
        <w:t>ications and knowledge-sharing</w:t>
      </w:r>
    </w:p>
    <w:p w14:paraId="0BCD14A3" w14:textId="77777777" w:rsidR="00846D20" w:rsidRDefault="00846D20" w:rsidP="00C52608">
      <w:pPr>
        <w:shd w:val="clear" w:color="auto" w:fill="FFFFFF"/>
        <w:tabs>
          <w:tab w:val="clear" w:pos="567"/>
          <w:tab w:val="clear" w:pos="1134"/>
          <w:tab w:val="clear" w:pos="1701"/>
          <w:tab w:val="clear" w:pos="2268"/>
          <w:tab w:val="clear" w:pos="2835"/>
          <w:tab w:val="left" w:pos="709"/>
          <w:tab w:val="left" w:pos="907"/>
        </w:tabs>
        <w:snapToGrid w:val="0"/>
        <w:spacing w:after="120"/>
        <w:ind w:left="907" w:hanging="187"/>
        <w:jc w:val="both"/>
        <w:rPr>
          <w:rFonts w:asciiTheme="minorHAnsi" w:hAnsiTheme="minorHAnsi"/>
          <w:szCs w:val="24"/>
        </w:rPr>
      </w:pPr>
      <w:r>
        <w:rPr>
          <w:rFonts w:asciiTheme="minorHAnsi" w:hAnsiTheme="minorHAnsi"/>
          <w:szCs w:val="24"/>
        </w:rPr>
        <w:t>-</w:t>
      </w:r>
      <w:r>
        <w:rPr>
          <w:rFonts w:asciiTheme="minorHAnsi" w:hAnsiTheme="minorHAnsi"/>
          <w:szCs w:val="24"/>
        </w:rPr>
        <w:tab/>
        <w:t>t</w:t>
      </w:r>
      <w:r w:rsidRPr="00072A29">
        <w:rPr>
          <w:rFonts w:asciiTheme="minorHAnsi" w:hAnsiTheme="minorHAnsi"/>
          <w:szCs w:val="24"/>
        </w:rPr>
        <w:t xml:space="preserve">o </w:t>
      </w:r>
      <w:r>
        <w:rPr>
          <w:rFonts w:asciiTheme="minorHAnsi" w:hAnsiTheme="minorHAnsi"/>
          <w:szCs w:val="24"/>
        </w:rPr>
        <w:t>recommend that Council ask BDT to consider the possible use of languages other than the six ITU official languages in regional offices, websites and communications;</w:t>
      </w:r>
    </w:p>
    <w:p w14:paraId="559D6A4F" w14:textId="15A67FF9" w:rsidR="00846D20" w:rsidRPr="00147707" w:rsidRDefault="00846D20" w:rsidP="00C52608">
      <w:pPr>
        <w:shd w:val="clear" w:color="auto" w:fill="FFFFFF"/>
        <w:tabs>
          <w:tab w:val="clear" w:pos="567"/>
          <w:tab w:val="clear" w:pos="1134"/>
          <w:tab w:val="clear" w:pos="1701"/>
          <w:tab w:val="clear" w:pos="2268"/>
          <w:tab w:val="clear" w:pos="2835"/>
          <w:tab w:val="left" w:pos="709"/>
          <w:tab w:val="left" w:pos="907"/>
        </w:tabs>
        <w:snapToGrid w:val="0"/>
        <w:spacing w:after="120"/>
        <w:ind w:left="907" w:hanging="187"/>
        <w:jc w:val="both"/>
        <w:rPr>
          <w:rFonts w:asciiTheme="minorHAnsi" w:hAnsiTheme="minorHAnsi"/>
          <w:szCs w:val="24"/>
        </w:rPr>
      </w:pPr>
      <w:r>
        <w:rPr>
          <w:rFonts w:asciiTheme="minorHAnsi" w:hAnsiTheme="minorHAnsi"/>
          <w:szCs w:val="24"/>
        </w:rPr>
        <w:t>-</w:t>
      </w:r>
      <w:r>
        <w:rPr>
          <w:rFonts w:asciiTheme="minorHAnsi" w:hAnsiTheme="minorHAnsi"/>
          <w:szCs w:val="24"/>
        </w:rPr>
        <w:tab/>
        <w:t>to take note of information provided by the secretariat on its efforts for the harmonization of sector websites in the six languages of the Union.</w:t>
      </w:r>
    </w:p>
    <w:p w14:paraId="13044247" w14:textId="0924A1D0" w:rsidR="00846D20" w:rsidRPr="004F11D7" w:rsidRDefault="00846D20" w:rsidP="00C52608">
      <w:pPr>
        <w:shd w:val="clear" w:color="auto" w:fill="FFFFFF"/>
        <w:tabs>
          <w:tab w:val="clear" w:pos="567"/>
          <w:tab w:val="clear" w:pos="1134"/>
          <w:tab w:val="clear" w:pos="1701"/>
          <w:tab w:val="clear" w:pos="2268"/>
          <w:tab w:val="clear" w:pos="2835"/>
          <w:tab w:val="left" w:pos="709"/>
          <w:tab w:val="left" w:pos="907"/>
        </w:tabs>
        <w:snapToGrid w:val="0"/>
        <w:spacing w:after="120"/>
        <w:ind w:left="907" w:hanging="187"/>
        <w:jc w:val="both"/>
        <w:rPr>
          <w:rFonts w:cs="Calibri"/>
          <w:bCs/>
          <w:szCs w:val="24"/>
        </w:rPr>
      </w:pPr>
      <w:r w:rsidRPr="004F11D7">
        <w:rPr>
          <w:rFonts w:cs="Calibri"/>
          <w:bCs/>
          <w:szCs w:val="24"/>
        </w:rPr>
        <w:tab/>
      </w:r>
      <w:r>
        <w:rPr>
          <w:rFonts w:asciiTheme="minorHAnsi" w:hAnsiTheme="minorHAnsi"/>
          <w:szCs w:val="24"/>
        </w:rPr>
        <w:t>-t</w:t>
      </w:r>
      <w:r w:rsidRPr="00072A29">
        <w:rPr>
          <w:rFonts w:asciiTheme="minorHAnsi" w:hAnsiTheme="minorHAnsi"/>
          <w:szCs w:val="24"/>
        </w:rPr>
        <w:t xml:space="preserve">o </w:t>
      </w:r>
      <w:r>
        <w:rPr>
          <w:rFonts w:asciiTheme="minorHAnsi" w:hAnsiTheme="minorHAnsi"/>
          <w:szCs w:val="24"/>
        </w:rPr>
        <w:t>request the secretariat to provide factual information on the consequences of the implementation of Resolution 165 deadlines in forthcoming major meetings in terms of submitting contributio</w:t>
      </w:r>
      <w:r w:rsidR="004C6F52">
        <w:rPr>
          <w:rFonts w:asciiTheme="minorHAnsi" w:hAnsiTheme="minorHAnsi"/>
          <w:szCs w:val="24"/>
        </w:rPr>
        <w:t>ns to ensure timely translation</w:t>
      </w:r>
      <w:r>
        <w:rPr>
          <w:rFonts w:asciiTheme="minorHAnsi" w:hAnsiTheme="minorHAnsi"/>
          <w:szCs w:val="24"/>
        </w:rPr>
        <w:t>.</w:t>
      </w:r>
    </w:p>
    <w:p w14:paraId="256F4EA6" w14:textId="2F49518C" w:rsidR="00846D20" w:rsidRPr="00046A2A" w:rsidRDefault="00846D20" w:rsidP="00C52608">
      <w:pPr>
        <w:tabs>
          <w:tab w:val="clear" w:pos="567"/>
          <w:tab w:val="clear" w:pos="1134"/>
          <w:tab w:val="clear" w:pos="1701"/>
          <w:tab w:val="clear" w:pos="2268"/>
          <w:tab w:val="clear" w:pos="2835"/>
        </w:tabs>
        <w:spacing w:after="120"/>
        <w:jc w:val="both"/>
      </w:pPr>
      <w:r>
        <w:rPr>
          <w:rFonts w:asciiTheme="minorHAnsi" w:hAnsiTheme="minorHAnsi"/>
          <w:color w:val="000000"/>
          <w:szCs w:val="22"/>
        </w:rPr>
        <w:t>4. T</w:t>
      </w:r>
      <w:r w:rsidRPr="00F40E30">
        <w:rPr>
          <w:rFonts w:asciiTheme="minorHAnsi" w:hAnsiTheme="minorHAnsi"/>
          <w:color w:val="000000"/>
          <w:szCs w:val="22"/>
        </w:rPr>
        <w:t xml:space="preserve">he main results of </w:t>
      </w:r>
      <w:r w:rsidRPr="004E31E8">
        <w:rPr>
          <w:rFonts w:asciiTheme="minorHAnsi" w:hAnsiTheme="minorHAnsi"/>
          <w:color w:val="000000"/>
          <w:szCs w:val="22"/>
        </w:rPr>
        <w:t xml:space="preserve">the </w:t>
      </w:r>
      <w:hyperlink r:id="rId14" w:history="1">
        <w:r w:rsidRPr="004E31E8">
          <w:rPr>
            <w:rStyle w:val="Hyperlink"/>
            <w:rFonts w:asciiTheme="minorHAnsi" w:hAnsiTheme="minorHAnsi"/>
            <w:szCs w:val="22"/>
          </w:rPr>
          <w:t>twelfth meeting</w:t>
        </w:r>
      </w:hyperlink>
      <w:r w:rsidRPr="004E31E8">
        <w:rPr>
          <w:rFonts w:asciiTheme="minorHAnsi" w:hAnsiTheme="minorHAnsi"/>
          <w:color w:val="000000"/>
          <w:szCs w:val="22"/>
        </w:rPr>
        <w:t xml:space="preserve"> of</w:t>
      </w:r>
      <w:r w:rsidRPr="00F40E30">
        <w:rPr>
          <w:rFonts w:asciiTheme="minorHAnsi" w:hAnsiTheme="minorHAnsi"/>
          <w:color w:val="000000"/>
          <w:szCs w:val="22"/>
        </w:rPr>
        <w:t xml:space="preserve"> the CWG</w:t>
      </w:r>
      <w:r>
        <w:rPr>
          <w:rFonts w:asciiTheme="minorHAnsi" w:hAnsiTheme="minorHAnsi"/>
          <w:color w:val="000000"/>
          <w:szCs w:val="22"/>
        </w:rPr>
        <w:t>-LANG</w:t>
      </w:r>
      <w:r w:rsidRPr="00F40E30">
        <w:rPr>
          <w:rFonts w:asciiTheme="minorHAnsi" w:hAnsiTheme="minorHAnsi"/>
          <w:color w:val="000000"/>
          <w:szCs w:val="22"/>
        </w:rPr>
        <w:t xml:space="preserve">, held on </w:t>
      </w:r>
      <w:r>
        <w:rPr>
          <w:rFonts w:asciiTheme="minorHAnsi" w:hAnsiTheme="minorHAnsi"/>
          <w:color w:val="000000"/>
          <w:szCs w:val="22"/>
        </w:rPr>
        <w:t xml:space="preserve">18 January </w:t>
      </w:r>
      <w:r w:rsidRPr="00F40E30">
        <w:rPr>
          <w:rFonts w:asciiTheme="minorHAnsi" w:hAnsiTheme="minorHAnsi"/>
          <w:color w:val="000000"/>
          <w:szCs w:val="22"/>
        </w:rPr>
        <w:t>20</w:t>
      </w:r>
      <w:r>
        <w:rPr>
          <w:rFonts w:asciiTheme="minorHAnsi" w:hAnsiTheme="minorHAnsi"/>
          <w:color w:val="000000"/>
          <w:szCs w:val="22"/>
        </w:rPr>
        <w:t xml:space="preserve">22, were: </w:t>
      </w:r>
    </w:p>
    <w:p w14:paraId="3A28FA44" w14:textId="77777777" w:rsidR="00846D20" w:rsidRPr="00653FDE" w:rsidRDefault="00846D20" w:rsidP="00C52608">
      <w:pPr>
        <w:shd w:val="clear" w:color="auto" w:fill="FFFFFF"/>
        <w:tabs>
          <w:tab w:val="clear" w:pos="567"/>
          <w:tab w:val="clear" w:pos="1134"/>
          <w:tab w:val="clear" w:pos="1701"/>
          <w:tab w:val="clear" w:pos="2268"/>
          <w:tab w:val="clear" w:pos="2835"/>
          <w:tab w:val="left" w:pos="709"/>
          <w:tab w:val="left" w:pos="907"/>
        </w:tabs>
        <w:snapToGrid w:val="0"/>
        <w:spacing w:after="120"/>
        <w:ind w:left="907" w:hanging="187"/>
        <w:jc w:val="both"/>
        <w:rPr>
          <w:rFonts w:asciiTheme="minorHAnsi" w:hAnsiTheme="minorHAnsi"/>
          <w:szCs w:val="24"/>
        </w:rPr>
      </w:pPr>
      <w:r w:rsidRPr="00653FDE">
        <w:rPr>
          <w:rFonts w:asciiTheme="minorHAnsi" w:hAnsiTheme="minorHAnsi"/>
          <w:szCs w:val="24"/>
        </w:rPr>
        <w:t>-</w:t>
      </w:r>
      <w:r w:rsidRPr="00653FDE">
        <w:rPr>
          <w:rFonts w:asciiTheme="minorHAnsi" w:hAnsiTheme="minorHAnsi"/>
          <w:szCs w:val="24"/>
        </w:rPr>
        <w:tab/>
        <w:t>request to accelerate development of the OneITU website, providing concrete proposals, prototypes and timeline;</w:t>
      </w:r>
    </w:p>
    <w:p w14:paraId="5115D2E0" w14:textId="77777777" w:rsidR="00846D20" w:rsidRPr="00653FDE" w:rsidRDefault="00846D20" w:rsidP="00C52608">
      <w:pPr>
        <w:shd w:val="clear" w:color="auto" w:fill="FFFFFF"/>
        <w:tabs>
          <w:tab w:val="clear" w:pos="567"/>
          <w:tab w:val="clear" w:pos="1134"/>
          <w:tab w:val="clear" w:pos="1701"/>
          <w:tab w:val="clear" w:pos="2268"/>
          <w:tab w:val="clear" w:pos="2835"/>
          <w:tab w:val="left" w:pos="709"/>
          <w:tab w:val="left" w:pos="907"/>
        </w:tabs>
        <w:snapToGrid w:val="0"/>
        <w:spacing w:after="120"/>
        <w:ind w:left="907" w:hanging="187"/>
        <w:jc w:val="both"/>
        <w:rPr>
          <w:rFonts w:asciiTheme="minorHAnsi" w:hAnsiTheme="minorHAnsi"/>
          <w:szCs w:val="24"/>
        </w:rPr>
      </w:pPr>
      <w:r w:rsidRPr="00653FDE">
        <w:rPr>
          <w:rFonts w:asciiTheme="minorHAnsi" w:hAnsiTheme="minorHAnsi"/>
          <w:szCs w:val="24"/>
        </w:rPr>
        <w:tab/>
      </w:r>
      <w:r>
        <w:rPr>
          <w:rFonts w:asciiTheme="minorHAnsi" w:hAnsiTheme="minorHAnsi"/>
          <w:szCs w:val="24"/>
        </w:rPr>
        <w:t>-</w:t>
      </w:r>
      <w:r w:rsidRPr="00653FDE">
        <w:rPr>
          <w:rFonts w:asciiTheme="minorHAnsi" w:hAnsiTheme="minorHAnsi"/>
          <w:szCs w:val="24"/>
        </w:rPr>
        <w:t>endorsement of the Multilingualism Policy Framework, as amended by the Council Working Group;</w:t>
      </w:r>
    </w:p>
    <w:p w14:paraId="4D47C2DA" w14:textId="77777777" w:rsidR="00846D20" w:rsidRPr="00653FDE" w:rsidRDefault="00846D20" w:rsidP="00C52608">
      <w:pPr>
        <w:shd w:val="clear" w:color="auto" w:fill="FFFFFF"/>
        <w:tabs>
          <w:tab w:val="clear" w:pos="567"/>
          <w:tab w:val="clear" w:pos="1134"/>
          <w:tab w:val="clear" w:pos="1701"/>
          <w:tab w:val="clear" w:pos="2268"/>
          <w:tab w:val="clear" w:pos="2835"/>
          <w:tab w:val="left" w:pos="709"/>
          <w:tab w:val="left" w:pos="907"/>
        </w:tabs>
        <w:snapToGrid w:val="0"/>
        <w:spacing w:after="120"/>
        <w:ind w:left="907" w:hanging="187"/>
        <w:jc w:val="both"/>
        <w:rPr>
          <w:rFonts w:asciiTheme="minorHAnsi" w:hAnsiTheme="minorHAnsi"/>
          <w:szCs w:val="24"/>
        </w:rPr>
      </w:pPr>
      <w:r w:rsidRPr="00653FDE">
        <w:rPr>
          <w:rFonts w:asciiTheme="minorHAnsi" w:hAnsiTheme="minorHAnsi"/>
          <w:szCs w:val="24"/>
        </w:rPr>
        <w:t>-</w:t>
      </w:r>
      <w:r w:rsidRPr="00653FDE">
        <w:rPr>
          <w:rFonts w:asciiTheme="minorHAnsi" w:hAnsiTheme="minorHAnsi"/>
          <w:szCs w:val="24"/>
        </w:rPr>
        <w:tab/>
        <w:t>request that the secretariat develop administrative and operational guidelines for the implementation of the Policy Framework;</w:t>
      </w:r>
    </w:p>
    <w:p w14:paraId="40FE0B7B" w14:textId="77777777" w:rsidR="004C6F52" w:rsidRDefault="00846D20" w:rsidP="00C52608">
      <w:pPr>
        <w:shd w:val="clear" w:color="auto" w:fill="FFFFFF"/>
        <w:tabs>
          <w:tab w:val="clear" w:pos="567"/>
          <w:tab w:val="clear" w:pos="1134"/>
          <w:tab w:val="clear" w:pos="1701"/>
          <w:tab w:val="clear" w:pos="2268"/>
          <w:tab w:val="clear" w:pos="2835"/>
          <w:tab w:val="left" w:pos="709"/>
          <w:tab w:val="left" w:pos="907"/>
        </w:tabs>
        <w:snapToGrid w:val="0"/>
        <w:spacing w:after="120"/>
        <w:ind w:left="907" w:hanging="187"/>
        <w:jc w:val="both"/>
        <w:rPr>
          <w:rFonts w:asciiTheme="minorHAnsi" w:hAnsiTheme="minorHAnsi"/>
          <w:szCs w:val="24"/>
        </w:rPr>
      </w:pPr>
      <w:r w:rsidRPr="00653FDE">
        <w:rPr>
          <w:rFonts w:asciiTheme="minorHAnsi" w:hAnsiTheme="minorHAnsi"/>
          <w:szCs w:val="24"/>
        </w:rPr>
        <w:t>-</w:t>
      </w:r>
      <w:r w:rsidRPr="00653FDE">
        <w:rPr>
          <w:rFonts w:asciiTheme="minorHAnsi" w:hAnsiTheme="minorHAnsi"/>
          <w:szCs w:val="24"/>
        </w:rPr>
        <w:tab/>
        <w:t>to propose setting new deadlines for the posting of translated documents in advance of meetings and conferences; and</w:t>
      </w:r>
    </w:p>
    <w:p w14:paraId="17CE0E4A" w14:textId="5961CDCA" w:rsidR="00BE31C0" w:rsidRPr="00846D20" w:rsidRDefault="004C6F52" w:rsidP="00C52608">
      <w:pPr>
        <w:shd w:val="clear" w:color="auto" w:fill="FFFFFF"/>
        <w:tabs>
          <w:tab w:val="clear" w:pos="567"/>
          <w:tab w:val="clear" w:pos="1134"/>
          <w:tab w:val="clear" w:pos="1701"/>
          <w:tab w:val="clear" w:pos="2268"/>
          <w:tab w:val="clear" w:pos="2835"/>
          <w:tab w:val="left" w:pos="709"/>
          <w:tab w:val="left" w:pos="907"/>
        </w:tabs>
        <w:snapToGrid w:val="0"/>
        <w:spacing w:after="120"/>
        <w:ind w:left="907" w:hanging="187"/>
        <w:jc w:val="both"/>
      </w:pPr>
      <w:r w:rsidRPr="00653FDE">
        <w:rPr>
          <w:rFonts w:asciiTheme="minorHAnsi" w:hAnsiTheme="minorHAnsi"/>
          <w:szCs w:val="24"/>
        </w:rPr>
        <w:lastRenderedPageBreak/>
        <w:tab/>
        <w:t xml:space="preserve">request </w:t>
      </w:r>
      <w:r w:rsidR="00846D20" w:rsidRPr="00846D20">
        <w:rPr>
          <w:rFonts w:asciiTheme="minorHAnsi" w:hAnsiTheme="minorHAnsi"/>
          <w:szCs w:val="24"/>
        </w:rPr>
        <w:t>the provision of a four yearly report summarizing the CWG-LANG meetings 2019 to 2022, to be presented to Plenipotentiary in 2022.</w:t>
      </w:r>
    </w:p>
    <w:p w14:paraId="47EF4A26" w14:textId="5BBD29DC" w:rsidR="00362C90" w:rsidRDefault="00362C90" w:rsidP="008532FE">
      <w:pPr>
        <w:pStyle w:val="ListParagraph"/>
        <w:numPr>
          <w:ilvl w:val="0"/>
          <w:numId w:val="2"/>
        </w:numPr>
        <w:tabs>
          <w:tab w:val="clear" w:pos="567"/>
          <w:tab w:val="clear" w:pos="1134"/>
          <w:tab w:val="clear" w:pos="1701"/>
          <w:tab w:val="clear" w:pos="2268"/>
          <w:tab w:val="clear" w:pos="2835"/>
        </w:tabs>
        <w:spacing w:before="360" w:after="120"/>
        <w:ind w:left="0"/>
        <w:contextualSpacing w:val="0"/>
        <w:rPr>
          <w:b/>
          <w:bCs/>
          <w:lang w:val="en-US"/>
        </w:rPr>
      </w:pPr>
      <w:r w:rsidRPr="00E02273">
        <w:rPr>
          <w:b/>
          <w:bCs/>
          <w:lang w:val="en-US"/>
        </w:rPr>
        <w:t>Recommendations to PP-22</w:t>
      </w:r>
    </w:p>
    <w:p w14:paraId="2F9DBE92" w14:textId="10A3A52E" w:rsidR="00846D20" w:rsidRPr="003F6E75" w:rsidRDefault="00846D20" w:rsidP="00C52608">
      <w:pPr>
        <w:spacing w:after="120"/>
      </w:pPr>
      <w:r>
        <w:t xml:space="preserve">In accordance with </w:t>
      </w:r>
      <w:r w:rsidRPr="00680370">
        <w:rPr>
          <w:i/>
          <w:iCs/>
        </w:rPr>
        <w:t>decides</w:t>
      </w:r>
      <w:r>
        <w:t xml:space="preserve"> 4 and 5 of Decision </w:t>
      </w:r>
      <w:r w:rsidRPr="00680370">
        <w:rPr>
          <w:b/>
          <w:bCs/>
        </w:rPr>
        <w:t>11</w:t>
      </w:r>
      <w:r>
        <w:t xml:space="preserve"> of the </w:t>
      </w:r>
      <w:bookmarkStart w:id="12" w:name="_Hlk94177355"/>
      <w:r>
        <w:t>Plenipotentiary Conference</w:t>
      </w:r>
      <w:bookmarkEnd w:id="12"/>
      <w:r>
        <w:t>, the Council is invited to recommend to the Plenipotentiary Conference to maintain the Council Working Group on Languages</w:t>
      </w:r>
      <w:r w:rsidR="00676B32">
        <w:t xml:space="preserve"> as per Resolution 154 of the Plenipotentiary Conference on the </w:t>
      </w:r>
      <w:r w:rsidR="00676B32" w:rsidRPr="00676B32">
        <w:t>Use of the six official languages of the Union on an equal footing</w:t>
      </w:r>
      <w:r>
        <w:t>.</w:t>
      </w:r>
    </w:p>
    <w:p w14:paraId="48B1CFAB" w14:textId="77777777" w:rsidR="00C52608" w:rsidRDefault="00C52608" w:rsidP="00411C49">
      <w:pPr>
        <w:pStyle w:val="Reasons"/>
      </w:pPr>
    </w:p>
    <w:p w14:paraId="68789D4C" w14:textId="77777777" w:rsidR="00C52608" w:rsidRDefault="00C52608">
      <w:pPr>
        <w:jc w:val="center"/>
      </w:pPr>
      <w:r>
        <w:t>______________</w:t>
      </w:r>
    </w:p>
    <w:sectPr w:rsidR="00C52608" w:rsidSect="004D1851">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965E8" w14:textId="77777777" w:rsidR="004F483E" w:rsidRDefault="004F483E">
      <w:r>
        <w:separator/>
      </w:r>
    </w:p>
  </w:endnote>
  <w:endnote w:type="continuationSeparator" w:id="0">
    <w:p w14:paraId="04975996" w14:textId="77777777" w:rsidR="004F483E" w:rsidRDefault="004F4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5B42F" w14:textId="1D66101E" w:rsidR="00CB18FF" w:rsidRPr="00C52608" w:rsidRDefault="005A2D7C">
    <w:pPr>
      <w:pStyle w:val="Footer"/>
      <w:rPr>
        <w:color w:val="F2F2F2" w:themeColor="background1" w:themeShade="F2"/>
      </w:rPr>
    </w:pPr>
    <w:r w:rsidRPr="00C52608">
      <w:rPr>
        <w:color w:val="F2F2F2" w:themeColor="background1" w:themeShade="F2"/>
      </w:rPr>
      <w:fldChar w:fldCharType="begin"/>
    </w:r>
    <w:r w:rsidRPr="00C52608">
      <w:rPr>
        <w:color w:val="F2F2F2" w:themeColor="background1" w:themeShade="F2"/>
      </w:rPr>
      <w:instrText xml:space="preserve"> FILENAME \p  \* MERGEFORMAT </w:instrText>
    </w:r>
    <w:r w:rsidRPr="00C52608">
      <w:rPr>
        <w:color w:val="F2F2F2" w:themeColor="background1" w:themeShade="F2"/>
      </w:rPr>
      <w:fldChar w:fldCharType="separate"/>
    </w:r>
    <w:r w:rsidR="0014634F" w:rsidRPr="00C52608">
      <w:rPr>
        <w:color w:val="F2F2F2" w:themeColor="background1" w:themeShade="F2"/>
      </w:rPr>
      <w:t>Document1</w:t>
    </w:r>
    <w:r w:rsidRPr="00C52608">
      <w:rPr>
        <w:color w:val="F2F2F2" w:themeColor="background1" w:themeShade="F2"/>
      </w:rPr>
      <w:fldChar w:fldCharType="end"/>
    </w:r>
    <w:r w:rsidR="00CB18FF" w:rsidRPr="00C52608">
      <w:rPr>
        <w:color w:val="F2F2F2" w:themeColor="background1" w:themeShade="F2"/>
      </w:rPr>
      <w:tab/>
    </w:r>
    <w:r w:rsidR="00864AFF" w:rsidRPr="00C52608">
      <w:rPr>
        <w:color w:val="F2F2F2" w:themeColor="background1" w:themeShade="F2"/>
      </w:rPr>
      <w:fldChar w:fldCharType="begin"/>
    </w:r>
    <w:r w:rsidR="00CB18FF" w:rsidRPr="00C52608">
      <w:rPr>
        <w:color w:val="F2F2F2" w:themeColor="background1" w:themeShade="F2"/>
      </w:rPr>
      <w:instrText xml:space="preserve"> SAVEDATE \@ DD.MM.YY </w:instrText>
    </w:r>
    <w:r w:rsidR="00864AFF" w:rsidRPr="00C52608">
      <w:rPr>
        <w:color w:val="F2F2F2" w:themeColor="background1" w:themeShade="F2"/>
      </w:rPr>
      <w:fldChar w:fldCharType="separate"/>
    </w:r>
    <w:r w:rsidR="00972E19">
      <w:rPr>
        <w:color w:val="F2F2F2" w:themeColor="background1" w:themeShade="F2"/>
      </w:rPr>
      <w:t>07.02.22</w:t>
    </w:r>
    <w:r w:rsidR="00864AFF" w:rsidRPr="00C52608">
      <w:rPr>
        <w:color w:val="F2F2F2" w:themeColor="background1" w:themeShade="F2"/>
      </w:rPr>
      <w:fldChar w:fldCharType="end"/>
    </w:r>
    <w:r w:rsidR="00CB18FF" w:rsidRPr="00C52608">
      <w:rPr>
        <w:color w:val="F2F2F2" w:themeColor="background1" w:themeShade="F2"/>
      </w:rPr>
      <w:tab/>
    </w:r>
    <w:r w:rsidR="00864AFF" w:rsidRPr="00C52608">
      <w:rPr>
        <w:color w:val="F2F2F2" w:themeColor="background1" w:themeShade="F2"/>
      </w:rPr>
      <w:fldChar w:fldCharType="begin"/>
    </w:r>
    <w:r w:rsidR="00CB18FF" w:rsidRPr="00C52608">
      <w:rPr>
        <w:color w:val="F2F2F2" w:themeColor="background1" w:themeShade="F2"/>
      </w:rPr>
      <w:instrText xml:space="preserve"> PRINTDATE \@ DD.MM.YY </w:instrText>
    </w:r>
    <w:r w:rsidR="00864AFF" w:rsidRPr="00C52608">
      <w:rPr>
        <w:color w:val="F2F2F2" w:themeColor="background1" w:themeShade="F2"/>
      </w:rPr>
      <w:fldChar w:fldCharType="separate"/>
    </w:r>
    <w:r w:rsidR="0014634F" w:rsidRPr="00C52608">
      <w:rPr>
        <w:color w:val="F2F2F2" w:themeColor="background1" w:themeShade="F2"/>
      </w:rPr>
      <w:t>18.07.00</w:t>
    </w:r>
    <w:r w:rsidR="00864AFF" w:rsidRPr="00C52608">
      <w:rPr>
        <w:color w:val="F2F2F2" w:themeColor="background1" w:themeShade="F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CD4DA" w14:textId="77777777"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0A04B" w14:textId="77777777" w:rsidR="004F483E" w:rsidRDefault="004F483E">
      <w:r>
        <w:t>____________________</w:t>
      </w:r>
    </w:p>
  </w:footnote>
  <w:footnote w:type="continuationSeparator" w:id="0">
    <w:p w14:paraId="5B46BE7B" w14:textId="77777777" w:rsidR="004F483E" w:rsidRDefault="004F4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3217C" w14:textId="77777777" w:rsidR="00322D0D" w:rsidRDefault="006535F1" w:rsidP="00CE433C">
    <w:pPr>
      <w:pStyle w:val="Header"/>
    </w:pPr>
    <w:r>
      <w:fldChar w:fldCharType="begin"/>
    </w:r>
    <w:r>
      <w:instrText>PAGE</w:instrText>
    </w:r>
    <w:r>
      <w:fldChar w:fldCharType="separate"/>
    </w:r>
    <w:r w:rsidR="00B00813">
      <w:rPr>
        <w:noProof/>
      </w:rPr>
      <w:t>3</w:t>
    </w:r>
    <w:r>
      <w:rPr>
        <w:noProof/>
      </w:rPr>
      <w:fldChar w:fldCharType="end"/>
    </w:r>
  </w:p>
  <w:p w14:paraId="4948958C" w14:textId="4E0A53FC" w:rsidR="00322D0D" w:rsidRPr="00623AE3" w:rsidRDefault="00623AE3" w:rsidP="00FB1279">
    <w:pPr>
      <w:pStyle w:val="Header"/>
      <w:rPr>
        <w:bCs/>
      </w:rPr>
    </w:pPr>
    <w:r w:rsidRPr="00623AE3">
      <w:rPr>
        <w:bCs/>
      </w:rPr>
      <w:t>C</w:t>
    </w:r>
    <w:r w:rsidR="004A1B8B">
      <w:rPr>
        <w:bCs/>
      </w:rPr>
      <w:t>2</w:t>
    </w:r>
    <w:r w:rsidR="0014634F">
      <w:rPr>
        <w:bCs/>
      </w:rPr>
      <w:t>2</w:t>
    </w:r>
    <w:r w:rsidRPr="00623AE3">
      <w:rPr>
        <w:bCs/>
      </w:rPr>
      <w:t>/</w:t>
    </w:r>
    <w:r w:rsidR="005A2D7C">
      <w:rPr>
        <w:bCs/>
      </w:rPr>
      <w:t>55</w:t>
    </w:r>
    <w:r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8EE28A7"/>
    <w:multiLevelType w:val="hybridMultilevel"/>
    <w:tmpl w:val="02F850A8"/>
    <w:lvl w:ilvl="0" w:tplc="0EC87A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3877B82"/>
    <w:multiLevelType w:val="hybridMultilevel"/>
    <w:tmpl w:val="FC329868"/>
    <w:lvl w:ilvl="0" w:tplc="9C76E05E">
      <w:start w:val="1"/>
      <w:numFmt w:val="upperRoman"/>
      <w:lvlText w:val="%1."/>
      <w:lvlJc w:val="left"/>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6EE68D7"/>
    <w:multiLevelType w:val="multilevel"/>
    <w:tmpl w:val="B7EC470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34F"/>
    <w:rsid w:val="000210D4"/>
    <w:rsid w:val="00063016"/>
    <w:rsid w:val="00066795"/>
    <w:rsid w:val="00076AF6"/>
    <w:rsid w:val="00085CF2"/>
    <w:rsid w:val="000B1705"/>
    <w:rsid w:val="000D75B2"/>
    <w:rsid w:val="001121F5"/>
    <w:rsid w:val="001400DC"/>
    <w:rsid w:val="00140CE1"/>
    <w:rsid w:val="0014634F"/>
    <w:rsid w:val="0017539C"/>
    <w:rsid w:val="00175AC2"/>
    <w:rsid w:val="0017609F"/>
    <w:rsid w:val="001C628E"/>
    <w:rsid w:val="001E0F7B"/>
    <w:rsid w:val="002119FD"/>
    <w:rsid w:val="002130E0"/>
    <w:rsid w:val="002557AE"/>
    <w:rsid w:val="00264425"/>
    <w:rsid w:val="00265875"/>
    <w:rsid w:val="0027303B"/>
    <w:rsid w:val="0028109B"/>
    <w:rsid w:val="002A2188"/>
    <w:rsid w:val="002B1F58"/>
    <w:rsid w:val="002C1C7A"/>
    <w:rsid w:val="0030160F"/>
    <w:rsid w:val="00303E07"/>
    <w:rsid w:val="00320223"/>
    <w:rsid w:val="00322D0D"/>
    <w:rsid w:val="00362C90"/>
    <w:rsid w:val="003942D4"/>
    <w:rsid w:val="003958A8"/>
    <w:rsid w:val="003C2533"/>
    <w:rsid w:val="0040435A"/>
    <w:rsid w:val="00416A24"/>
    <w:rsid w:val="00431D9E"/>
    <w:rsid w:val="00433CE8"/>
    <w:rsid w:val="00434A5C"/>
    <w:rsid w:val="004544D9"/>
    <w:rsid w:val="00490E72"/>
    <w:rsid w:val="00491157"/>
    <w:rsid w:val="004921C8"/>
    <w:rsid w:val="004A1B8B"/>
    <w:rsid w:val="004C6F52"/>
    <w:rsid w:val="004D1851"/>
    <w:rsid w:val="004D599D"/>
    <w:rsid w:val="004E2EA5"/>
    <w:rsid w:val="004E31E8"/>
    <w:rsid w:val="004E3AEB"/>
    <w:rsid w:val="004F483E"/>
    <w:rsid w:val="0050223C"/>
    <w:rsid w:val="00502C0B"/>
    <w:rsid w:val="005243FF"/>
    <w:rsid w:val="00564FBC"/>
    <w:rsid w:val="00582442"/>
    <w:rsid w:val="00596A03"/>
    <w:rsid w:val="005A2D7C"/>
    <w:rsid w:val="005F3269"/>
    <w:rsid w:val="006133E7"/>
    <w:rsid w:val="00623AE3"/>
    <w:rsid w:val="0064737F"/>
    <w:rsid w:val="006535F1"/>
    <w:rsid w:val="0065557D"/>
    <w:rsid w:val="00662984"/>
    <w:rsid w:val="006673C5"/>
    <w:rsid w:val="006716BB"/>
    <w:rsid w:val="00676B32"/>
    <w:rsid w:val="006B6680"/>
    <w:rsid w:val="006B6DCC"/>
    <w:rsid w:val="00702DEF"/>
    <w:rsid w:val="00706861"/>
    <w:rsid w:val="0075051B"/>
    <w:rsid w:val="0078613B"/>
    <w:rsid w:val="00793188"/>
    <w:rsid w:val="00794D34"/>
    <w:rsid w:val="00813E5E"/>
    <w:rsid w:val="0083581B"/>
    <w:rsid w:val="00846D20"/>
    <w:rsid w:val="008532FE"/>
    <w:rsid w:val="00864AFF"/>
    <w:rsid w:val="008B4A6A"/>
    <w:rsid w:val="008C7E27"/>
    <w:rsid w:val="009173EF"/>
    <w:rsid w:val="00932906"/>
    <w:rsid w:val="00954032"/>
    <w:rsid w:val="00961B0B"/>
    <w:rsid w:val="00972E19"/>
    <w:rsid w:val="009B38C3"/>
    <w:rsid w:val="009E17BD"/>
    <w:rsid w:val="009E485A"/>
    <w:rsid w:val="009F7281"/>
    <w:rsid w:val="00A04CEC"/>
    <w:rsid w:val="00A27F92"/>
    <w:rsid w:val="00A32257"/>
    <w:rsid w:val="00A36D20"/>
    <w:rsid w:val="00A55622"/>
    <w:rsid w:val="00A83502"/>
    <w:rsid w:val="00AD15B3"/>
    <w:rsid w:val="00AF6E49"/>
    <w:rsid w:val="00B00813"/>
    <w:rsid w:val="00B04A67"/>
    <w:rsid w:val="00B0583C"/>
    <w:rsid w:val="00B40A81"/>
    <w:rsid w:val="00B44910"/>
    <w:rsid w:val="00B72267"/>
    <w:rsid w:val="00B76EB6"/>
    <w:rsid w:val="00B7737B"/>
    <w:rsid w:val="00B824C8"/>
    <w:rsid w:val="00B84B9D"/>
    <w:rsid w:val="00B85176"/>
    <w:rsid w:val="00BC251A"/>
    <w:rsid w:val="00BD032B"/>
    <w:rsid w:val="00BE2640"/>
    <w:rsid w:val="00BE31C0"/>
    <w:rsid w:val="00C01189"/>
    <w:rsid w:val="00C374DE"/>
    <w:rsid w:val="00C47AD4"/>
    <w:rsid w:val="00C52608"/>
    <w:rsid w:val="00C52D81"/>
    <w:rsid w:val="00C55198"/>
    <w:rsid w:val="00CA6393"/>
    <w:rsid w:val="00CB18FF"/>
    <w:rsid w:val="00CD0C08"/>
    <w:rsid w:val="00CE03FB"/>
    <w:rsid w:val="00CE433C"/>
    <w:rsid w:val="00CF33F3"/>
    <w:rsid w:val="00D06183"/>
    <w:rsid w:val="00D22C42"/>
    <w:rsid w:val="00D24014"/>
    <w:rsid w:val="00D65041"/>
    <w:rsid w:val="00D91489"/>
    <w:rsid w:val="00DB384B"/>
    <w:rsid w:val="00E02273"/>
    <w:rsid w:val="00E10E80"/>
    <w:rsid w:val="00E124F0"/>
    <w:rsid w:val="00E14B31"/>
    <w:rsid w:val="00E3513C"/>
    <w:rsid w:val="00E60F04"/>
    <w:rsid w:val="00E854E4"/>
    <w:rsid w:val="00E940DC"/>
    <w:rsid w:val="00EB0D6F"/>
    <w:rsid w:val="00EB2232"/>
    <w:rsid w:val="00EC5337"/>
    <w:rsid w:val="00F2150A"/>
    <w:rsid w:val="00F231D8"/>
    <w:rsid w:val="00F46C5F"/>
    <w:rsid w:val="00F7263C"/>
    <w:rsid w:val="00F94A63"/>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191EB6E"/>
  <w15:docId w15:val="{2D7282C5-D362-4336-BB5E-B699225B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link w:val="NormalaftertitleChar"/>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D91489"/>
    <w:pPr>
      <w:ind w:left="720"/>
      <w:contextualSpacing/>
    </w:pPr>
  </w:style>
  <w:style w:type="character" w:customStyle="1" w:styleId="UnresolvedMention1">
    <w:name w:val="Unresolved Mention1"/>
    <w:basedOn w:val="DefaultParagraphFont"/>
    <w:uiPriority w:val="99"/>
    <w:semiHidden/>
    <w:unhideWhenUsed/>
    <w:rsid w:val="00954032"/>
    <w:rPr>
      <w:color w:val="605E5C"/>
      <w:shd w:val="clear" w:color="auto" w:fill="E1DFDD"/>
    </w:rPr>
  </w:style>
  <w:style w:type="character" w:customStyle="1" w:styleId="NormalaftertitleChar">
    <w:name w:val="Normal after title Char"/>
    <w:basedOn w:val="DefaultParagraphFont"/>
    <w:link w:val="Normalaftertitle"/>
    <w:rsid w:val="004C6F52"/>
    <w:rPr>
      <w:rFonts w:ascii="Calibri" w:hAnsi="Calibri"/>
      <w:sz w:val="24"/>
      <w:lang w:val="en-GB" w:eastAsia="en-US"/>
    </w:rPr>
  </w:style>
  <w:style w:type="paragraph" w:styleId="Revision">
    <w:name w:val="Revision"/>
    <w:hidden/>
    <w:uiPriority w:val="99"/>
    <w:semiHidden/>
    <w:rsid w:val="00676B32"/>
    <w:rPr>
      <w:rFonts w:ascii="Calibri" w:hAnsi="Calibri"/>
      <w:sz w:val="24"/>
      <w:lang w:val="en-GB" w:eastAsia="en-US"/>
    </w:rPr>
  </w:style>
  <w:style w:type="character" w:styleId="UnresolvedMention">
    <w:name w:val="Unresolved Mention"/>
    <w:basedOn w:val="DefaultParagraphFont"/>
    <w:uiPriority w:val="99"/>
    <w:semiHidden/>
    <w:unhideWhenUsed/>
    <w:rsid w:val="006133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21-RCLCWGLANG11-C-0005/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20-RCLCWGLANG10-C-0004/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9-RCLCWGLANG9-C-0005/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en/council/cwg-lang/Pages/default.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en/council/Documents/basic-texts/DEC-011-E.pdf" TargetMode="External"/><Relationship Id="rId14" Type="http://schemas.openxmlformats.org/officeDocument/2006/relationships/hyperlink" Target="https://www.itu.int/md/S22-RCLCWGLANG12-C-0005/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8D155-CF62-4EA8-95FD-154F09562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PE_C21.dotx</Template>
  <TotalTime>5</TotalTime>
  <Pages>3</Pages>
  <Words>733</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Council 2022</vt:lpstr>
    </vt:vector>
  </TitlesOfParts>
  <Manager>General Secretariat - Pool</Manager>
  <Company>International Telecommunication Union (ITU)</Company>
  <LinksUpToDate>false</LinksUpToDate>
  <CharactersWithSpaces>5209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Four-year report of the Council Working Group on Languages</dc:title>
  <dc:subject>Council 2022</dc:subject>
  <dc:creator>Brouard, Ricarda</dc:creator>
  <cp:keywords>C2022, C22, Council-22</cp:keywords>
  <dc:description/>
  <cp:lastModifiedBy>Xue, Kun</cp:lastModifiedBy>
  <cp:revision>4</cp:revision>
  <cp:lastPrinted>2000-07-18T13:30:00Z</cp:lastPrinted>
  <dcterms:created xsi:type="dcterms:W3CDTF">2022-02-04T17:00:00Z</dcterms:created>
  <dcterms:modified xsi:type="dcterms:W3CDTF">2022-02-18T16:17:00Z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