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614F0A" w14:paraId="5C8B1D24" w14:textId="77777777">
        <w:trPr>
          <w:cantSplit/>
        </w:trPr>
        <w:tc>
          <w:tcPr>
            <w:tcW w:w="6912" w:type="dxa"/>
          </w:tcPr>
          <w:p w14:paraId="7F5B9BBC" w14:textId="77777777" w:rsidR="00093EEB" w:rsidRPr="00614F0A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614F0A">
              <w:rPr>
                <w:b/>
                <w:bCs/>
                <w:sz w:val="30"/>
                <w:szCs w:val="30"/>
              </w:rPr>
              <w:t>Consejo 20</w:t>
            </w:r>
            <w:r w:rsidR="007955DA" w:rsidRPr="00614F0A">
              <w:rPr>
                <w:b/>
                <w:bCs/>
                <w:sz w:val="30"/>
                <w:szCs w:val="30"/>
              </w:rPr>
              <w:t>2</w:t>
            </w:r>
            <w:r w:rsidR="00D50A36" w:rsidRPr="00614F0A">
              <w:rPr>
                <w:b/>
                <w:bCs/>
                <w:sz w:val="30"/>
                <w:szCs w:val="30"/>
              </w:rPr>
              <w:t>2</w:t>
            </w:r>
            <w:r w:rsidRPr="00614F0A">
              <w:rPr>
                <w:b/>
                <w:bCs/>
                <w:sz w:val="26"/>
                <w:szCs w:val="26"/>
              </w:rPr>
              <w:br/>
            </w:r>
            <w:r w:rsidR="00D50A36" w:rsidRPr="00614F0A">
              <w:rPr>
                <w:b/>
                <w:bCs/>
                <w:sz w:val="26"/>
                <w:szCs w:val="26"/>
              </w:rPr>
              <w:t>Ginebra</w:t>
            </w:r>
            <w:r w:rsidRPr="00614F0A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614F0A">
              <w:rPr>
                <w:b/>
                <w:bCs/>
                <w:sz w:val="26"/>
                <w:szCs w:val="26"/>
              </w:rPr>
              <w:t>21</w:t>
            </w:r>
            <w:r w:rsidRPr="00614F0A">
              <w:rPr>
                <w:b/>
                <w:bCs/>
                <w:sz w:val="26"/>
                <w:szCs w:val="26"/>
              </w:rPr>
              <w:t>-</w:t>
            </w:r>
            <w:r w:rsidR="00D50A36" w:rsidRPr="00614F0A">
              <w:rPr>
                <w:b/>
                <w:bCs/>
                <w:sz w:val="26"/>
                <w:szCs w:val="26"/>
              </w:rPr>
              <w:t>31</w:t>
            </w:r>
            <w:r w:rsidRPr="00614F0A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614F0A">
              <w:rPr>
                <w:b/>
                <w:bCs/>
                <w:sz w:val="26"/>
                <w:szCs w:val="26"/>
              </w:rPr>
              <w:t>marzo</w:t>
            </w:r>
            <w:r w:rsidRPr="00614F0A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614F0A">
              <w:rPr>
                <w:b/>
                <w:bCs/>
                <w:sz w:val="26"/>
                <w:szCs w:val="26"/>
              </w:rPr>
              <w:t>2</w:t>
            </w:r>
            <w:r w:rsidR="00D50A36" w:rsidRPr="00614F0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787285FC" w14:textId="77777777" w:rsidR="00093EEB" w:rsidRPr="00614F0A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6E755E">
              <w:rPr>
                <w:noProof/>
              </w:rPr>
              <w:drawing>
                <wp:inline distT="0" distB="0" distL="0" distR="0" wp14:anchorId="224C9857" wp14:editId="6F7CF8A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614F0A" w14:paraId="276ACB40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FE9CD03" w14:textId="77777777" w:rsidR="00093EEB" w:rsidRPr="00614F0A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614F0A" w14:paraId="3B3947A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70423F3" w14:textId="77777777" w:rsidR="00093EEB" w:rsidRPr="00614F0A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4E408FB" w14:textId="77777777" w:rsidR="00093EEB" w:rsidRPr="00614F0A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614F0A" w14:paraId="6579077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F7E6334" w14:textId="66B5C8DB" w:rsidR="00093EEB" w:rsidRPr="00614F0A" w:rsidRDefault="0063213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614F0A">
              <w:rPr>
                <w:rFonts w:cs="Times"/>
                <w:b/>
                <w:szCs w:val="24"/>
              </w:rPr>
              <w:t>Punto del orden del día: PL 1.2</w:t>
            </w:r>
          </w:p>
        </w:tc>
        <w:tc>
          <w:tcPr>
            <w:tcW w:w="3261" w:type="dxa"/>
          </w:tcPr>
          <w:p w14:paraId="4EB088B3" w14:textId="1C98CB62" w:rsidR="00093EEB" w:rsidRPr="00614F0A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614F0A">
              <w:rPr>
                <w:b/>
                <w:bCs/>
                <w:szCs w:val="24"/>
              </w:rPr>
              <w:t>Documento C</w:t>
            </w:r>
            <w:r w:rsidR="007955DA" w:rsidRPr="00614F0A">
              <w:rPr>
                <w:b/>
                <w:bCs/>
                <w:szCs w:val="24"/>
              </w:rPr>
              <w:t>2</w:t>
            </w:r>
            <w:r w:rsidR="00D50A36" w:rsidRPr="00614F0A">
              <w:rPr>
                <w:b/>
                <w:bCs/>
                <w:szCs w:val="24"/>
              </w:rPr>
              <w:t>2</w:t>
            </w:r>
            <w:r w:rsidRPr="00614F0A">
              <w:rPr>
                <w:b/>
                <w:bCs/>
                <w:szCs w:val="24"/>
              </w:rPr>
              <w:t>/</w:t>
            </w:r>
            <w:r w:rsidR="0063213F" w:rsidRPr="00614F0A">
              <w:rPr>
                <w:b/>
                <w:bCs/>
                <w:szCs w:val="24"/>
              </w:rPr>
              <w:t>51</w:t>
            </w:r>
            <w:r w:rsidRPr="00614F0A">
              <w:rPr>
                <w:b/>
                <w:bCs/>
                <w:szCs w:val="24"/>
              </w:rPr>
              <w:t>-S</w:t>
            </w:r>
          </w:p>
        </w:tc>
      </w:tr>
      <w:tr w:rsidR="00093EEB" w:rsidRPr="00614F0A" w14:paraId="3675FFC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F1FD178" w14:textId="77777777" w:rsidR="00093EEB" w:rsidRPr="00614F0A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32B3CAC0" w14:textId="4966172F" w:rsidR="00093EEB" w:rsidRPr="00614F0A" w:rsidRDefault="0063213F" w:rsidP="00C2727F">
            <w:pPr>
              <w:spacing w:before="0"/>
              <w:rPr>
                <w:b/>
                <w:bCs/>
                <w:szCs w:val="24"/>
              </w:rPr>
            </w:pPr>
            <w:r w:rsidRPr="00614F0A">
              <w:rPr>
                <w:b/>
                <w:bCs/>
                <w:szCs w:val="24"/>
              </w:rPr>
              <w:t>26 de enero de</w:t>
            </w:r>
            <w:r w:rsidR="00093EEB" w:rsidRPr="00614F0A">
              <w:rPr>
                <w:b/>
                <w:bCs/>
                <w:szCs w:val="24"/>
              </w:rPr>
              <w:t xml:space="preserve"> 20</w:t>
            </w:r>
            <w:r w:rsidR="007955DA" w:rsidRPr="00614F0A">
              <w:rPr>
                <w:b/>
                <w:bCs/>
                <w:szCs w:val="24"/>
              </w:rPr>
              <w:t>2</w:t>
            </w:r>
            <w:r w:rsidR="000007D1" w:rsidRPr="00614F0A">
              <w:rPr>
                <w:b/>
                <w:bCs/>
                <w:szCs w:val="24"/>
              </w:rPr>
              <w:t>1</w:t>
            </w:r>
          </w:p>
        </w:tc>
      </w:tr>
      <w:tr w:rsidR="00093EEB" w:rsidRPr="00614F0A" w14:paraId="2C06B6A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7E2D2A1" w14:textId="77777777" w:rsidR="00093EEB" w:rsidRPr="00614F0A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3B75A0F" w14:textId="77777777" w:rsidR="00093EEB" w:rsidRPr="00614F0A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614F0A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614F0A" w14:paraId="13D20C0C" w14:textId="77777777">
        <w:trPr>
          <w:cantSplit/>
        </w:trPr>
        <w:tc>
          <w:tcPr>
            <w:tcW w:w="10173" w:type="dxa"/>
            <w:gridSpan w:val="2"/>
          </w:tcPr>
          <w:p w14:paraId="189B2B1F" w14:textId="12C43AC3" w:rsidR="00093EEB" w:rsidRPr="00614F0A" w:rsidRDefault="006735A1" w:rsidP="006735A1">
            <w:pPr>
              <w:pStyle w:val="Source"/>
            </w:pPr>
            <w:bookmarkStart w:id="7" w:name="dsource" w:colFirst="0" w:colLast="0"/>
            <w:bookmarkEnd w:id="1"/>
            <w:bookmarkEnd w:id="6"/>
            <w:r w:rsidRPr="006735A1">
              <w:t>Informe del Presidente del Grupo de Trabajo del Consejo sobre cuestiones de política pública internacional relacionadas con Internet (GTC-Internet)</w:t>
            </w:r>
          </w:p>
        </w:tc>
      </w:tr>
      <w:tr w:rsidR="00093EEB" w:rsidRPr="00614F0A" w14:paraId="2D23B1A4" w14:textId="77777777">
        <w:trPr>
          <w:cantSplit/>
        </w:trPr>
        <w:tc>
          <w:tcPr>
            <w:tcW w:w="10173" w:type="dxa"/>
            <w:gridSpan w:val="2"/>
          </w:tcPr>
          <w:p w14:paraId="7C24DC48" w14:textId="2A770EAE" w:rsidR="00093EEB" w:rsidRPr="00614F0A" w:rsidRDefault="00093EEB">
            <w:pPr>
              <w:pStyle w:val="Title1"/>
            </w:pPr>
            <w:bookmarkStart w:id="8" w:name="dtitle1" w:colFirst="0" w:colLast="0"/>
            <w:bookmarkEnd w:id="7"/>
          </w:p>
        </w:tc>
      </w:tr>
      <w:bookmarkEnd w:id="8"/>
    </w:tbl>
    <w:p w14:paraId="4D62A13E" w14:textId="77777777" w:rsidR="00093EEB" w:rsidRPr="00614F0A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614F0A" w14:paraId="2B5F8343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097FF" w14:textId="77777777" w:rsidR="00093EEB" w:rsidRPr="00614F0A" w:rsidRDefault="00093EEB">
            <w:pPr>
              <w:pStyle w:val="Headingb"/>
            </w:pPr>
            <w:r w:rsidRPr="00614F0A">
              <w:t>Resumen</w:t>
            </w:r>
          </w:p>
          <w:p w14:paraId="6C63EE9F" w14:textId="304929CF" w:rsidR="00093EEB" w:rsidRPr="00614F0A" w:rsidRDefault="0063213F" w:rsidP="008D42CF">
            <w:r w:rsidRPr="00614F0A">
              <w:t xml:space="preserve">En el presente </w:t>
            </w:r>
            <w:r w:rsidR="00FB052D" w:rsidRPr="00614F0A">
              <w:t xml:space="preserve">Informe </w:t>
            </w:r>
            <w:r w:rsidRPr="00614F0A">
              <w:t xml:space="preserve">se resumen los principales resultados de </w:t>
            </w:r>
            <w:r w:rsidR="00BB0589" w:rsidRPr="00614F0A">
              <w:t>l</w:t>
            </w:r>
            <w:r w:rsidR="00885E71">
              <w:t>a</w:t>
            </w:r>
            <w:r w:rsidR="00BB0589" w:rsidRPr="00614F0A">
              <w:t xml:space="preserve"> decimosexta y</w:t>
            </w:r>
            <w:r w:rsidR="00504AFE" w:rsidRPr="00614F0A">
              <w:t xml:space="preserve"> </w:t>
            </w:r>
            <w:r w:rsidR="00BB0589" w:rsidRPr="00614F0A">
              <w:t>decimoséptima</w:t>
            </w:r>
            <w:r w:rsidR="00504AFE" w:rsidRPr="00614F0A">
              <w:t xml:space="preserve"> reuni</w:t>
            </w:r>
            <w:r w:rsidR="00885E71">
              <w:t>ó</w:t>
            </w:r>
            <w:r w:rsidR="00504AFE" w:rsidRPr="00614F0A">
              <w:t>n</w:t>
            </w:r>
            <w:r w:rsidR="00BB0589" w:rsidRPr="00614F0A">
              <w:t xml:space="preserve"> </w:t>
            </w:r>
            <w:r w:rsidRPr="00614F0A">
              <w:t>del GTC-Internet, celebrada</w:t>
            </w:r>
            <w:r w:rsidR="00BB0589" w:rsidRPr="00614F0A">
              <w:t>s</w:t>
            </w:r>
            <w:r w:rsidRPr="00614F0A">
              <w:t xml:space="preserve"> el</w:t>
            </w:r>
            <w:r w:rsidR="00BB0589" w:rsidRPr="00614F0A">
              <w:t xml:space="preserve"> 23 de septiembre de</w:t>
            </w:r>
            <w:r w:rsidR="00CD35F3">
              <w:t> </w:t>
            </w:r>
            <w:r w:rsidR="00BB0589" w:rsidRPr="00614F0A">
              <w:t>2021 y del</w:t>
            </w:r>
            <w:r w:rsidRPr="00614F0A">
              <w:t xml:space="preserve"> </w:t>
            </w:r>
            <w:r w:rsidR="00BB0589" w:rsidRPr="00614F0A">
              <w:t>19</w:t>
            </w:r>
            <w:r w:rsidRPr="00614F0A">
              <w:t xml:space="preserve"> al </w:t>
            </w:r>
            <w:r w:rsidR="00BB0589" w:rsidRPr="00614F0A">
              <w:t>20</w:t>
            </w:r>
            <w:r w:rsidRPr="00614F0A">
              <w:t xml:space="preserve"> de enero de 202</w:t>
            </w:r>
            <w:r w:rsidR="00BB0589" w:rsidRPr="00614F0A">
              <w:t>2</w:t>
            </w:r>
            <w:r w:rsidRPr="00614F0A">
              <w:t>, con arreglo a lo dispuesto en las Resoluciones 102 (Rev. Dubái, 2018) y 140 (Rev. Dubái, 2018) de la PP-18 y las Resoluciones 1305 (modificada en 2019) y 1336 (modificada en 2019) del Consejo.</w:t>
            </w:r>
          </w:p>
          <w:p w14:paraId="50C6338F" w14:textId="77777777" w:rsidR="00093EEB" w:rsidRPr="00614F0A" w:rsidRDefault="00093EEB">
            <w:pPr>
              <w:pStyle w:val="Headingb"/>
            </w:pPr>
            <w:r w:rsidRPr="00614F0A">
              <w:t>Acción solicitada</w:t>
            </w:r>
          </w:p>
          <w:p w14:paraId="5EB4E112" w14:textId="0962E5DB" w:rsidR="00093EEB" w:rsidRPr="00614F0A" w:rsidRDefault="0063213F">
            <w:r w:rsidRPr="00614F0A">
              <w:t xml:space="preserve">Se invita al Consejo a </w:t>
            </w:r>
            <w:r w:rsidRPr="00614F0A">
              <w:rPr>
                <w:b/>
                <w:bCs/>
              </w:rPr>
              <w:t>tomar nota</w:t>
            </w:r>
            <w:r w:rsidRPr="00614F0A">
              <w:t xml:space="preserve"> del Informe.</w:t>
            </w:r>
          </w:p>
          <w:p w14:paraId="5C2B4D7F" w14:textId="77777777" w:rsidR="00093EEB" w:rsidRPr="00614F0A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614F0A">
              <w:rPr>
                <w:caps w:val="0"/>
                <w:sz w:val="22"/>
                <w:lang w:val="es-ES_tradnl"/>
              </w:rPr>
              <w:t>____________</w:t>
            </w:r>
          </w:p>
          <w:p w14:paraId="0448F8CD" w14:textId="290A432E" w:rsidR="00093EEB" w:rsidRPr="00614F0A" w:rsidRDefault="00093EEB">
            <w:pPr>
              <w:pStyle w:val="Headingb"/>
            </w:pPr>
            <w:r w:rsidRPr="00614F0A">
              <w:t>Referencia</w:t>
            </w:r>
            <w:r w:rsidR="006735A1">
              <w:t>s</w:t>
            </w:r>
          </w:p>
          <w:p w14:paraId="30B1ADA6" w14:textId="7EA0DE64" w:rsidR="00093EEB" w:rsidRPr="00614F0A" w:rsidRDefault="00F32AED" w:rsidP="00FB052D">
            <w:pPr>
              <w:spacing w:after="120"/>
              <w:rPr>
                <w:i/>
                <w:iCs/>
              </w:rPr>
            </w:pPr>
            <w:hyperlink r:id="rId9" w:history="1">
              <w:r w:rsidR="0063213F" w:rsidRPr="00614F0A">
                <w:rPr>
                  <w:rStyle w:val="Hyperlink"/>
                  <w:bCs/>
                  <w:i/>
                  <w:iCs/>
                </w:rPr>
                <w:t>Resolución 102 (</w:t>
              </w:r>
              <w:r w:rsidR="0063213F" w:rsidRPr="00614F0A">
                <w:rPr>
                  <w:rStyle w:val="Hyperlink"/>
                  <w:i/>
                  <w:iCs/>
                </w:rPr>
                <w:t>Rev. Dubái, 2018</w:t>
              </w:r>
              <w:r w:rsidR="0063213F" w:rsidRPr="00614F0A">
                <w:rPr>
                  <w:rStyle w:val="Hyperlink"/>
                  <w:bCs/>
                  <w:i/>
                  <w:iCs/>
                </w:rPr>
                <w:t>)</w:t>
              </w:r>
            </w:hyperlink>
            <w:r w:rsidR="0063213F" w:rsidRPr="00614F0A">
              <w:rPr>
                <w:bCs/>
                <w:i/>
                <w:iCs/>
              </w:rPr>
              <w:t>,</w:t>
            </w:r>
            <w:r w:rsidR="0063213F" w:rsidRPr="00614F0A">
              <w:rPr>
                <w:i/>
                <w:iCs/>
              </w:rPr>
              <w:t xml:space="preserve"> </w:t>
            </w:r>
            <w:hyperlink r:id="rId10" w:history="1">
              <w:r w:rsidR="0063213F" w:rsidRPr="00614F0A">
                <w:rPr>
                  <w:rStyle w:val="Hyperlink"/>
                  <w:bCs/>
                  <w:i/>
                  <w:iCs/>
                </w:rPr>
                <w:t>Resolución 140 (Rev. Dubái, 2018)</w:t>
              </w:r>
            </w:hyperlink>
            <w:r w:rsidR="0063213F" w:rsidRPr="008D42CF">
              <w:t>,</w:t>
            </w:r>
            <w:r w:rsidR="00FB052D">
              <w:t xml:space="preserve"> </w:t>
            </w:r>
            <w:r w:rsidR="0063213F" w:rsidRPr="00614F0A">
              <w:rPr>
                <w:i/>
                <w:iCs/>
              </w:rPr>
              <w:t xml:space="preserve">Resoluciones del Consejo </w:t>
            </w:r>
            <w:hyperlink r:id="rId11" w:history="1">
              <w:r w:rsidR="0063213F" w:rsidRPr="00614F0A">
                <w:rPr>
                  <w:rStyle w:val="Hyperlink"/>
                  <w:i/>
                  <w:iCs/>
                </w:rPr>
                <w:t>1305 (modificada en 2019)</w:t>
              </w:r>
            </w:hyperlink>
            <w:r w:rsidR="0063213F" w:rsidRPr="00D4183D">
              <w:t xml:space="preserve"> </w:t>
            </w:r>
            <w:r w:rsidR="0063213F" w:rsidRPr="00614F0A">
              <w:rPr>
                <w:i/>
                <w:iCs/>
              </w:rPr>
              <w:t xml:space="preserve">y </w:t>
            </w:r>
            <w:hyperlink r:id="rId12" w:history="1">
              <w:r w:rsidR="0063213F" w:rsidRPr="00614F0A">
                <w:rPr>
                  <w:rStyle w:val="Hyperlink"/>
                  <w:i/>
                  <w:iCs/>
                </w:rPr>
                <w:t>1336 (modificada en</w:t>
              </w:r>
              <w:r w:rsidR="00885E71">
                <w:rPr>
                  <w:rStyle w:val="Hyperlink"/>
                  <w:i/>
                  <w:iCs/>
                </w:rPr>
                <w:t> </w:t>
              </w:r>
              <w:r w:rsidR="0063213F" w:rsidRPr="00614F0A">
                <w:rPr>
                  <w:rStyle w:val="Hyperlink"/>
                  <w:i/>
                  <w:iCs/>
                </w:rPr>
                <w:t>2019)</w:t>
              </w:r>
            </w:hyperlink>
          </w:p>
        </w:tc>
      </w:tr>
    </w:tbl>
    <w:p w14:paraId="10EF982C" w14:textId="77777777" w:rsidR="0063213F" w:rsidRPr="00614F0A" w:rsidRDefault="0063213F" w:rsidP="0063213F">
      <w:pPr>
        <w:pStyle w:val="Heading1"/>
      </w:pPr>
      <w:r w:rsidRPr="00614F0A">
        <w:t>1</w:t>
      </w:r>
      <w:r w:rsidRPr="00614F0A">
        <w:tab/>
        <w:t>Introducción</w:t>
      </w:r>
    </w:p>
    <w:p w14:paraId="52AD91C5" w14:textId="712E2CE4" w:rsidR="0063213F" w:rsidRPr="00614F0A" w:rsidRDefault="0063213F" w:rsidP="0063213F">
      <w:r w:rsidRPr="00D4183D">
        <w:rPr>
          <w:b/>
          <w:bCs/>
        </w:rPr>
        <w:t>1.1</w:t>
      </w:r>
      <w:r w:rsidRPr="00614F0A">
        <w:tab/>
        <w:t xml:space="preserve">El </w:t>
      </w:r>
      <w:hyperlink r:id="rId13" w:history="1">
        <w:r w:rsidRPr="00614F0A">
          <w:rPr>
            <w:rStyle w:val="Hyperlink"/>
          </w:rPr>
          <w:t>Grupo de Trabajo del Consejo sobre cuestiones de política pública internacional relacionadas con Internet (GTC-Internet)</w:t>
        </w:r>
      </w:hyperlink>
      <w:r w:rsidRPr="00614F0A">
        <w:t xml:space="preserve"> es un </w:t>
      </w:r>
      <w:r w:rsidR="00885E71">
        <w:t>g</w:t>
      </w:r>
      <w:r w:rsidRPr="00614F0A">
        <w:t>rupo específico constituido por el Consejo en virtud de lo dispuesto en su Resolución 1336 (modificada en 2019), con arreglo a las Resoluciones 102 y 140 de la Conferencia de Plenipotenciarios de la UIT (Rev. Dubái, 2018). La participación en el GTC-Internet está limitada a los Estados Miembros, con consultas abiertas con todos los interesados.</w:t>
      </w:r>
    </w:p>
    <w:p w14:paraId="67BE1ED6" w14:textId="77777777" w:rsidR="0063213F" w:rsidRPr="00614F0A" w:rsidRDefault="0063213F" w:rsidP="00D4183D">
      <w:pPr>
        <w:keepNext/>
        <w:keepLines/>
      </w:pPr>
      <w:r w:rsidRPr="00D4183D">
        <w:rPr>
          <w:b/>
          <w:bCs/>
        </w:rPr>
        <w:lastRenderedPageBreak/>
        <w:t>1.2</w:t>
      </w:r>
      <w:r w:rsidRPr="00614F0A">
        <w:tab/>
        <w:t>El mandato del GTC-Internet, especificado en la Resolución 1336 del Consejo (modificada en 2019), consiste en identificar, estudiar y desarrollar temas relativos a cuestiones de política pública internacional relacionada con Internet, incluidos los asuntos identificados en la Resolución 1305 del Consejo (modificada en 2019) y, a ese respecto y según proceda:</w:t>
      </w:r>
    </w:p>
    <w:p w14:paraId="03B1E3A5" w14:textId="735ABCC1" w:rsidR="0063213F" w:rsidRPr="00614F0A" w:rsidRDefault="0063213F" w:rsidP="0063213F">
      <w:pPr>
        <w:pStyle w:val="enumlev1"/>
      </w:pPr>
      <w:r w:rsidRPr="00614F0A">
        <w:t>a)</w:t>
      </w:r>
      <w:r w:rsidRPr="00614F0A">
        <w:tab/>
        <w:t xml:space="preserve">transmitir sus resultados a todos los </w:t>
      </w:r>
      <w:r w:rsidR="00A50E7D">
        <w:t>m</w:t>
      </w:r>
      <w:r w:rsidRPr="00614F0A">
        <w:t>iembros de la UIT y a todas las organizaciones internacionales y partes interesadas pertinentes que participan activamente en estas cuestiones para que las examinen en el marco de su proceso de adopción de decisiones;</w:t>
      </w:r>
    </w:p>
    <w:p w14:paraId="5A76D3A2" w14:textId="77777777" w:rsidR="0063213F" w:rsidRPr="00614F0A" w:rsidRDefault="0063213F" w:rsidP="0063213F">
      <w:pPr>
        <w:pStyle w:val="enumlev1"/>
      </w:pPr>
      <w:r w:rsidRPr="00614F0A">
        <w:t>b)</w:t>
      </w:r>
      <w:r w:rsidRPr="00614F0A">
        <w:tab/>
        <w:t>examinar y estudiar las actividades que realicen el Secretario General y los Directores de las Oficinas para dar aplicación a la Resolución 102 (Rev. Dubái, 2018) y preparar las contribuciones a estas actividades, según proceda;</w:t>
      </w:r>
    </w:p>
    <w:p w14:paraId="1BA1CB84" w14:textId="77777777" w:rsidR="0063213F" w:rsidRPr="00614F0A" w:rsidRDefault="0063213F" w:rsidP="0063213F">
      <w:pPr>
        <w:pStyle w:val="enumlev1"/>
      </w:pPr>
      <w:r w:rsidRPr="00614F0A">
        <w:t>c)</w:t>
      </w:r>
      <w:r w:rsidRPr="00614F0A">
        <w:tab/>
        <w:t>iniciar y dirigir un procedimiento de consultas abiertas de carácter participativo e integrador con todas las partes interesadas; y los resultados del procedimiento de consultas abiertas se presentarán para su consideración en las deliberaciones del Grupo de Trabajo del Consejo.</w:t>
      </w:r>
    </w:p>
    <w:p w14:paraId="29093C61" w14:textId="057FB1CA" w:rsidR="0063213F" w:rsidRPr="00614F0A" w:rsidRDefault="0063213F" w:rsidP="0063213F">
      <w:r w:rsidRPr="00D4183D">
        <w:rPr>
          <w:b/>
          <w:bCs/>
        </w:rPr>
        <w:t>1.3</w:t>
      </w:r>
      <w:r w:rsidRPr="00614F0A">
        <w:tab/>
        <w:t>En la Resolución 102 (Rev. Dubái, 2018) de la Conferencia de Plenipotenciarios se encarga al Consejo que revise su Resolución 1344 para encargar al GTC-Internet, en el que sólo pueden participar los Estados Miembros y celebra</w:t>
      </w:r>
      <w:r w:rsidR="00A50E7D">
        <w:t>r</w:t>
      </w:r>
      <w:r w:rsidRPr="00614F0A">
        <w:t xml:space="preserve"> consultas abiertas con todas las partes interesadas, que lleve a cabo una consulta abierta con arreglo a las directrices mencionadas en la Resolución. Con objeto de racionalizar las resoluciones del Consejo a tal efecto, en su reunión de 2019 el Consejo decidió modificar la Resolución 1336 para incorporar el contenido de la Resolución 1344, y derogó dicha Resolución 1344.</w:t>
      </w:r>
    </w:p>
    <w:p w14:paraId="625E1C45" w14:textId="77777777" w:rsidR="0063213F" w:rsidRPr="00614F0A" w:rsidRDefault="0063213F" w:rsidP="0063213F">
      <w:r w:rsidRPr="00D4183D">
        <w:rPr>
          <w:b/>
          <w:bCs/>
        </w:rPr>
        <w:t>1.4</w:t>
      </w:r>
      <w:r w:rsidRPr="00614F0A">
        <w:tab/>
        <w:t>En la Resolución 1336 del Consejo (modificada en 2019) se establece la modalidad de consultas abiertas del GTC-Internet.</w:t>
      </w:r>
    </w:p>
    <w:p w14:paraId="4F6F6466" w14:textId="77777777" w:rsidR="0063213F" w:rsidRPr="00614F0A" w:rsidRDefault="0063213F" w:rsidP="0063213F">
      <w:pPr>
        <w:pStyle w:val="Heading1"/>
      </w:pPr>
      <w:r w:rsidRPr="00614F0A">
        <w:t>2</w:t>
      </w:r>
      <w:r w:rsidRPr="00614F0A">
        <w:tab/>
        <w:t>Actividades del GTC-Internet</w:t>
      </w:r>
    </w:p>
    <w:p w14:paraId="7F6B7504" w14:textId="3A0E4411" w:rsidR="0063213F" w:rsidRPr="00614F0A" w:rsidRDefault="0063213F" w:rsidP="002136D1">
      <w:r w:rsidRPr="00D4183D">
        <w:rPr>
          <w:b/>
          <w:bCs/>
        </w:rPr>
        <w:t>2.1</w:t>
      </w:r>
      <w:r w:rsidRPr="00614F0A">
        <w:tab/>
        <w:t xml:space="preserve">Debido a la pandemia de COVID-19, el GTC-Internet celebró </w:t>
      </w:r>
      <w:r w:rsidR="00BB0589" w:rsidRPr="00614F0A">
        <w:t xml:space="preserve">su decimosexta </w:t>
      </w:r>
      <w:r w:rsidR="00563EC5">
        <w:t>y</w:t>
      </w:r>
      <w:r w:rsidR="00BB0589" w:rsidRPr="00614F0A">
        <w:t xml:space="preserve"> decimoséptima</w:t>
      </w:r>
      <w:r w:rsidRPr="00614F0A">
        <w:t xml:space="preserve"> </w:t>
      </w:r>
      <w:r w:rsidR="00504AFE" w:rsidRPr="00614F0A">
        <w:t>reuni</w:t>
      </w:r>
      <w:r w:rsidR="00A50E7D">
        <w:t>ó</w:t>
      </w:r>
      <w:r w:rsidR="00504AFE" w:rsidRPr="00614F0A">
        <w:t xml:space="preserve">n </w:t>
      </w:r>
      <w:r w:rsidRPr="00614F0A">
        <w:t xml:space="preserve">de forma virtual </w:t>
      </w:r>
      <w:r w:rsidR="00BB0589" w:rsidRPr="00614F0A">
        <w:t xml:space="preserve">el 23 de septiembre de 2021 y </w:t>
      </w:r>
      <w:r w:rsidRPr="00614F0A">
        <w:t xml:space="preserve">del </w:t>
      </w:r>
      <w:r w:rsidR="00BB0589" w:rsidRPr="00614F0A">
        <w:t xml:space="preserve">19 </w:t>
      </w:r>
      <w:r w:rsidRPr="00614F0A">
        <w:t xml:space="preserve">al </w:t>
      </w:r>
      <w:r w:rsidR="00BB0589" w:rsidRPr="00614F0A">
        <w:t xml:space="preserve">20 </w:t>
      </w:r>
      <w:r w:rsidRPr="00614F0A">
        <w:t>de enero de</w:t>
      </w:r>
      <w:r w:rsidR="00885E71">
        <w:t> </w:t>
      </w:r>
      <w:r w:rsidR="00BB0589" w:rsidRPr="00614F0A">
        <w:t>2022, respectivamente</w:t>
      </w:r>
      <w:r w:rsidRPr="00614F0A">
        <w:t>.</w:t>
      </w:r>
    </w:p>
    <w:p w14:paraId="58752418" w14:textId="4BF457F2" w:rsidR="0063213F" w:rsidRPr="00FB052D" w:rsidRDefault="0063213F" w:rsidP="00FB052D">
      <w:r w:rsidRPr="00FB052D">
        <w:rPr>
          <w:b/>
          <w:bCs/>
        </w:rPr>
        <w:t>2.2</w:t>
      </w:r>
      <w:r w:rsidRPr="00FB052D">
        <w:tab/>
        <w:t xml:space="preserve">El Grupo aprobó </w:t>
      </w:r>
      <w:r w:rsidR="00BB0589" w:rsidRPr="00FB052D">
        <w:t xml:space="preserve">los informes de la </w:t>
      </w:r>
      <w:hyperlink r:id="rId14" w:history="1">
        <w:r w:rsidR="0058161C" w:rsidRPr="00FB052D">
          <w:rPr>
            <w:rStyle w:val="Hyperlink"/>
          </w:rPr>
          <w:t>decimosexta</w:t>
        </w:r>
      </w:hyperlink>
      <w:r w:rsidR="0058161C" w:rsidRPr="00FB052D">
        <w:t xml:space="preserve"> y</w:t>
      </w:r>
      <w:r w:rsidR="00563EC5" w:rsidRPr="00FB052D">
        <w:t xml:space="preserve"> </w:t>
      </w:r>
      <w:hyperlink r:id="rId15" w:history="1">
        <w:r w:rsidR="0058161C" w:rsidRPr="00FB052D">
          <w:rPr>
            <w:rStyle w:val="Hyperlink"/>
          </w:rPr>
          <w:t>decimoséptima</w:t>
        </w:r>
      </w:hyperlink>
      <w:r w:rsidR="0058161C" w:rsidRPr="00FB052D">
        <w:t xml:space="preserve"> </w:t>
      </w:r>
      <w:r w:rsidR="00BB0589" w:rsidRPr="00FB052D">
        <w:t>reuni</w:t>
      </w:r>
      <w:r w:rsidR="00A50E7D" w:rsidRPr="00FB052D">
        <w:t>ó</w:t>
      </w:r>
      <w:r w:rsidR="00BB0589" w:rsidRPr="00FB052D">
        <w:t xml:space="preserve">n </w:t>
      </w:r>
      <w:r w:rsidRPr="00FB052D">
        <w:t>del</w:t>
      </w:r>
      <w:r w:rsidR="00FB052D">
        <w:t> </w:t>
      </w:r>
      <w:r w:rsidRPr="00FB052D">
        <w:t>GTC</w:t>
      </w:r>
      <w:r w:rsidR="004059EF" w:rsidRPr="00FB052D">
        <w:noBreakHyphen/>
      </w:r>
      <w:r w:rsidRPr="00FB052D">
        <w:t>Internet.</w:t>
      </w:r>
    </w:p>
    <w:p w14:paraId="20F6A07C" w14:textId="45486B01" w:rsidR="0063213F" w:rsidRPr="00A36DC7" w:rsidRDefault="0063213F" w:rsidP="002136D1">
      <w:r w:rsidRPr="00D4183D">
        <w:rPr>
          <w:b/>
          <w:bCs/>
        </w:rPr>
        <w:t>2.3</w:t>
      </w:r>
      <w:r w:rsidRPr="00614F0A">
        <w:tab/>
      </w:r>
      <w:r w:rsidR="00BB0589" w:rsidRPr="00614F0A">
        <w:t xml:space="preserve">Los informes de las reuniones </w:t>
      </w:r>
      <w:r w:rsidRPr="00614F0A">
        <w:t>se distribuirá</w:t>
      </w:r>
      <w:r w:rsidR="00BB0589" w:rsidRPr="00614F0A">
        <w:t>n</w:t>
      </w:r>
      <w:r w:rsidRPr="00614F0A">
        <w:t xml:space="preserve"> a todos los </w:t>
      </w:r>
      <w:r w:rsidR="00A50E7D">
        <w:t>m</w:t>
      </w:r>
      <w:r w:rsidRPr="00614F0A">
        <w:t xml:space="preserve">iembros de la UIT y a todas las organizaciones internacionales y partes interesadas pertinentes que participan activamente en estos asuntos, para que los </w:t>
      </w:r>
      <w:r w:rsidR="0058161C" w:rsidRPr="00614F0A">
        <w:t xml:space="preserve">tengan </w:t>
      </w:r>
      <w:r w:rsidRPr="00614F0A">
        <w:t>en cuenta en sus procesos de elaboración de políticas.</w:t>
      </w:r>
      <w:r w:rsidR="00170642" w:rsidRPr="00A36DC7">
        <w:rPr>
          <w:rFonts w:asciiTheme="minorHAnsi" w:eastAsia="Calibri" w:hAnsiTheme="minorHAnsi" w:cs="Calibri"/>
          <w:color w:val="000000"/>
          <w:szCs w:val="24"/>
          <w:u w:color="000000"/>
          <w:bdr w:val="nil"/>
          <w:lang w:eastAsia="zh-CN"/>
        </w:rPr>
        <w:t xml:space="preserve"> </w:t>
      </w:r>
      <w:r w:rsidR="0058161C" w:rsidRPr="00614F0A">
        <w:rPr>
          <w:rFonts w:asciiTheme="minorHAnsi" w:eastAsia="Calibri" w:hAnsiTheme="minorHAnsi" w:cs="Calibri"/>
          <w:color w:val="000000"/>
          <w:szCs w:val="24"/>
          <w:u w:color="000000"/>
          <w:bdr w:val="nil"/>
          <w:lang w:eastAsia="zh-CN"/>
        </w:rPr>
        <w:t>T</w:t>
      </w:r>
      <w:r w:rsidR="00170642" w:rsidRPr="00A36DC7">
        <w:rPr>
          <w:rFonts w:asciiTheme="minorHAnsi" w:eastAsia="Calibri" w:hAnsiTheme="minorHAnsi" w:cs="Calibri"/>
          <w:color w:val="000000"/>
          <w:szCs w:val="24"/>
          <w:u w:color="000000"/>
          <w:bdr w:val="nil"/>
          <w:lang w:eastAsia="zh-CN"/>
        </w:rPr>
        <w:t>ambién se transmitirá</w:t>
      </w:r>
      <w:r w:rsidR="00103AA8" w:rsidRPr="00614F0A">
        <w:rPr>
          <w:rFonts w:asciiTheme="minorHAnsi" w:eastAsia="Calibri" w:hAnsiTheme="minorHAnsi" w:cs="Calibri"/>
          <w:color w:val="000000"/>
          <w:szCs w:val="24"/>
          <w:u w:color="000000"/>
          <w:bdr w:val="nil"/>
          <w:lang w:eastAsia="zh-CN"/>
        </w:rPr>
        <w:t>n</w:t>
      </w:r>
      <w:r w:rsidR="00170642" w:rsidRPr="00A36DC7">
        <w:rPr>
          <w:rFonts w:asciiTheme="minorHAnsi" w:eastAsia="Calibri" w:hAnsiTheme="minorHAnsi" w:cs="Calibri"/>
          <w:color w:val="000000"/>
          <w:szCs w:val="24"/>
          <w:u w:color="000000"/>
          <w:bdr w:val="nil"/>
          <w:lang w:eastAsia="zh-CN"/>
        </w:rPr>
        <w:t xml:space="preserve"> al Secretario General de la</w:t>
      </w:r>
      <w:r w:rsidR="00B477FF" w:rsidRPr="00A36DC7">
        <w:rPr>
          <w:rFonts w:asciiTheme="minorHAnsi" w:eastAsia="Calibri" w:hAnsiTheme="minorHAnsi" w:cs="Calibri"/>
          <w:color w:val="000000"/>
          <w:szCs w:val="24"/>
          <w:u w:color="000000"/>
          <w:bdr w:val="nil"/>
          <w:lang w:eastAsia="zh-CN"/>
        </w:rPr>
        <w:t xml:space="preserve">s Naciones Unidas, </w:t>
      </w:r>
      <w:r w:rsidR="00B477FF" w:rsidRPr="00A36DC7">
        <w:rPr>
          <w:rFonts w:asciiTheme="minorHAnsi" w:hAnsiTheme="minorHAnsi" w:cs="Segoe UI"/>
          <w:color w:val="000000"/>
          <w:szCs w:val="24"/>
          <w:shd w:val="clear" w:color="auto" w:fill="FFFFFF"/>
        </w:rPr>
        <w:t>después de su examen por el Consejo, l</w:t>
      </w:r>
      <w:r w:rsidR="00103AA8" w:rsidRPr="00614F0A">
        <w:rPr>
          <w:rFonts w:asciiTheme="minorHAnsi" w:hAnsiTheme="minorHAnsi" w:cs="Segoe UI"/>
          <w:color w:val="000000"/>
          <w:szCs w:val="24"/>
          <w:shd w:val="clear" w:color="auto" w:fill="FFFFFF"/>
        </w:rPr>
        <w:t>os</w:t>
      </w:r>
      <w:r w:rsidR="00B477FF" w:rsidRPr="00A36DC7">
        <w:rPr>
          <w:rFonts w:asciiTheme="minorHAnsi" w:hAnsiTheme="minorHAnsi" w:cs="Segoe UI"/>
          <w:color w:val="000000"/>
          <w:szCs w:val="24"/>
          <w:shd w:val="clear" w:color="auto" w:fill="FFFFFF"/>
        </w:rPr>
        <w:t xml:space="preserve"> </w:t>
      </w:r>
      <w:r w:rsidR="00103AA8" w:rsidRPr="00614F0A">
        <w:rPr>
          <w:rFonts w:asciiTheme="minorHAnsi" w:hAnsiTheme="minorHAnsi" w:cs="Segoe UI"/>
          <w:color w:val="000000"/>
          <w:szCs w:val="24"/>
          <w:shd w:val="clear" w:color="auto" w:fill="FFFFFF"/>
        </w:rPr>
        <w:t>i</w:t>
      </w:r>
      <w:r w:rsidR="00B477FF" w:rsidRPr="00A36DC7">
        <w:rPr>
          <w:rFonts w:asciiTheme="minorHAnsi" w:hAnsiTheme="minorHAnsi" w:cs="Segoe UI"/>
          <w:color w:val="000000"/>
          <w:szCs w:val="24"/>
          <w:shd w:val="clear" w:color="auto" w:fill="FFFFFF"/>
        </w:rPr>
        <w:t>nforme</w:t>
      </w:r>
      <w:r w:rsidR="00103AA8" w:rsidRPr="00614F0A">
        <w:rPr>
          <w:rFonts w:asciiTheme="minorHAnsi" w:hAnsiTheme="minorHAnsi" w:cs="Segoe UI"/>
          <w:color w:val="000000"/>
          <w:szCs w:val="24"/>
          <w:shd w:val="clear" w:color="auto" w:fill="FFFFFF"/>
        </w:rPr>
        <w:t>s</w:t>
      </w:r>
      <w:r w:rsidR="00B477FF" w:rsidRPr="00A36DC7">
        <w:rPr>
          <w:rFonts w:asciiTheme="minorHAnsi" w:hAnsiTheme="minorHAnsi" w:cs="Segoe UI"/>
          <w:color w:val="000000"/>
          <w:szCs w:val="24"/>
          <w:shd w:val="clear" w:color="auto" w:fill="FFFFFF"/>
        </w:rPr>
        <w:t xml:space="preserve"> </w:t>
      </w:r>
      <w:r w:rsidR="00103AA8" w:rsidRPr="00614F0A">
        <w:rPr>
          <w:rFonts w:asciiTheme="minorHAnsi" w:hAnsiTheme="minorHAnsi" w:cs="Segoe UI"/>
          <w:color w:val="000000"/>
          <w:szCs w:val="24"/>
          <w:shd w:val="clear" w:color="auto" w:fill="FFFFFF"/>
        </w:rPr>
        <w:t>sobre las actividades de la UIT en el ámbito de Internet</w:t>
      </w:r>
      <w:r w:rsidR="00A50E7D">
        <w:rPr>
          <w:rFonts w:asciiTheme="minorHAnsi" w:hAnsiTheme="minorHAnsi" w:cs="Segoe UI"/>
          <w:color w:val="000000"/>
          <w:szCs w:val="24"/>
          <w:shd w:val="clear" w:color="auto" w:fill="FFFFFF"/>
        </w:rPr>
        <w:t xml:space="preserve"> </w:t>
      </w:r>
      <w:r w:rsidR="00B477FF" w:rsidRPr="00614F0A">
        <w:t>de</w:t>
      </w:r>
      <w:r w:rsidR="00103AA8" w:rsidRPr="00614F0A">
        <w:t xml:space="preserve"> </w:t>
      </w:r>
      <w:r w:rsidR="00B477FF" w:rsidRPr="00614F0A">
        <w:t>l</w:t>
      </w:r>
      <w:r w:rsidR="00103AA8" w:rsidRPr="00614F0A">
        <w:t>os</w:t>
      </w:r>
      <w:r w:rsidR="00B477FF" w:rsidRPr="00614F0A">
        <w:t xml:space="preserve"> que haya tomado nota el GTC-Internet</w:t>
      </w:r>
      <w:r w:rsidR="00103AA8" w:rsidRPr="00614F0A">
        <w:t xml:space="preserve"> en sus reuniones</w:t>
      </w:r>
      <w:r w:rsidR="00B477FF" w:rsidRPr="00614F0A">
        <w:t>.</w:t>
      </w:r>
    </w:p>
    <w:p w14:paraId="7397E451" w14:textId="1D56CEB7" w:rsidR="0063213F" w:rsidRPr="00614F0A" w:rsidRDefault="0063213F" w:rsidP="002136D1">
      <w:r w:rsidRPr="00D4183D">
        <w:rPr>
          <w:b/>
          <w:bCs/>
        </w:rPr>
        <w:t>2.4</w:t>
      </w:r>
      <w:r w:rsidRPr="00614F0A">
        <w:tab/>
      </w:r>
      <w:r w:rsidR="00170642" w:rsidRPr="00614F0A">
        <w:t xml:space="preserve">En la decimosexta reunión del </w:t>
      </w:r>
      <w:r w:rsidRPr="00614F0A">
        <w:t xml:space="preserve">GTC-Internet </w:t>
      </w:r>
      <w:r w:rsidR="00170642" w:rsidRPr="00614F0A">
        <w:t xml:space="preserve">se </w:t>
      </w:r>
      <w:r w:rsidR="00CF61FE" w:rsidRPr="00614F0A">
        <w:t>examinaro</w:t>
      </w:r>
      <w:r w:rsidR="00170642" w:rsidRPr="00614F0A">
        <w:t xml:space="preserve">n </w:t>
      </w:r>
      <w:hyperlink r:id="rId16" w:history="1">
        <w:r w:rsidR="00170642" w:rsidRPr="006E755E">
          <w:rPr>
            <w:rStyle w:val="Hyperlink"/>
          </w:rPr>
          <w:t>cinco contribuciones</w:t>
        </w:r>
      </w:hyperlink>
      <w:r w:rsidR="00170642" w:rsidRPr="00614F0A">
        <w:t xml:space="preserve">. Además, se debatieron los resultados de la consulta abierta </w:t>
      </w:r>
      <w:r w:rsidR="0014447C" w:rsidRPr="00614F0A">
        <w:t xml:space="preserve">impulsada por </w:t>
      </w:r>
      <w:r w:rsidR="00170642" w:rsidRPr="00614F0A">
        <w:t>la decimoquinta reunión del</w:t>
      </w:r>
      <w:r w:rsidR="00C95258">
        <w:t> </w:t>
      </w:r>
      <w:r w:rsidR="00170642" w:rsidRPr="00614F0A">
        <w:t>GTC</w:t>
      </w:r>
      <w:r w:rsidR="00CD0275">
        <w:noBreakHyphen/>
      </w:r>
      <w:r w:rsidR="00170642" w:rsidRPr="00614F0A">
        <w:t>Internet</w:t>
      </w:r>
      <w:r w:rsidR="0014447C" w:rsidRPr="00614F0A">
        <w:t xml:space="preserve">, que se desarrolló entre los meses </w:t>
      </w:r>
      <w:r w:rsidR="00170642" w:rsidRPr="00614F0A">
        <w:t xml:space="preserve">de febrero </w:t>
      </w:r>
      <w:r w:rsidR="0014447C" w:rsidRPr="00614F0A">
        <w:t>y</w:t>
      </w:r>
      <w:r w:rsidR="00170642" w:rsidRPr="00614F0A">
        <w:t xml:space="preserve"> septiembre de 2021 </w:t>
      </w:r>
      <w:r w:rsidR="0014447C" w:rsidRPr="00614F0A">
        <w:t>en torno a</w:t>
      </w:r>
      <w:r w:rsidR="004D2611" w:rsidRPr="00614F0A">
        <w:t>l tema de</w:t>
      </w:r>
      <w:r w:rsidR="00170642" w:rsidRPr="00614F0A">
        <w:t xml:space="preserve"> </w:t>
      </w:r>
      <w:r w:rsidR="00002674">
        <w:t>"</w:t>
      </w:r>
      <w:hyperlink r:id="rId17" w:history="1">
        <w:r w:rsidR="00A50E7D" w:rsidRPr="006E755E">
          <w:rPr>
            <w:rStyle w:val="Hyperlink"/>
          </w:rPr>
          <w:t>E</w:t>
        </w:r>
        <w:r w:rsidR="000E2EC6" w:rsidRPr="006E755E">
          <w:rPr>
            <w:rStyle w:val="Hyperlink"/>
          </w:rPr>
          <w:t>l papel de Internet y la política pública internacional conexa en la mitigación de los efectos de la COVID-19 y las posibles pandemias futuras</w:t>
        </w:r>
      </w:hyperlink>
      <w:r w:rsidR="00002674">
        <w:rPr>
          <w:iCs/>
        </w:rPr>
        <w:t>"</w:t>
      </w:r>
      <w:r w:rsidR="00002674">
        <w:t xml:space="preserve">. </w:t>
      </w:r>
      <w:r w:rsidRPr="00614F0A">
        <w:t xml:space="preserve">Durante </w:t>
      </w:r>
      <w:r w:rsidR="004D2611" w:rsidRPr="00614F0A">
        <w:t>la fase de</w:t>
      </w:r>
      <w:r w:rsidRPr="00614F0A">
        <w:t xml:space="preserve"> consulta, se recibieron </w:t>
      </w:r>
      <w:r w:rsidR="000E2EC6" w:rsidRPr="00614F0A">
        <w:t>17</w:t>
      </w:r>
      <w:r w:rsidR="00002674">
        <w:t> </w:t>
      </w:r>
      <w:r w:rsidRPr="00614F0A">
        <w:t>respuestas de diversas partes interesadas y regiones (</w:t>
      </w:r>
      <w:r w:rsidR="000E2EC6" w:rsidRPr="00614F0A">
        <w:t>cinco</w:t>
      </w:r>
      <w:r w:rsidRPr="00614F0A">
        <w:t xml:space="preserve"> gobierno</w:t>
      </w:r>
      <w:r w:rsidR="000E2EC6" w:rsidRPr="00614F0A">
        <w:t>s</w:t>
      </w:r>
      <w:r w:rsidRPr="00614F0A">
        <w:t xml:space="preserve">, </w:t>
      </w:r>
      <w:r w:rsidR="000E2EC6" w:rsidRPr="00614F0A">
        <w:t xml:space="preserve">un </w:t>
      </w:r>
      <w:r w:rsidRPr="00614F0A">
        <w:t xml:space="preserve">organismo del sector privado, </w:t>
      </w:r>
      <w:r w:rsidR="00A50E7D">
        <w:t>diez</w:t>
      </w:r>
      <w:r w:rsidRPr="00614F0A">
        <w:t xml:space="preserve"> representantes de la sociedad civil y </w:t>
      </w:r>
      <w:r w:rsidR="000E2EC6" w:rsidRPr="00614F0A">
        <w:t>una organización internacional</w:t>
      </w:r>
      <w:r w:rsidRPr="00614F0A">
        <w:t xml:space="preserve">). La </w:t>
      </w:r>
      <w:r w:rsidR="000E2EC6" w:rsidRPr="00614F0A">
        <w:lastRenderedPageBreak/>
        <w:t xml:space="preserve">novena </w:t>
      </w:r>
      <w:r w:rsidR="00A50E7D">
        <w:t>r</w:t>
      </w:r>
      <w:r w:rsidRPr="00614F0A">
        <w:t xml:space="preserve">eunión virtual – </w:t>
      </w:r>
      <w:r w:rsidR="001D563B">
        <w:t>c</w:t>
      </w:r>
      <w:r w:rsidRPr="00614F0A">
        <w:t xml:space="preserve">onsulta abierta presencial sobre el </w:t>
      </w:r>
      <w:r w:rsidR="00A36DC7" w:rsidRPr="00614F0A">
        <w:t>tema antes</w:t>
      </w:r>
      <w:r w:rsidR="000E2EC6" w:rsidRPr="00614F0A">
        <w:t xml:space="preserve"> mencionado</w:t>
      </w:r>
      <w:r w:rsidRPr="00614F0A">
        <w:t xml:space="preserve"> tuvo lugar el </w:t>
      </w:r>
      <w:r w:rsidR="000E2EC6" w:rsidRPr="00614F0A">
        <w:t>20 de septiembre</w:t>
      </w:r>
      <w:r w:rsidRPr="00614F0A">
        <w:t xml:space="preserve"> de</w:t>
      </w:r>
      <w:r w:rsidR="00A50E7D">
        <w:t xml:space="preserve"> </w:t>
      </w:r>
      <w:r w:rsidRPr="00614F0A">
        <w:t>2021</w:t>
      </w:r>
      <w:r w:rsidR="0014447C" w:rsidRPr="00614F0A">
        <w:t xml:space="preserve"> y contó</w:t>
      </w:r>
      <w:r w:rsidRPr="00614F0A">
        <w:t xml:space="preserve"> con más de </w:t>
      </w:r>
      <w:r w:rsidR="000E2EC6" w:rsidRPr="00614F0A">
        <w:t>150</w:t>
      </w:r>
      <w:r w:rsidRPr="00614F0A">
        <w:t xml:space="preserve"> participantes inscritos y más de 7</w:t>
      </w:r>
      <w:r w:rsidR="000E2EC6" w:rsidRPr="00614F0A">
        <w:t>5</w:t>
      </w:r>
      <w:r w:rsidRPr="00614F0A">
        <w:t xml:space="preserve"> asistentes</w:t>
      </w:r>
      <w:r w:rsidR="006D1B61" w:rsidRPr="00614F0A">
        <w:t xml:space="preserve">. </w:t>
      </w:r>
      <w:r w:rsidRPr="00614F0A">
        <w:t xml:space="preserve">Todas las respuestas recibidas </w:t>
      </w:r>
      <w:r w:rsidR="006D1B61" w:rsidRPr="00614F0A">
        <w:t>par</w:t>
      </w:r>
      <w:r w:rsidRPr="00614F0A">
        <w:t xml:space="preserve">a la consulta, así como </w:t>
      </w:r>
      <w:r w:rsidR="005C2A05" w:rsidRPr="00614F0A">
        <w:t xml:space="preserve">los </w:t>
      </w:r>
      <w:r w:rsidRPr="00614F0A">
        <w:t>breve</w:t>
      </w:r>
      <w:r w:rsidR="005C2A05" w:rsidRPr="00614F0A">
        <w:t>s</w:t>
      </w:r>
      <w:r w:rsidRPr="00614F0A">
        <w:t xml:space="preserve"> </w:t>
      </w:r>
      <w:r w:rsidR="005C2A05" w:rsidRPr="00614F0A">
        <w:t>resúmenes</w:t>
      </w:r>
      <w:r w:rsidRPr="00614F0A">
        <w:t xml:space="preserve"> de la</w:t>
      </w:r>
      <w:r w:rsidR="006D1B61" w:rsidRPr="00614F0A">
        <w:t>s</w:t>
      </w:r>
      <w:r w:rsidRPr="00614F0A">
        <w:t xml:space="preserve"> </w:t>
      </w:r>
      <w:r w:rsidR="00A50E7D">
        <w:t>r</w:t>
      </w:r>
      <w:r w:rsidR="006D1B61" w:rsidRPr="00614F0A">
        <w:t>euniones virtuales</w:t>
      </w:r>
      <w:r w:rsidRPr="00614F0A">
        <w:t xml:space="preserve"> – </w:t>
      </w:r>
      <w:r w:rsidR="001D563B">
        <w:t>c</w:t>
      </w:r>
      <w:r w:rsidRPr="00614F0A">
        <w:t>onsulta</w:t>
      </w:r>
      <w:r w:rsidR="006D1B61" w:rsidRPr="00614F0A">
        <w:t>s</w:t>
      </w:r>
      <w:r w:rsidRPr="00614F0A">
        <w:t xml:space="preserve"> abierta</w:t>
      </w:r>
      <w:r w:rsidR="006D1B61" w:rsidRPr="00614F0A">
        <w:t>s</w:t>
      </w:r>
      <w:r w:rsidRPr="00614F0A">
        <w:t xml:space="preserve"> presencial</w:t>
      </w:r>
      <w:r w:rsidR="006D1B61" w:rsidRPr="00614F0A">
        <w:t>es</w:t>
      </w:r>
      <w:r w:rsidRPr="00614F0A">
        <w:t xml:space="preserve"> aprobad</w:t>
      </w:r>
      <w:r w:rsidR="00A50E7D">
        <w:t>a</w:t>
      </w:r>
      <w:r w:rsidR="005C2A05" w:rsidRPr="00614F0A">
        <w:t>s</w:t>
      </w:r>
      <w:r w:rsidRPr="00614F0A">
        <w:t xml:space="preserve"> por los participantes, están disponibles públicamente en el </w:t>
      </w:r>
      <w:hyperlink r:id="rId18" w:history="1">
        <w:r w:rsidRPr="00614F0A">
          <w:rPr>
            <w:rStyle w:val="Hyperlink"/>
          </w:rPr>
          <w:t>sitio web del GTC-Internet</w:t>
        </w:r>
      </w:hyperlink>
      <w:r w:rsidRPr="00614F0A">
        <w:t>.</w:t>
      </w:r>
    </w:p>
    <w:p w14:paraId="163118EE" w14:textId="3AD762E0" w:rsidR="0063213F" w:rsidRPr="00614F0A" w:rsidRDefault="0063213F" w:rsidP="002136D1">
      <w:r w:rsidRPr="00D4183D">
        <w:rPr>
          <w:b/>
          <w:bCs/>
        </w:rPr>
        <w:t>2.5</w:t>
      </w:r>
      <w:r w:rsidRPr="00614F0A">
        <w:tab/>
        <w:t xml:space="preserve">A continuación se enumeran las acciones que aprobó el Grupo en la </w:t>
      </w:r>
      <w:r w:rsidR="006D1B61" w:rsidRPr="00614F0A">
        <w:t>decimosexta</w:t>
      </w:r>
      <w:r w:rsidRPr="00614F0A">
        <w:t xml:space="preserve"> reunión del </w:t>
      </w:r>
      <w:r w:rsidR="00C21457" w:rsidRPr="00614F0A">
        <w:t>GTC</w:t>
      </w:r>
      <w:r w:rsidRPr="00614F0A">
        <w:t>-Internet:</w:t>
      </w:r>
    </w:p>
    <w:p w14:paraId="38141DE0" w14:textId="71F98E2E" w:rsidR="0063213F" w:rsidRPr="00885E71" w:rsidRDefault="0063213F" w:rsidP="006E755E">
      <w:r w:rsidRPr="00A36DC7">
        <w:rPr>
          <w:b/>
          <w:bCs/>
        </w:rPr>
        <w:t>2.5.1</w:t>
      </w:r>
      <w:r w:rsidRPr="00A36DC7">
        <w:tab/>
      </w:r>
      <w:r w:rsidR="006D1B61" w:rsidRPr="00A36DC7">
        <w:t xml:space="preserve">La Secretaría de la UIT </w:t>
      </w:r>
      <w:r w:rsidR="00D22BE2" w:rsidRPr="00A36DC7">
        <w:t xml:space="preserve">iniciará la próxima </w:t>
      </w:r>
      <w:r w:rsidR="00A70487" w:rsidRPr="00614F0A">
        <w:t xml:space="preserve">ronda de </w:t>
      </w:r>
      <w:r w:rsidR="00F93352">
        <w:t>c</w:t>
      </w:r>
      <w:r w:rsidR="00A70487" w:rsidRPr="00614F0A">
        <w:t xml:space="preserve">onsultas abiertas en octubre de 2021 sobre el tema siguiente, tal y como se acordó en la decimosexta reunión del </w:t>
      </w:r>
      <w:r w:rsidR="00C21457" w:rsidRPr="00614F0A">
        <w:t>GTC</w:t>
      </w:r>
      <w:r w:rsidR="00A70487" w:rsidRPr="00614F0A">
        <w:t>-Internet:</w:t>
      </w:r>
    </w:p>
    <w:p w14:paraId="76CAE42D" w14:textId="56BD3711" w:rsidR="0063213F" w:rsidRPr="006E755E" w:rsidRDefault="00A70487" w:rsidP="0063213F">
      <w:r w:rsidRPr="00614F0A">
        <w:t>Los efectos medioambientales y las ventajas de Internet</w:t>
      </w:r>
      <w:r w:rsidR="003A4590" w:rsidRPr="00614F0A">
        <w:t>:</w:t>
      </w:r>
    </w:p>
    <w:p w14:paraId="3486DABF" w14:textId="2C7A4AE6" w:rsidR="0063213F" w:rsidRPr="00D4183D" w:rsidRDefault="0063213F" w:rsidP="00596380">
      <w:pPr>
        <w:pStyle w:val="enumlev1"/>
        <w:rPr>
          <w:rFonts w:eastAsiaTheme="minorHAnsi"/>
        </w:rPr>
      </w:pPr>
      <w:r w:rsidRPr="00D4183D">
        <w:t>•</w:t>
      </w:r>
      <w:r w:rsidRPr="00596380">
        <w:tab/>
      </w:r>
      <w:r w:rsidR="00A70487" w:rsidRPr="00D4183D">
        <w:rPr>
          <w:rFonts w:eastAsiaTheme="minorHAnsi"/>
        </w:rPr>
        <w:t>¿Qué efectos tiene Internet sobre el medioambiente y viceversa</w:t>
      </w:r>
      <w:r w:rsidRPr="00D4183D">
        <w:rPr>
          <w:rFonts w:eastAsiaTheme="minorHAnsi"/>
        </w:rPr>
        <w:t>?</w:t>
      </w:r>
    </w:p>
    <w:p w14:paraId="607E2E1D" w14:textId="5703AA1D" w:rsidR="0063213F" w:rsidRPr="00D4183D" w:rsidRDefault="0063213F" w:rsidP="00596380">
      <w:pPr>
        <w:pStyle w:val="enumlev1"/>
      </w:pPr>
      <w:r w:rsidRPr="00D4183D">
        <w:t>•</w:t>
      </w:r>
      <w:r w:rsidRPr="00596380">
        <w:tab/>
      </w:r>
      <w:r w:rsidR="00A70487" w:rsidRPr="00D4183D">
        <w:t xml:space="preserve">¿Cómo podemos mejorar el impacto que tiene Internet sobre el medioambiente y aprovechar su potencial para abordar </w:t>
      </w:r>
      <w:r w:rsidR="003A4590" w:rsidRPr="00D4183D">
        <w:t>las cuestione</w:t>
      </w:r>
      <w:r w:rsidR="00A70487" w:rsidRPr="00D4183D">
        <w:t>s climátic</w:t>
      </w:r>
      <w:r w:rsidR="00CB17AD" w:rsidRPr="00D4183D">
        <w:t>a</w:t>
      </w:r>
      <w:r w:rsidR="00A70487" w:rsidRPr="00D4183D">
        <w:t>s</w:t>
      </w:r>
      <w:r w:rsidRPr="00D4183D">
        <w:t>?</w:t>
      </w:r>
    </w:p>
    <w:p w14:paraId="3E49B01E" w14:textId="6D45ABB8" w:rsidR="0063213F" w:rsidRPr="00D4183D" w:rsidRDefault="0063213F" w:rsidP="00596380">
      <w:pPr>
        <w:pStyle w:val="enumlev1"/>
      </w:pPr>
      <w:r w:rsidRPr="00D4183D">
        <w:t>•</w:t>
      </w:r>
      <w:r w:rsidRPr="00596380">
        <w:tab/>
      </w:r>
      <w:r w:rsidR="00A70487" w:rsidRPr="00D4183D">
        <w:t xml:space="preserve">¿Qué papel deben desempeñar las partes interesadas </w:t>
      </w:r>
      <w:r w:rsidR="007C47D3" w:rsidRPr="00D4183D">
        <w:t>en la</w:t>
      </w:r>
      <w:r w:rsidR="00F93352" w:rsidRPr="00F93352">
        <w:t xml:space="preserve"> </w:t>
      </w:r>
      <w:r w:rsidR="007C47D3" w:rsidRPr="00D4183D">
        <w:t>configuración de</w:t>
      </w:r>
      <w:r w:rsidR="00A70487" w:rsidRPr="00D4183D">
        <w:t xml:space="preserve"> los efectos medioambientales y las ventajas de </w:t>
      </w:r>
      <w:r w:rsidR="00F93352">
        <w:t>I</w:t>
      </w:r>
      <w:r w:rsidR="00A70487" w:rsidRPr="00D4183D">
        <w:t>nternet</w:t>
      </w:r>
      <w:r w:rsidRPr="00D4183D">
        <w:t>?</w:t>
      </w:r>
    </w:p>
    <w:p w14:paraId="70C8E5A8" w14:textId="5AA7B3C0" w:rsidR="0063213F" w:rsidRPr="00596380" w:rsidRDefault="0063213F" w:rsidP="00596380">
      <w:pPr>
        <w:pStyle w:val="enumlev1"/>
      </w:pPr>
      <w:r w:rsidRPr="00D4183D">
        <w:t>•</w:t>
      </w:r>
      <w:r w:rsidRPr="00596380">
        <w:tab/>
      </w:r>
      <w:r w:rsidR="00A70487" w:rsidRPr="00D4183D">
        <w:t>¿</w:t>
      </w:r>
      <w:r w:rsidR="0087314B" w:rsidRPr="00D4183D">
        <w:t xml:space="preserve">Qué </w:t>
      </w:r>
      <w:r w:rsidR="00A70487" w:rsidRPr="00D4183D">
        <w:t>aspectos políticos, normativos y de otra índole</w:t>
      </w:r>
      <w:r w:rsidR="0087314B" w:rsidRPr="00D4183D">
        <w:t xml:space="preserve"> guardan relación con </w:t>
      </w:r>
      <w:r w:rsidR="00A70487" w:rsidRPr="00D4183D">
        <w:t>los efectos medioambientales y las ventajas de Internet</w:t>
      </w:r>
      <w:r w:rsidRPr="00D4183D">
        <w:t>?</w:t>
      </w:r>
    </w:p>
    <w:p w14:paraId="0AD5B8C4" w14:textId="2EED9357" w:rsidR="0063213F" w:rsidRPr="00F93352" w:rsidRDefault="0063213F" w:rsidP="002136D1">
      <w:r w:rsidRPr="00536D86">
        <w:rPr>
          <w:b/>
          <w:bCs/>
        </w:rPr>
        <w:t>2.5.2</w:t>
      </w:r>
      <w:r w:rsidRPr="00536D86">
        <w:tab/>
      </w:r>
      <w:r w:rsidR="00D70D81" w:rsidRPr="00614F0A">
        <w:t>E</w:t>
      </w:r>
      <w:r w:rsidR="007728A6" w:rsidRPr="00614F0A">
        <w:t xml:space="preserve">l </w:t>
      </w:r>
      <w:r w:rsidR="00A70487" w:rsidRPr="00614F0A">
        <w:t>resumen de la novena consulta en línea y</w:t>
      </w:r>
      <w:r w:rsidR="00C21457" w:rsidRPr="00614F0A">
        <w:t xml:space="preserve"> de la reunión virtual – consulta presencial sobre </w:t>
      </w:r>
      <w:r w:rsidR="00C21457" w:rsidRPr="00F93352">
        <w:t xml:space="preserve">el papel de Internet y la política pública internacional conexa en la mitigación de los efectos de la COVID-19 y las posibles pandemias futuras </w:t>
      </w:r>
      <w:r w:rsidR="00D70D81" w:rsidRPr="00F93352">
        <w:t xml:space="preserve">se integrará en </w:t>
      </w:r>
      <w:r w:rsidR="00C21457" w:rsidRPr="00F93352">
        <w:t xml:space="preserve">el </w:t>
      </w:r>
      <w:r w:rsidR="00F93352" w:rsidRPr="00F93352">
        <w:t xml:space="preserve">Informe </w:t>
      </w:r>
      <w:r w:rsidR="00C21457" w:rsidRPr="00F93352">
        <w:t xml:space="preserve">del Presidente al </w:t>
      </w:r>
      <w:r w:rsidR="00002674" w:rsidRPr="00F93352">
        <w:t>Consejo.</w:t>
      </w:r>
    </w:p>
    <w:p w14:paraId="441DE56F" w14:textId="29480476" w:rsidR="0063213F" w:rsidRPr="00614F0A" w:rsidRDefault="0063213F" w:rsidP="006E755E">
      <w:r w:rsidRPr="002136D1">
        <w:rPr>
          <w:b/>
          <w:bCs/>
        </w:rPr>
        <w:t>2.5.3</w:t>
      </w:r>
      <w:r w:rsidR="002136D1">
        <w:tab/>
      </w:r>
      <w:r w:rsidRPr="00614F0A">
        <w:t>Se invita a los Directores de todas las Oficinas de la UIT a que examinen las respuestas de la consulta en el marco de su labor, según proceda.</w:t>
      </w:r>
    </w:p>
    <w:p w14:paraId="5397BD10" w14:textId="395693C6" w:rsidR="0063213F" w:rsidRPr="00F93352" w:rsidRDefault="0063213F" w:rsidP="00536D86">
      <w:r w:rsidRPr="00CD35F3">
        <w:rPr>
          <w:b/>
          <w:bCs/>
        </w:rPr>
        <w:t>2.6</w:t>
      </w:r>
      <w:r w:rsidRPr="00CD35F3">
        <w:tab/>
      </w:r>
      <w:r w:rsidR="00C21457" w:rsidRPr="00CD35F3">
        <w:t xml:space="preserve">En </w:t>
      </w:r>
      <w:r w:rsidR="007C47D3" w:rsidRPr="00CD35F3">
        <w:t xml:space="preserve">la </w:t>
      </w:r>
      <w:r w:rsidR="00C21457" w:rsidRPr="00CD35F3">
        <w:t xml:space="preserve">decimoséptima reunión del GTC-Internet se </w:t>
      </w:r>
      <w:r w:rsidR="004D2611" w:rsidRPr="00CD35F3">
        <w:t>examinaron</w:t>
      </w:r>
      <w:r w:rsidR="00C21457" w:rsidRPr="00614F0A">
        <w:rPr>
          <w:bCs/>
          <w:color w:val="000000"/>
          <w:u w:color="000000"/>
          <w:bdr w:val="nil"/>
          <w:lang w:eastAsia="zh-CN"/>
        </w:rPr>
        <w:t xml:space="preserve"> </w:t>
      </w:r>
      <w:hyperlink r:id="rId19" w:history="1">
        <w:r w:rsidR="00C21457" w:rsidRPr="006E755E">
          <w:rPr>
            <w:rStyle w:val="Hyperlink"/>
            <w:lang w:eastAsia="zh-CN"/>
          </w:rPr>
          <w:t>tres contribuciones</w:t>
        </w:r>
      </w:hyperlink>
      <w:r w:rsidR="00C21457" w:rsidRPr="00614F0A">
        <w:rPr>
          <w:bCs/>
          <w:color w:val="000000"/>
          <w:u w:color="000000"/>
          <w:bdr w:val="nil"/>
          <w:lang w:eastAsia="zh-CN"/>
        </w:rPr>
        <w:t xml:space="preserve">. </w:t>
      </w:r>
      <w:r w:rsidR="00C21457" w:rsidRPr="00614F0A">
        <w:t xml:space="preserve">Además, se debatieron los resultados de la consulta abierta </w:t>
      </w:r>
      <w:r w:rsidR="004D2611" w:rsidRPr="00614F0A">
        <w:t xml:space="preserve">impulsada por </w:t>
      </w:r>
      <w:r w:rsidR="00C21457" w:rsidRPr="00614F0A">
        <w:t>la decimosexta reunión del GTC</w:t>
      </w:r>
      <w:r w:rsidR="00CD0275">
        <w:noBreakHyphen/>
      </w:r>
      <w:r w:rsidR="00C21457" w:rsidRPr="00614F0A">
        <w:t>Internet</w:t>
      </w:r>
      <w:r w:rsidR="004D2611" w:rsidRPr="00614F0A">
        <w:t>,</w:t>
      </w:r>
      <w:r w:rsidR="00C21457" w:rsidRPr="00614F0A">
        <w:t xml:space="preserve"> </w:t>
      </w:r>
      <w:r w:rsidR="004D2611" w:rsidRPr="00614F0A">
        <w:t xml:space="preserve">que se desarrolló entre los meses de octubre y diciembre de 2021 en torno al tema de </w:t>
      </w:r>
      <w:r w:rsidR="00002674">
        <w:t>"</w:t>
      </w:r>
      <w:hyperlink r:id="rId20" w:history="1">
        <w:r w:rsidR="00F93352" w:rsidRPr="006E755E">
          <w:rPr>
            <w:rStyle w:val="Hyperlink"/>
          </w:rPr>
          <w:t>L</w:t>
        </w:r>
        <w:r w:rsidR="00C21457" w:rsidRPr="006E755E">
          <w:rPr>
            <w:rStyle w:val="Hyperlink"/>
          </w:rPr>
          <w:t>os efectos medioambientales y las ventajas de Internet</w:t>
        </w:r>
      </w:hyperlink>
      <w:r w:rsidR="00002674">
        <w:rPr>
          <w:iCs/>
        </w:rPr>
        <w:t>"</w:t>
      </w:r>
      <w:r w:rsidR="00C21457" w:rsidRPr="00614F0A">
        <w:t xml:space="preserve">. Durante </w:t>
      </w:r>
      <w:r w:rsidR="004D2611" w:rsidRPr="00614F0A">
        <w:t>la fase de</w:t>
      </w:r>
      <w:r w:rsidR="00C21457" w:rsidRPr="00614F0A">
        <w:t xml:space="preserve"> consulta, se recibieron 20 respuestas de diversas partes interesadas y regiones (tres gobiernos, cinco</w:t>
      </w:r>
      <w:r w:rsidR="00F93352">
        <w:t> </w:t>
      </w:r>
      <w:r w:rsidR="00C21457" w:rsidRPr="00614F0A">
        <w:t xml:space="preserve">empresas, dos asociaciones industriales, seis entidades de la sociedad civil y dos organizaciones internacionales). La décima </w:t>
      </w:r>
      <w:r w:rsidR="00F93352">
        <w:t>r</w:t>
      </w:r>
      <w:r w:rsidR="00C21457" w:rsidRPr="00614F0A">
        <w:t xml:space="preserve">eunión virtual – </w:t>
      </w:r>
      <w:r w:rsidR="00F93352">
        <w:t>c</w:t>
      </w:r>
      <w:r w:rsidR="00C21457" w:rsidRPr="00614F0A">
        <w:t xml:space="preserve">onsulta abierta presencial sobre el tema </w:t>
      </w:r>
      <w:r w:rsidR="00113BA0" w:rsidRPr="00614F0A">
        <w:t>ante</w:t>
      </w:r>
      <w:r w:rsidR="004D2611" w:rsidRPr="00614F0A">
        <w:t>s</w:t>
      </w:r>
      <w:r w:rsidR="00113BA0" w:rsidRPr="00614F0A">
        <w:t xml:space="preserve"> mencionado</w:t>
      </w:r>
      <w:r w:rsidR="00C21457" w:rsidRPr="00614F0A">
        <w:t xml:space="preserve"> tuvo lugar el </w:t>
      </w:r>
      <w:r w:rsidR="00113BA0" w:rsidRPr="00614F0A">
        <w:t>11</w:t>
      </w:r>
      <w:r w:rsidR="00C21457" w:rsidRPr="00614F0A">
        <w:t xml:space="preserve"> de </w:t>
      </w:r>
      <w:r w:rsidR="00113BA0" w:rsidRPr="00614F0A">
        <w:t>enero</w:t>
      </w:r>
      <w:r w:rsidR="00C21457" w:rsidRPr="00614F0A">
        <w:t xml:space="preserve"> de </w:t>
      </w:r>
      <w:r w:rsidR="00113BA0" w:rsidRPr="00614F0A">
        <w:t>2022</w:t>
      </w:r>
      <w:r w:rsidR="004D2611" w:rsidRPr="00614F0A">
        <w:t xml:space="preserve"> y contó</w:t>
      </w:r>
      <w:r w:rsidR="00113BA0" w:rsidRPr="00614F0A">
        <w:t xml:space="preserve"> con</w:t>
      </w:r>
      <w:r w:rsidR="00C21457" w:rsidRPr="00614F0A">
        <w:t xml:space="preserve"> </w:t>
      </w:r>
      <w:r w:rsidR="00113BA0" w:rsidRPr="00614F0A">
        <w:t>111</w:t>
      </w:r>
      <w:r w:rsidR="00C21457" w:rsidRPr="00614F0A">
        <w:t xml:space="preserve"> participantes inscritos y más de </w:t>
      </w:r>
      <w:r w:rsidR="00113BA0" w:rsidRPr="00614F0A">
        <w:t>60</w:t>
      </w:r>
      <w:r w:rsidR="00CD0275">
        <w:t> </w:t>
      </w:r>
      <w:r w:rsidR="00C21457" w:rsidRPr="00614F0A">
        <w:t>asistentes</w:t>
      </w:r>
      <w:r w:rsidR="00113BA0" w:rsidRPr="00614F0A">
        <w:t xml:space="preserve"> activos a través de la plataforma </w:t>
      </w:r>
      <w:r w:rsidR="00F93352">
        <w:t>en línea</w:t>
      </w:r>
      <w:r w:rsidR="00113BA0" w:rsidRPr="00614F0A">
        <w:t>.</w:t>
      </w:r>
      <w:r w:rsidRPr="00F93352">
        <w:t xml:space="preserve"> </w:t>
      </w:r>
      <w:r w:rsidR="00113BA0" w:rsidRPr="00614F0A">
        <w:t xml:space="preserve">Todas las respuestas recibidas para la consulta, así como </w:t>
      </w:r>
      <w:r w:rsidR="004D2611" w:rsidRPr="00614F0A">
        <w:t>los</w:t>
      </w:r>
      <w:r w:rsidR="00113BA0" w:rsidRPr="00614F0A">
        <w:t xml:space="preserve"> breve</w:t>
      </w:r>
      <w:r w:rsidR="004D2611" w:rsidRPr="00614F0A">
        <w:t>s</w:t>
      </w:r>
      <w:r w:rsidR="00113BA0" w:rsidRPr="00614F0A">
        <w:t xml:space="preserve"> res</w:t>
      </w:r>
      <w:r w:rsidR="004D2611" w:rsidRPr="00614F0A">
        <w:t>úmenes</w:t>
      </w:r>
      <w:r w:rsidR="00113BA0" w:rsidRPr="00614F0A">
        <w:t xml:space="preserve"> de las </w:t>
      </w:r>
      <w:r w:rsidR="00F93352">
        <w:t>r</w:t>
      </w:r>
      <w:r w:rsidR="00113BA0" w:rsidRPr="00614F0A">
        <w:t xml:space="preserve">euniones virtuales – </w:t>
      </w:r>
      <w:r w:rsidR="00F93352">
        <w:t>c</w:t>
      </w:r>
      <w:r w:rsidR="00113BA0" w:rsidRPr="00614F0A">
        <w:t>onsultas abiertas presenciales aprobad</w:t>
      </w:r>
      <w:r w:rsidR="00F93352">
        <w:t>a</w:t>
      </w:r>
      <w:r w:rsidR="004D2611" w:rsidRPr="00614F0A">
        <w:t>s</w:t>
      </w:r>
      <w:r w:rsidR="00113BA0" w:rsidRPr="00614F0A">
        <w:t xml:space="preserve"> por los participantes, están disponibles públicamente en el </w:t>
      </w:r>
      <w:hyperlink r:id="rId21" w:history="1">
        <w:r w:rsidR="00113BA0" w:rsidRPr="00614F0A">
          <w:rPr>
            <w:rStyle w:val="Hyperlink"/>
          </w:rPr>
          <w:t>sitio web del</w:t>
        </w:r>
        <w:r w:rsidR="00FB052D">
          <w:rPr>
            <w:rStyle w:val="Hyperlink"/>
          </w:rPr>
          <w:t> </w:t>
        </w:r>
        <w:r w:rsidR="00113BA0" w:rsidRPr="00614F0A">
          <w:rPr>
            <w:rStyle w:val="Hyperlink"/>
          </w:rPr>
          <w:t>GTC-Internet</w:t>
        </w:r>
      </w:hyperlink>
      <w:r w:rsidR="00113BA0" w:rsidRPr="00614F0A">
        <w:t>.</w:t>
      </w:r>
    </w:p>
    <w:p w14:paraId="7F3CDF6F" w14:textId="557AF204" w:rsidR="0063213F" w:rsidRPr="006E755E" w:rsidRDefault="0063213F" w:rsidP="002136D1">
      <w:r w:rsidRPr="00F93352">
        <w:rPr>
          <w:b/>
          <w:bCs/>
        </w:rPr>
        <w:t>2.7</w:t>
      </w:r>
      <w:r w:rsidRPr="00CD35F3">
        <w:tab/>
      </w:r>
      <w:r w:rsidR="00113BA0" w:rsidRPr="00614F0A">
        <w:t>A continuación se enumeran las acciones que aprobó el Grupo en la decimosexta reunión del GTC-Internet:</w:t>
      </w:r>
    </w:p>
    <w:p w14:paraId="0C180EEF" w14:textId="77777777" w:rsidR="00113BA0" w:rsidRPr="00614F0A" w:rsidRDefault="0063213F" w:rsidP="00D4183D">
      <w:r w:rsidRPr="00CD35F3">
        <w:rPr>
          <w:b/>
          <w:bCs/>
        </w:rPr>
        <w:t>2.7.1</w:t>
      </w:r>
      <w:r w:rsidRPr="00CD35F3">
        <w:tab/>
      </w:r>
      <w:r w:rsidR="00113BA0" w:rsidRPr="00614F0A">
        <w:t>Se invita a los Directores de todas las Oficinas de la UIT a que examinen las respuestas de la consulta en el marco de su labor, según proceda.</w:t>
      </w:r>
    </w:p>
    <w:p w14:paraId="102EA286" w14:textId="301C7361" w:rsidR="0063213F" w:rsidRPr="00CD35F3" w:rsidRDefault="0063213F" w:rsidP="00D4183D">
      <w:pPr>
        <w:keepNext/>
        <w:keepLines/>
      </w:pPr>
      <w:r w:rsidRPr="00CD35F3">
        <w:rPr>
          <w:b/>
          <w:bCs/>
        </w:rPr>
        <w:lastRenderedPageBreak/>
        <w:t>2.7.2</w:t>
      </w:r>
      <w:r w:rsidRPr="00CD35F3">
        <w:tab/>
      </w:r>
      <w:r w:rsidR="00B477FF" w:rsidRPr="00CD35F3">
        <w:t>Habida cuenta de</w:t>
      </w:r>
      <w:r w:rsidR="004B3CEE" w:rsidRPr="00CD35F3">
        <w:t xml:space="preserve"> que los participantes en </w:t>
      </w:r>
      <w:r w:rsidR="00113BA0" w:rsidRPr="00CD35F3">
        <w:t xml:space="preserve">la decimoséptima reunión </w:t>
      </w:r>
      <w:r w:rsidR="004B3CEE" w:rsidRPr="00CD35F3">
        <w:t xml:space="preserve">no alcanzaron un consenso </w:t>
      </w:r>
      <w:r w:rsidR="007504C1" w:rsidRPr="00CD35F3">
        <w:t>acerca de</w:t>
      </w:r>
      <w:r w:rsidR="004B3CEE" w:rsidRPr="00CD35F3">
        <w:t xml:space="preserve"> </w:t>
      </w:r>
      <w:r w:rsidR="00113BA0" w:rsidRPr="00CD35F3">
        <w:t xml:space="preserve">los temas propuestos para la consulta abierta, el Grupo </w:t>
      </w:r>
      <w:r w:rsidR="007504C1" w:rsidRPr="00CD35F3">
        <w:t xml:space="preserve">decidió </w:t>
      </w:r>
      <w:r w:rsidR="00B477FF" w:rsidRPr="00CD35F3">
        <w:t>aplaz</w:t>
      </w:r>
      <w:r w:rsidR="007504C1" w:rsidRPr="00CD35F3">
        <w:t>ar</w:t>
      </w:r>
      <w:r w:rsidR="00B477FF" w:rsidRPr="00CD35F3">
        <w:t xml:space="preserve"> el </w:t>
      </w:r>
      <w:r w:rsidR="004B3CEE" w:rsidRPr="00CD35F3">
        <w:t xml:space="preserve">examen de los temas </w:t>
      </w:r>
      <w:r w:rsidR="00B477FF" w:rsidRPr="00CD35F3">
        <w:t xml:space="preserve">para futuras consultas hasta la próxima reunión del GTC-Internet, en caso de que la Conferencia de Plenipotenciarios de 2022 </w:t>
      </w:r>
      <w:r w:rsidR="00276FC3" w:rsidRPr="00CD35F3">
        <w:t xml:space="preserve">(PP-22) </w:t>
      </w:r>
      <w:r w:rsidR="00F00417" w:rsidRPr="00CD35F3">
        <w:t>se pronunci</w:t>
      </w:r>
      <w:r w:rsidR="000402C8" w:rsidRPr="00CD35F3">
        <w:t>as</w:t>
      </w:r>
      <w:r w:rsidR="00F00417" w:rsidRPr="00CD35F3">
        <w:t>e</w:t>
      </w:r>
      <w:r w:rsidR="00B477FF" w:rsidRPr="00CD35F3">
        <w:t xml:space="preserve"> a favor de la continuación de las consultas abiertas.</w:t>
      </w:r>
    </w:p>
    <w:p w14:paraId="681D95CA" w14:textId="44DBAEBC" w:rsidR="0063213F" w:rsidRPr="00CD35F3" w:rsidRDefault="0063213F" w:rsidP="00D4183D">
      <w:r w:rsidRPr="00CD35F3">
        <w:rPr>
          <w:b/>
          <w:bCs/>
        </w:rPr>
        <w:t>2.7.3</w:t>
      </w:r>
      <w:r w:rsidRPr="00CD35F3">
        <w:tab/>
      </w:r>
      <w:r w:rsidR="00B477FF" w:rsidRPr="00CD35F3">
        <w:t>La Secretaría de la UIT deber</w:t>
      </w:r>
      <w:r w:rsidR="003C717F" w:rsidRPr="00CD35F3">
        <w:t>ía</w:t>
      </w:r>
      <w:r w:rsidR="00B477FF" w:rsidRPr="00CD35F3">
        <w:t xml:space="preserve"> esforzarse por </w:t>
      </w:r>
      <w:r w:rsidR="003C717F" w:rsidRPr="00CD35F3">
        <w:t>incluir</w:t>
      </w:r>
      <w:r w:rsidR="00EB303C" w:rsidRPr="00CD35F3">
        <w:t xml:space="preserve"> más actividades de la UIT en relación con la</w:t>
      </w:r>
      <w:r w:rsidRPr="00CD35F3">
        <w:t xml:space="preserve"> Resolución 133 (Rev. Dubái, 2018), </w:t>
      </w:r>
      <w:r w:rsidR="00002674" w:rsidRPr="00CD35F3">
        <w:t>"</w:t>
      </w:r>
      <w:r w:rsidRPr="00CD35F3">
        <w:t>Función de las Administraciones de los Estados Miembros en la gestión de los nombres de dominio internacionalizados (plurilingües)</w:t>
      </w:r>
      <w:r w:rsidR="00002674" w:rsidRPr="00CD35F3">
        <w:t>"</w:t>
      </w:r>
      <w:r w:rsidR="003C717F" w:rsidRPr="00CD35F3">
        <w:t>,</w:t>
      </w:r>
      <w:r w:rsidR="00EB303C" w:rsidRPr="00CD35F3">
        <w:t xml:space="preserve"> en las futuras ediciones del Informe </w:t>
      </w:r>
      <w:r w:rsidR="003C717F" w:rsidRPr="00CD35F3">
        <w:t>sobre las actividades de la UIT en el ámbito de Internet</w:t>
      </w:r>
      <w:r w:rsidR="00EB303C" w:rsidRPr="00CD35F3">
        <w:t xml:space="preserve">, incluido el próximo informe </w:t>
      </w:r>
      <w:r w:rsidR="003C717F" w:rsidRPr="00CD35F3">
        <w:t>a la reunión de 2022</w:t>
      </w:r>
      <w:r w:rsidR="00EB303C" w:rsidRPr="00CD35F3">
        <w:t xml:space="preserve"> </w:t>
      </w:r>
      <w:r w:rsidR="003C717F" w:rsidRPr="00CD35F3">
        <w:t>d</w:t>
      </w:r>
      <w:r w:rsidR="00EB303C" w:rsidRPr="00CD35F3">
        <w:t>el Consejo</w:t>
      </w:r>
      <w:r w:rsidRPr="00CD35F3">
        <w:t>.</w:t>
      </w:r>
    </w:p>
    <w:p w14:paraId="391225F0" w14:textId="7C1CA924" w:rsidR="0063213F" w:rsidRPr="00614F0A" w:rsidRDefault="0063213F" w:rsidP="006E755E">
      <w:r w:rsidRPr="00CD35F3">
        <w:rPr>
          <w:b/>
          <w:bCs/>
        </w:rPr>
        <w:t>2.8</w:t>
      </w:r>
      <w:r w:rsidRPr="00CD35F3">
        <w:tab/>
      </w:r>
      <w:r w:rsidR="005F1FFC" w:rsidRPr="00CD35F3">
        <w:t xml:space="preserve">Teniendo en cuenta que este es el último </w:t>
      </w:r>
      <w:r w:rsidR="001D563B" w:rsidRPr="00CD35F3">
        <w:t xml:space="preserve">Informe </w:t>
      </w:r>
      <w:r w:rsidR="005F1FFC" w:rsidRPr="00CD35F3">
        <w:t xml:space="preserve">del Presidente del GTC-Internet al Consejo antes de la PP-22, el Presidente expresa su agradecimiento por el compromiso y el esfuerzo que los Miembros han puesto en el trabajo del GTC-Internet. A través de sus deliberaciones y de su </w:t>
      </w:r>
      <w:r w:rsidR="00276FC3" w:rsidRPr="00CD35F3">
        <w:t>colaboración</w:t>
      </w:r>
      <w:r w:rsidR="005F1FFC" w:rsidRPr="00CD35F3">
        <w:t xml:space="preserve"> con todas las partes interesadas, lo que incluye también el rico y diverso proceso de consultas, el Grupo ha desempeñado un importante papel en el avance del diálogo global en </w:t>
      </w:r>
      <w:r w:rsidR="00276FC3" w:rsidRPr="00CD35F3">
        <w:t xml:space="preserve">torno a las </w:t>
      </w:r>
      <w:r w:rsidR="005F1FFC" w:rsidRPr="00CD35F3">
        <w:t>cuestiones</w:t>
      </w:r>
      <w:r w:rsidR="00276FC3" w:rsidRPr="00CD35F3">
        <w:t xml:space="preserve"> </w:t>
      </w:r>
      <w:r w:rsidR="001D563B">
        <w:t xml:space="preserve">de </w:t>
      </w:r>
      <w:r w:rsidR="00276FC3" w:rsidRPr="00CD35F3">
        <w:t>política pública internacional relacionadas con Internet</w:t>
      </w:r>
      <w:r w:rsidR="005F1FFC" w:rsidRPr="00CD35F3">
        <w:t>.</w:t>
      </w:r>
    </w:p>
    <w:p w14:paraId="3E255125" w14:textId="4FCFC10E" w:rsidR="0063213F" w:rsidRPr="00614F0A" w:rsidRDefault="0063213F" w:rsidP="003C58E4">
      <w:pPr>
        <w:pStyle w:val="Heading1"/>
        <w:tabs>
          <w:tab w:val="clear" w:pos="2268"/>
          <w:tab w:val="clear" w:pos="2835"/>
          <w:tab w:val="center" w:pos="4819"/>
        </w:tabs>
      </w:pPr>
      <w:r w:rsidRPr="00614F0A">
        <w:t>3</w:t>
      </w:r>
      <w:r w:rsidRPr="00614F0A">
        <w:tab/>
        <w:t>Conclusión</w:t>
      </w:r>
    </w:p>
    <w:p w14:paraId="38A6D2CE" w14:textId="3837049D" w:rsidR="0063213F" w:rsidRPr="00614F0A" w:rsidRDefault="0063213F" w:rsidP="002136D1">
      <w:r w:rsidRPr="00CD35F3">
        <w:rPr>
          <w:b/>
          <w:bCs/>
        </w:rPr>
        <w:t>3.1</w:t>
      </w:r>
      <w:r w:rsidRPr="00614F0A">
        <w:tab/>
        <w:t xml:space="preserve">Se invita al Consejo a tomar nota </w:t>
      </w:r>
      <w:r w:rsidR="005F1FFC" w:rsidRPr="00614F0A">
        <w:t>de los informes</w:t>
      </w:r>
      <w:r w:rsidRPr="00614F0A">
        <w:t xml:space="preserve"> de </w:t>
      </w:r>
      <w:r w:rsidR="005F1FFC" w:rsidRPr="00614F0A">
        <w:t>la decimosexta y decimoséptima</w:t>
      </w:r>
      <w:r w:rsidR="00276FC3" w:rsidRPr="00614F0A">
        <w:t xml:space="preserve"> reuni</w:t>
      </w:r>
      <w:r w:rsidR="001D563B">
        <w:t>ó</w:t>
      </w:r>
      <w:r w:rsidR="00276FC3" w:rsidRPr="00614F0A">
        <w:t>n</w:t>
      </w:r>
      <w:r w:rsidRPr="00614F0A">
        <w:t xml:space="preserve"> del GTC-Internet.</w:t>
      </w:r>
    </w:p>
    <w:p w14:paraId="72F204EC" w14:textId="7E991B95" w:rsidR="0063213F" w:rsidRPr="00614F0A" w:rsidRDefault="0063213F" w:rsidP="002136D1">
      <w:r w:rsidRPr="00CD35F3">
        <w:rPr>
          <w:b/>
          <w:bCs/>
        </w:rPr>
        <w:t>3.2</w:t>
      </w:r>
      <w:r w:rsidRPr="00614F0A">
        <w:tab/>
        <w:t>En nombre del GTC-Internet, el Presidente da las gracias también personalmente a todos los Estados Miembros de la UIT que han aportado contribuciones y han participado en la labor del Grupo, a los Vicepresidentes, al Secretario General, al Vicesecretario General, a los Directores de la TSB, la BR y la BDT, y a la Secretaría General</w:t>
      </w:r>
      <w:r w:rsidR="005F1FFC" w:rsidRPr="00614F0A">
        <w:t>, incluyendo a la Secretaria, Sra.</w:t>
      </w:r>
      <w:r w:rsidR="00536D86">
        <w:t> </w:t>
      </w:r>
      <w:r w:rsidR="005F1FFC" w:rsidRPr="00614F0A">
        <w:t>Sadhvi Saran,</w:t>
      </w:r>
      <w:r w:rsidRPr="00614F0A">
        <w:t xml:space="preserve"> por su eficiente asistencia durante las reuniones del GTC-Internet.</w:t>
      </w:r>
    </w:p>
    <w:p w14:paraId="29885418" w14:textId="4D793BA3" w:rsidR="000C545F" w:rsidRPr="00231FDE" w:rsidRDefault="0063213F" w:rsidP="00231FDE">
      <w:pPr>
        <w:tabs>
          <w:tab w:val="clear" w:pos="737"/>
          <w:tab w:val="clear" w:pos="1134"/>
          <w:tab w:val="clear" w:pos="1701"/>
          <w:tab w:val="clear" w:pos="2268"/>
          <w:tab w:val="clear" w:pos="2835"/>
          <w:tab w:val="left" w:pos="5954"/>
        </w:tabs>
        <w:spacing w:before="720"/>
        <w:rPr>
          <w:b/>
          <w:bCs/>
        </w:rPr>
      </w:pPr>
      <w:r w:rsidRPr="00614F0A">
        <w:tab/>
      </w:r>
      <w:r w:rsidRPr="00CD35F3">
        <w:rPr>
          <w:b/>
          <w:bCs/>
        </w:rPr>
        <w:t>Presidente: Majed M. Al-Mazyed</w:t>
      </w:r>
      <w:r w:rsidR="00CD35F3" w:rsidRPr="00CD35F3">
        <w:rPr>
          <w:b/>
          <w:bCs/>
        </w:rPr>
        <w:br/>
      </w:r>
      <w:r w:rsidRPr="00CD35F3">
        <w:rPr>
          <w:b/>
          <w:bCs/>
        </w:rPr>
        <w:tab/>
        <w:t>(REINO DE ARABIA SAUDITA)</w:t>
      </w:r>
    </w:p>
    <w:sectPr w:rsidR="000C545F" w:rsidRPr="00231FDE" w:rsidSect="006710F6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28F8" w14:textId="77777777" w:rsidR="00306B29" w:rsidRDefault="00306B29">
      <w:r>
        <w:separator/>
      </w:r>
    </w:p>
  </w:endnote>
  <w:endnote w:type="continuationSeparator" w:id="0">
    <w:p w14:paraId="30AA302B" w14:textId="77777777" w:rsidR="00306B29" w:rsidRDefault="003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95ED" w14:textId="3828CC94" w:rsidR="003459F0" w:rsidRPr="00F32AED" w:rsidRDefault="00D50A36" w:rsidP="00D4183D">
    <w:pPr>
      <w:pStyle w:val="Footer"/>
      <w:rPr>
        <w:lang w:val="fr-FR"/>
      </w:rPr>
    </w:pPr>
    <w:r>
      <w:fldChar w:fldCharType="begin"/>
    </w:r>
    <w:r w:rsidRPr="00F32AED">
      <w:rPr>
        <w:lang w:val="fr-FR"/>
      </w:rPr>
      <w:instrText xml:space="preserve"> FILENAME \p \* MERGEFORMAT </w:instrText>
    </w:r>
    <w:r>
      <w:fldChar w:fldCharType="separate"/>
    </w:r>
    <w:r w:rsidR="00676A92" w:rsidRPr="00F32AED">
      <w:rPr>
        <w:lang w:val="fr-FR"/>
      </w:rPr>
      <w:t>P:\ESP\SG\CONSEIL\C22\000\051S.docx</w:t>
    </w:r>
    <w:r>
      <w:rPr>
        <w:lang w:val="en-US"/>
      </w:rPr>
      <w:fldChar w:fldCharType="end"/>
    </w:r>
    <w:r w:rsidR="003459F0" w:rsidRPr="00F32AED">
      <w:rPr>
        <w:lang w:val="fr-FR"/>
      </w:rPr>
      <w:t xml:space="preserve"> (500960)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C110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C89E" w14:textId="77777777" w:rsidR="00306B29" w:rsidRDefault="00306B29">
      <w:r>
        <w:t>____________________</w:t>
      </w:r>
    </w:p>
  </w:footnote>
  <w:footnote w:type="continuationSeparator" w:id="0">
    <w:p w14:paraId="12C1A45D" w14:textId="77777777" w:rsidR="00306B29" w:rsidRDefault="0030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3B57" w14:textId="369422AA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728A6">
      <w:rPr>
        <w:noProof/>
      </w:rPr>
      <w:t>6</w:t>
    </w:r>
    <w:r>
      <w:rPr>
        <w:noProof/>
      </w:rPr>
      <w:fldChar w:fldCharType="end"/>
    </w:r>
  </w:p>
  <w:p w14:paraId="0B465692" w14:textId="10E546CD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3C58E4">
      <w:t>51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088B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3460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CAFD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E4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92D2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858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A2E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0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628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2A3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3B3AF7"/>
    <w:multiLevelType w:val="hybridMultilevel"/>
    <w:tmpl w:val="AA32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72"/>
    <w:rsid w:val="000007D1"/>
    <w:rsid w:val="00002674"/>
    <w:rsid w:val="000402C8"/>
    <w:rsid w:val="00055305"/>
    <w:rsid w:val="00093EEB"/>
    <w:rsid w:val="000B0D00"/>
    <w:rsid w:val="000B7C15"/>
    <w:rsid w:val="000C545F"/>
    <w:rsid w:val="000D1D0F"/>
    <w:rsid w:val="000D4C3E"/>
    <w:rsid w:val="000E2EC6"/>
    <w:rsid w:val="000F5290"/>
    <w:rsid w:val="0010165C"/>
    <w:rsid w:val="00103AA8"/>
    <w:rsid w:val="00113BA0"/>
    <w:rsid w:val="00141272"/>
    <w:rsid w:val="0014447C"/>
    <w:rsid w:val="00146BFB"/>
    <w:rsid w:val="00170642"/>
    <w:rsid w:val="00182357"/>
    <w:rsid w:val="001D563B"/>
    <w:rsid w:val="001F14A2"/>
    <w:rsid w:val="002136D1"/>
    <w:rsid w:val="00231FDE"/>
    <w:rsid w:val="00276FC3"/>
    <w:rsid w:val="002801AA"/>
    <w:rsid w:val="00292C58"/>
    <w:rsid w:val="002C4676"/>
    <w:rsid w:val="002C70B0"/>
    <w:rsid w:val="002D2A43"/>
    <w:rsid w:val="002F3CC4"/>
    <w:rsid w:val="00306B29"/>
    <w:rsid w:val="003459F0"/>
    <w:rsid w:val="003A4590"/>
    <w:rsid w:val="003B7E03"/>
    <w:rsid w:val="003C58E4"/>
    <w:rsid w:val="003C717F"/>
    <w:rsid w:val="004059EF"/>
    <w:rsid w:val="004B3CEE"/>
    <w:rsid w:val="004D2611"/>
    <w:rsid w:val="00504AFE"/>
    <w:rsid w:val="00513630"/>
    <w:rsid w:val="00536D86"/>
    <w:rsid w:val="00560125"/>
    <w:rsid w:val="00563EC5"/>
    <w:rsid w:val="0058161C"/>
    <w:rsid w:val="00585553"/>
    <w:rsid w:val="00596380"/>
    <w:rsid w:val="005B34D9"/>
    <w:rsid w:val="005C2A05"/>
    <w:rsid w:val="005D0CCF"/>
    <w:rsid w:val="005F1FFC"/>
    <w:rsid w:val="005F3BCB"/>
    <w:rsid w:val="005F410F"/>
    <w:rsid w:val="0060149A"/>
    <w:rsid w:val="00601924"/>
    <w:rsid w:val="00614F0A"/>
    <w:rsid w:val="0063213F"/>
    <w:rsid w:val="006447EA"/>
    <w:rsid w:val="0064731F"/>
    <w:rsid w:val="00664572"/>
    <w:rsid w:val="006710F6"/>
    <w:rsid w:val="006735A1"/>
    <w:rsid w:val="00676A92"/>
    <w:rsid w:val="006C1B56"/>
    <w:rsid w:val="006C3CAE"/>
    <w:rsid w:val="006D1B61"/>
    <w:rsid w:val="006D4761"/>
    <w:rsid w:val="006E755E"/>
    <w:rsid w:val="00726872"/>
    <w:rsid w:val="007504C1"/>
    <w:rsid w:val="00760F1C"/>
    <w:rsid w:val="007657F0"/>
    <w:rsid w:val="0077252D"/>
    <w:rsid w:val="007728A6"/>
    <w:rsid w:val="007955DA"/>
    <w:rsid w:val="007C47D3"/>
    <w:rsid w:val="007E5DD3"/>
    <w:rsid w:val="007F350B"/>
    <w:rsid w:val="00820BE4"/>
    <w:rsid w:val="008451E8"/>
    <w:rsid w:val="0087314B"/>
    <w:rsid w:val="00885E71"/>
    <w:rsid w:val="008D42CF"/>
    <w:rsid w:val="00913B9C"/>
    <w:rsid w:val="00956E77"/>
    <w:rsid w:val="00984449"/>
    <w:rsid w:val="009F4811"/>
    <w:rsid w:val="00A36DC7"/>
    <w:rsid w:val="00A50E7D"/>
    <w:rsid w:val="00A70487"/>
    <w:rsid w:val="00AA390C"/>
    <w:rsid w:val="00B0200A"/>
    <w:rsid w:val="00B477FF"/>
    <w:rsid w:val="00B574DB"/>
    <w:rsid w:val="00B826C2"/>
    <w:rsid w:val="00B8298E"/>
    <w:rsid w:val="00BB0589"/>
    <w:rsid w:val="00BD0723"/>
    <w:rsid w:val="00BD2518"/>
    <w:rsid w:val="00BF1D1C"/>
    <w:rsid w:val="00C20C59"/>
    <w:rsid w:val="00C21457"/>
    <w:rsid w:val="00C2727F"/>
    <w:rsid w:val="00C55B1F"/>
    <w:rsid w:val="00C57572"/>
    <w:rsid w:val="00C72862"/>
    <w:rsid w:val="00C95258"/>
    <w:rsid w:val="00CB17AD"/>
    <w:rsid w:val="00CD0275"/>
    <w:rsid w:val="00CD35F3"/>
    <w:rsid w:val="00CF1A67"/>
    <w:rsid w:val="00CF61FE"/>
    <w:rsid w:val="00D22BE2"/>
    <w:rsid w:val="00D2750E"/>
    <w:rsid w:val="00D4183D"/>
    <w:rsid w:val="00D50A36"/>
    <w:rsid w:val="00D555F6"/>
    <w:rsid w:val="00D62446"/>
    <w:rsid w:val="00D70D81"/>
    <w:rsid w:val="00DA4EA2"/>
    <w:rsid w:val="00DC3D3E"/>
    <w:rsid w:val="00DD28C2"/>
    <w:rsid w:val="00DE2C90"/>
    <w:rsid w:val="00DE3B24"/>
    <w:rsid w:val="00E06947"/>
    <w:rsid w:val="00E20132"/>
    <w:rsid w:val="00E3592D"/>
    <w:rsid w:val="00E70E38"/>
    <w:rsid w:val="00E92DE8"/>
    <w:rsid w:val="00EB1212"/>
    <w:rsid w:val="00EB303C"/>
    <w:rsid w:val="00ED65AB"/>
    <w:rsid w:val="00F00417"/>
    <w:rsid w:val="00F12850"/>
    <w:rsid w:val="00F25AA8"/>
    <w:rsid w:val="00F32AED"/>
    <w:rsid w:val="00F33BF4"/>
    <w:rsid w:val="00F423F7"/>
    <w:rsid w:val="00F7105E"/>
    <w:rsid w:val="00F75F57"/>
    <w:rsid w:val="00F82FEE"/>
    <w:rsid w:val="00F93352"/>
    <w:rsid w:val="00FB052D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B9802"/>
  <w15:docId w15:val="{25A507DB-A897-4033-971A-D6BAC1E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5F3"/>
    <w:pPr>
      <w:tabs>
        <w:tab w:val="left" w:pos="73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D35F3"/>
    <w:pPr>
      <w:keepNext/>
      <w:keepLines/>
      <w:spacing w:before="480"/>
      <w:ind w:left="737" w:hanging="73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CD35F3"/>
    <w:pPr>
      <w:spacing w:before="86"/>
      <w:ind w:left="737" w:hanging="73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1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213F"/>
    <w:rPr>
      <w:rFonts w:ascii="Calibri" w:hAnsi="Calibri"/>
      <w:sz w:val="24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A704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048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0487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0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0487"/>
    <w:rPr>
      <w:rFonts w:ascii="Calibri" w:hAnsi="Calibr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7048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0487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Hyperlink3">
    <w:name w:val="Hyperlink.3"/>
    <w:basedOn w:val="DefaultParagraphFont"/>
    <w:rsid w:val="00A70487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DD28C2"/>
    <w:rPr>
      <w:color w:val="605E5C"/>
      <w:shd w:val="clear" w:color="auto" w:fill="E1DFDD"/>
    </w:rPr>
  </w:style>
  <w:style w:type="paragraph" w:customStyle="1" w:styleId="Hyperlink30">
    <w:name w:val="Hyperlink 3"/>
    <w:basedOn w:val="Normal"/>
    <w:rsid w:val="00DD28C2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cwg-internet/Pages/default.aspx" TargetMode="External"/><Relationship Id="rId18" Type="http://schemas.openxmlformats.org/officeDocument/2006/relationships/hyperlink" Target="http://www.itu.int/en/council/cwg-internet/Pages/open-consultation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en/council/cwg-internet/Pages/open-consultation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40/es" TargetMode="External"/><Relationship Id="rId17" Type="http://schemas.openxmlformats.org/officeDocument/2006/relationships/hyperlink" Target="https://www.itu.int/en/council/cwg-internet/Pages/consultation-feb2021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RCLINTPOL16-C/es" TargetMode="External"/><Relationship Id="rId20" Type="http://schemas.openxmlformats.org/officeDocument/2006/relationships/hyperlink" Target="https://www.itu.int/en/council/cwg-internet/Pages/consultation-oct2021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36/e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RCLINTPOL17-C-0006/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council/Documents/basic-texts/RES-140-S.pdf" TargetMode="External"/><Relationship Id="rId19" Type="http://schemas.openxmlformats.org/officeDocument/2006/relationships/hyperlink" Target="https://www.itu.int/md/S22-RCLINTPOL17-C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2-S.pdf" TargetMode="External"/><Relationship Id="rId14" Type="http://schemas.openxmlformats.org/officeDocument/2006/relationships/hyperlink" Target="https://www.itu.int/md/S21-RCLINTPOL16-C-0008/es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A470-F8DE-427B-9DD4-0E1D2A6B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4</Pages>
  <Words>1540</Words>
  <Characters>9277</Characters>
  <Application>Microsoft Office Word</Application>
  <DocSecurity>4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10796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Presidente del Grupo de Trabajo del Consejo sobre cuestiones de pol韙ica p鷅lica internacional relacionadas con Internet (GTC-Internet)</dc:title>
  <dc:subject>Consejo 2022</dc:subject>
  <dc:creator>Spanish</dc:creator>
  <cp:keywords>C2022, C22, Council-22</cp:keywords>
  <dc:description/>
  <cp:lastModifiedBy>Xue, Kun</cp:lastModifiedBy>
  <cp:revision>2</cp:revision>
  <cp:lastPrinted>2022-02-03T10:35:00Z</cp:lastPrinted>
  <dcterms:created xsi:type="dcterms:W3CDTF">2022-02-10T17:31:00Z</dcterms:created>
  <dcterms:modified xsi:type="dcterms:W3CDTF">2022-02-10T17:31:00Z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