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14:paraId="522CF8AA" w14:textId="77777777">
        <w:trPr>
          <w:cantSplit/>
        </w:trPr>
        <w:tc>
          <w:tcPr>
            <w:tcW w:w="6911" w:type="dxa"/>
          </w:tcPr>
          <w:p w14:paraId="71103499" w14:textId="77777777" w:rsidR="00BC7BC0" w:rsidRPr="001E6719" w:rsidRDefault="000569B4" w:rsidP="00005BE0">
            <w:pPr>
              <w:spacing w:before="360" w:after="48"/>
              <w:rPr>
                <w:position w:val="6"/>
                <w:szCs w:val="22"/>
                <w:lang w:val="ru-RU"/>
              </w:rPr>
            </w:pPr>
            <w:r w:rsidRPr="001E6719">
              <w:rPr>
                <w:b/>
                <w:smallCaps/>
                <w:sz w:val="28"/>
                <w:szCs w:val="28"/>
                <w:lang w:val="ru-RU"/>
              </w:rPr>
              <w:t>СОВЕТ 20</w:t>
            </w:r>
            <w:r w:rsidR="00442515">
              <w:rPr>
                <w:b/>
                <w:smallCaps/>
                <w:sz w:val="28"/>
                <w:szCs w:val="28"/>
                <w:lang w:val="en-US"/>
              </w:rPr>
              <w:t>2</w:t>
            </w:r>
            <w:r w:rsidR="00005BE0">
              <w:rPr>
                <w:b/>
                <w:smallCaps/>
                <w:sz w:val="28"/>
                <w:szCs w:val="28"/>
                <w:lang w:val="en-US"/>
              </w:rPr>
              <w:t>2</w:t>
            </w:r>
            <w:r w:rsidRPr="001E6719">
              <w:rPr>
                <w:b/>
                <w:smallCaps/>
                <w:sz w:val="24"/>
                <w:szCs w:val="24"/>
                <w:lang w:val="ru-RU"/>
              </w:rPr>
              <w:br/>
            </w:r>
            <w:r w:rsidR="00005BE0" w:rsidRPr="00ED03B9">
              <w:rPr>
                <w:b/>
                <w:bCs/>
                <w:szCs w:val="24"/>
                <w:lang w:val="ru-RU"/>
              </w:rPr>
              <w:t>Женева</w:t>
            </w:r>
            <w:r w:rsidR="00225368" w:rsidRPr="00ED03B9">
              <w:rPr>
                <w:b/>
                <w:bCs/>
                <w:szCs w:val="24"/>
                <w:lang w:val="ru-RU"/>
              </w:rPr>
              <w:t xml:space="preserve">, </w:t>
            </w:r>
            <w:r w:rsidR="00005BE0" w:rsidRPr="00ED03B9">
              <w:rPr>
                <w:b/>
                <w:bCs/>
                <w:szCs w:val="24"/>
                <w:lang w:val="en-US"/>
              </w:rPr>
              <w:t>21</w:t>
            </w:r>
            <w:r w:rsidR="005B3DEC" w:rsidRPr="00ED03B9">
              <w:rPr>
                <w:b/>
                <w:bCs/>
                <w:szCs w:val="24"/>
                <w:lang w:val="ru-RU"/>
              </w:rPr>
              <w:t>–</w:t>
            </w:r>
            <w:r w:rsidR="00005BE0" w:rsidRPr="00ED03B9">
              <w:rPr>
                <w:b/>
                <w:bCs/>
                <w:szCs w:val="24"/>
                <w:lang w:val="en-US"/>
              </w:rPr>
              <w:t>31</w:t>
            </w:r>
            <w:r w:rsidR="00005BE0" w:rsidRPr="00ED03B9">
              <w:rPr>
                <w:rFonts w:ascii="Verdana" w:hAnsi="Verdana"/>
                <w:b/>
                <w:bCs/>
                <w:sz w:val="16"/>
                <w:szCs w:val="18"/>
                <w:lang w:val="ru-RU"/>
              </w:rPr>
              <w:t xml:space="preserve"> </w:t>
            </w:r>
            <w:r w:rsidR="00005BE0" w:rsidRPr="00ED03B9">
              <w:rPr>
                <w:b/>
                <w:bCs/>
                <w:szCs w:val="24"/>
                <w:lang w:val="ru-RU"/>
              </w:rPr>
              <w:t xml:space="preserve">марта </w:t>
            </w:r>
            <w:r w:rsidR="00225368" w:rsidRPr="00ED03B9">
              <w:rPr>
                <w:b/>
                <w:bCs/>
                <w:szCs w:val="24"/>
                <w:lang w:val="ru-RU"/>
              </w:rPr>
              <w:t>20</w:t>
            </w:r>
            <w:r w:rsidR="00442515" w:rsidRPr="00ED03B9">
              <w:rPr>
                <w:b/>
                <w:bCs/>
                <w:szCs w:val="24"/>
                <w:lang w:val="ru-RU"/>
              </w:rPr>
              <w:t>2</w:t>
            </w:r>
            <w:r w:rsidR="00005BE0" w:rsidRPr="00ED03B9">
              <w:rPr>
                <w:b/>
                <w:bCs/>
                <w:szCs w:val="24"/>
                <w:lang w:val="en-US"/>
              </w:rPr>
              <w:t>2</w:t>
            </w:r>
            <w:r w:rsidR="00225368" w:rsidRPr="00ED03B9">
              <w:rPr>
                <w:b/>
                <w:bCs/>
                <w:szCs w:val="22"/>
                <w:lang w:val="ru-RU"/>
              </w:rPr>
              <w:t xml:space="preserve"> года</w:t>
            </w:r>
          </w:p>
        </w:tc>
        <w:tc>
          <w:tcPr>
            <w:tcW w:w="3120" w:type="dxa"/>
          </w:tcPr>
          <w:p w14:paraId="15BEC234" w14:textId="77777777" w:rsidR="00BC7BC0" w:rsidRPr="001E6719" w:rsidRDefault="00442515" w:rsidP="00442515">
            <w:pPr>
              <w:spacing w:before="0" w:line="240" w:lineRule="atLeast"/>
              <w:rPr>
                <w:szCs w:val="22"/>
                <w:lang w:val="ru-RU"/>
              </w:rPr>
            </w:pPr>
            <w:bookmarkStart w:id="0" w:name="ditulogo"/>
            <w:bookmarkEnd w:id="0"/>
            <w:r>
              <w:rPr>
                <w:noProof/>
                <w:lang w:val="en-US"/>
              </w:rPr>
              <w:drawing>
                <wp:inline distT="0" distB="0" distL="0" distR="0" wp14:anchorId="77CDA4EA" wp14:editId="273CA94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732269" w14:paraId="3DC2C63F" w14:textId="77777777">
        <w:trPr>
          <w:cantSplit/>
        </w:trPr>
        <w:tc>
          <w:tcPr>
            <w:tcW w:w="6911" w:type="dxa"/>
            <w:tcBorders>
              <w:bottom w:val="single" w:sz="12" w:space="0" w:color="auto"/>
            </w:tcBorders>
          </w:tcPr>
          <w:p w14:paraId="224C7F4E" w14:textId="77777777"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14:paraId="6BBC9C3D" w14:textId="77777777" w:rsidR="00BC7BC0" w:rsidRPr="001E6719" w:rsidRDefault="00BC7BC0" w:rsidP="00BC7BC0">
            <w:pPr>
              <w:spacing w:before="0" w:line="240" w:lineRule="atLeast"/>
              <w:rPr>
                <w:szCs w:val="22"/>
                <w:lang w:val="ru-RU"/>
              </w:rPr>
            </w:pPr>
          </w:p>
        </w:tc>
      </w:tr>
      <w:tr w:rsidR="00BC7BC0" w:rsidRPr="00732269" w14:paraId="192CAA32" w14:textId="77777777">
        <w:trPr>
          <w:cantSplit/>
        </w:trPr>
        <w:tc>
          <w:tcPr>
            <w:tcW w:w="6911" w:type="dxa"/>
            <w:tcBorders>
              <w:top w:val="single" w:sz="12" w:space="0" w:color="auto"/>
            </w:tcBorders>
          </w:tcPr>
          <w:p w14:paraId="743C42EA" w14:textId="77777777"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14:paraId="46DFF7A7" w14:textId="77777777" w:rsidR="00BC7BC0" w:rsidRPr="001E6719" w:rsidRDefault="00BC7BC0" w:rsidP="004D0129">
            <w:pPr>
              <w:spacing w:before="0" w:line="240" w:lineRule="atLeast"/>
              <w:rPr>
                <w:szCs w:val="22"/>
                <w:lang w:val="ru-RU"/>
              </w:rPr>
            </w:pPr>
          </w:p>
        </w:tc>
      </w:tr>
      <w:tr w:rsidR="00BC7BC0" w:rsidRPr="00732269" w14:paraId="781D3CE1" w14:textId="77777777">
        <w:trPr>
          <w:cantSplit/>
          <w:trHeight w:val="23"/>
        </w:trPr>
        <w:tc>
          <w:tcPr>
            <w:tcW w:w="6911" w:type="dxa"/>
            <w:vMerge w:val="restart"/>
          </w:tcPr>
          <w:p w14:paraId="618A028C" w14:textId="77777777" w:rsidR="00BC7BC0" w:rsidRPr="00C22779" w:rsidRDefault="00BC7BC0" w:rsidP="00C22779">
            <w:pPr>
              <w:tabs>
                <w:tab w:val="left" w:pos="851"/>
              </w:tabs>
              <w:spacing w:before="0" w:line="240" w:lineRule="atLeast"/>
              <w:rPr>
                <w:b/>
                <w:szCs w:val="22"/>
                <w:lang w:val="en-US"/>
              </w:rPr>
            </w:pPr>
            <w:r w:rsidRPr="001E6719">
              <w:rPr>
                <w:b/>
                <w:bCs/>
                <w:szCs w:val="22"/>
                <w:lang w:val="ru-RU"/>
              </w:rPr>
              <w:t>Пункт повестки дня:</w:t>
            </w:r>
            <w:r w:rsidRPr="001E6719">
              <w:rPr>
                <w:b/>
                <w:bCs/>
                <w:caps/>
                <w:szCs w:val="22"/>
                <w:lang w:val="ru-RU"/>
              </w:rPr>
              <w:t xml:space="preserve"> </w:t>
            </w:r>
            <w:r w:rsidR="00C22779">
              <w:rPr>
                <w:b/>
                <w:bCs/>
                <w:caps/>
                <w:color w:val="000000"/>
                <w:szCs w:val="22"/>
              </w:rPr>
              <w:t>ADM</w:t>
            </w:r>
            <w:r w:rsidRPr="001E6719">
              <w:rPr>
                <w:b/>
                <w:bCs/>
                <w:caps/>
                <w:color w:val="000000"/>
                <w:szCs w:val="22"/>
                <w:lang w:val="ru-RU"/>
              </w:rPr>
              <w:t xml:space="preserve"> </w:t>
            </w:r>
            <w:r w:rsidR="00C22779">
              <w:rPr>
                <w:b/>
                <w:bCs/>
                <w:caps/>
                <w:color w:val="000000"/>
                <w:szCs w:val="22"/>
                <w:lang w:val="en-US"/>
              </w:rPr>
              <w:t>3</w:t>
            </w:r>
          </w:p>
        </w:tc>
        <w:tc>
          <w:tcPr>
            <w:tcW w:w="3120" w:type="dxa"/>
          </w:tcPr>
          <w:p w14:paraId="0690B285" w14:textId="7186DE38" w:rsidR="00BC7BC0" w:rsidRPr="001E6719" w:rsidRDefault="00BC7BC0" w:rsidP="00C22779">
            <w:pPr>
              <w:tabs>
                <w:tab w:val="left" w:pos="851"/>
              </w:tabs>
              <w:spacing w:before="0" w:line="240" w:lineRule="atLeast"/>
              <w:rPr>
                <w:b/>
                <w:bCs/>
                <w:szCs w:val="22"/>
                <w:lang w:val="ru-RU"/>
              </w:rPr>
            </w:pPr>
            <w:r w:rsidRPr="001E6719">
              <w:rPr>
                <w:b/>
                <w:bCs/>
                <w:szCs w:val="22"/>
                <w:lang w:val="ru-RU"/>
              </w:rPr>
              <w:t xml:space="preserve">Документ </w:t>
            </w:r>
            <w:r w:rsidRPr="001E6719">
              <w:rPr>
                <w:b/>
                <w:bCs/>
                <w:szCs w:val="22"/>
                <w:lang w:val="fr-CH"/>
              </w:rPr>
              <w:t>C</w:t>
            </w:r>
            <w:r w:rsidR="00442515">
              <w:rPr>
                <w:b/>
                <w:bCs/>
                <w:szCs w:val="22"/>
                <w:lang w:val="en-US"/>
              </w:rPr>
              <w:t>2</w:t>
            </w:r>
            <w:r w:rsidR="00005BE0">
              <w:rPr>
                <w:b/>
                <w:bCs/>
                <w:szCs w:val="22"/>
                <w:lang w:val="en-US"/>
              </w:rPr>
              <w:t>2</w:t>
            </w:r>
            <w:r w:rsidRPr="001E6719">
              <w:rPr>
                <w:b/>
                <w:bCs/>
                <w:szCs w:val="22"/>
                <w:lang w:val="ru-RU"/>
              </w:rPr>
              <w:t>/</w:t>
            </w:r>
            <w:r w:rsidR="00C22779">
              <w:rPr>
                <w:b/>
                <w:bCs/>
                <w:szCs w:val="22"/>
                <w:lang w:val="ru-RU"/>
              </w:rPr>
              <w:t>50</w:t>
            </w:r>
            <w:r w:rsidRPr="001E6719">
              <w:rPr>
                <w:b/>
                <w:bCs/>
                <w:szCs w:val="22"/>
                <w:lang w:val="ru-RU"/>
              </w:rPr>
              <w:t>-</w:t>
            </w:r>
            <w:r w:rsidRPr="001E6719">
              <w:rPr>
                <w:b/>
                <w:bCs/>
                <w:szCs w:val="22"/>
                <w:lang w:val="en-US"/>
              </w:rPr>
              <w:t>R</w:t>
            </w:r>
          </w:p>
        </w:tc>
      </w:tr>
      <w:tr w:rsidR="00BC7BC0" w:rsidRPr="00EB4FCB" w14:paraId="7DF7D615" w14:textId="77777777">
        <w:trPr>
          <w:cantSplit/>
          <w:trHeight w:val="23"/>
        </w:trPr>
        <w:tc>
          <w:tcPr>
            <w:tcW w:w="6911" w:type="dxa"/>
            <w:vMerge/>
          </w:tcPr>
          <w:p w14:paraId="14B57628" w14:textId="77777777" w:rsidR="00BC7BC0" w:rsidRPr="001E6719" w:rsidRDefault="00BC7BC0" w:rsidP="00BC7BC0">
            <w:pPr>
              <w:tabs>
                <w:tab w:val="left" w:pos="851"/>
              </w:tabs>
              <w:spacing w:line="240" w:lineRule="atLeast"/>
              <w:rPr>
                <w:b/>
                <w:szCs w:val="22"/>
                <w:lang w:val="ru-RU"/>
              </w:rPr>
            </w:pPr>
          </w:p>
        </w:tc>
        <w:tc>
          <w:tcPr>
            <w:tcW w:w="3120" w:type="dxa"/>
          </w:tcPr>
          <w:p w14:paraId="10829E19" w14:textId="2C67CBC8" w:rsidR="00BC7BC0" w:rsidRPr="001E6719" w:rsidRDefault="00730AFC" w:rsidP="00C22779">
            <w:pPr>
              <w:tabs>
                <w:tab w:val="left" w:pos="993"/>
              </w:tabs>
              <w:spacing w:before="0"/>
              <w:rPr>
                <w:b/>
                <w:bCs/>
                <w:szCs w:val="22"/>
                <w:lang w:val="ru-RU"/>
              </w:rPr>
            </w:pPr>
            <w:r>
              <w:rPr>
                <w:b/>
                <w:bCs/>
                <w:szCs w:val="22"/>
                <w:lang w:val="ru-RU"/>
              </w:rPr>
              <w:t>1</w:t>
            </w:r>
            <w:r w:rsidR="00D46136">
              <w:rPr>
                <w:b/>
                <w:bCs/>
                <w:szCs w:val="22"/>
                <w:lang w:val="en-US"/>
              </w:rPr>
              <w:t>8</w:t>
            </w:r>
            <w:r w:rsidR="00BC7BC0" w:rsidRPr="001E6719">
              <w:rPr>
                <w:b/>
                <w:bCs/>
                <w:szCs w:val="22"/>
                <w:lang w:val="ru-RU"/>
              </w:rPr>
              <w:t xml:space="preserve"> </w:t>
            </w:r>
            <w:r w:rsidR="00C22779">
              <w:rPr>
                <w:b/>
                <w:bCs/>
                <w:szCs w:val="22"/>
                <w:lang w:val="ru-RU"/>
              </w:rPr>
              <w:t>февраля</w:t>
            </w:r>
            <w:r w:rsidR="00EB4FCB">
              <w:rPr>
                <w:b/>
                <w:bCs/>
                <w:szCs w:val="22"/>
                <w:lang w:val="en-US"/>
              </w:rPr>
              <w:t xml:space="preserve"> </w:t>
            </w:r>
            <w:r w:rsidR="00BC7BC0" w:rsidRPr="001E6719">
              <w:rPr>
                <w:b/>
                <w:bCs/>
                <w:szCs w:val="22"/>
                <w:lang w:val="ru-RU"/>
              </w:rPr>
              <w:t>20</w:t>
            </w:r>
            <w:r w:rsidR="00442515">
              <w:rPr>
                <w:b/>
                <w:bCs/>
                <w:szCs w:val="22"/>
                <w:lang w:val="en-US"/>
              </w:rPr>
              <w:t>2</w:t>
            </w:r>
            <w:r w:rsidR="00C22779">
              <w:rPr>
                <w:b/>
                <w:bCs/>
                <w:szCs w:val="22"/>
                <w:lang w:val="ru-RU"/>
              </w:rPr>
              <w:t>2</w:t>
            </w:r>
            <w:r w:rsidR="00BC7BC0" w:rsidRPr="001E6719">
              <w:rPr>
                <w:b/>
                <w:bCs/>
                <w:szCs w:val="22"/>
                <w:lang w:val="ru-RU"/>
              </w:rPr>
              <w:t xml:space="preserve"> года</w:t>
            </w:r>
          </w:p>
        </w:tc>
      </w:tr>
      <w:tr w:rsidR="00BC7BC0" w:rsidRPr="00EB4FCB" w14:paraId="323DB793" w14:textId="77777777">
        <w:trPr>
          <w:cantSplit/>
          <w:trHeight w:val="23"/>
        </w:trPr>
        <w:tc>
          <w:tcPr>
            <w:tcW w:w="6911" w:type="dxa"/>
            <w:vMerge/>
          </w:tcPr>
          <w:p w14:paraId="27DCDBE4" w14:textId="77777777" w:rsidR="00BC7BC0" w:rsidRPr="001E6719" w:rsidRDefault="00BC7BC0" w:rsidP="00BC7BC0">
            <w:pPr>
              <w:tabs>
                <w:tab w:val="left" w:pos="851"/>
              </w:tabs>
              <w:spacing w:line="240" w:lineRule="atLeast"/>
              <w:rPr>
                <w:b/>
                <w:szCs w:val="22"/>
                <w:lang w:val="ru-RU"/>
              </w:rPr>
            </w:pPr>
          </w:p>
        </w:tc>
        <w:tc>
          <w:tcPr>
            <w:tcW w:w="3120" w:type="dxa"/>
          </w:tcPr>
          <w:p w14:paraId="5EEC81D5" w14:textId="77777777"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B25E8F" w14:paraId="2D2825AF" w14:textId="77777777">
        <w:trPr>
          <w:cantSplit/>
        </w:trPr>
        <w:tc>
          <w:tcPr>
            <w:tcW w:w="10031" w:type="dxa"/>
            <w:gridSpan w:val="2"/>
          </w:tcPr>
          <w:p w14:paraId="04B84B29" w14:textId="77777777" w:rsidR="00BC7BC0" w:rsidRPr="00EB4FCB" w:rsidRDefault="00BC7BC0" w:rsidP="00C22779">
            <w:pPr>
              <w:pStyle w:val="Source"/>
              <w:rPr>
                <w:szCs w:val="22"/>
                <w:lang w:val="ru-RU"/>
              </w:rPr>
            </w:pPr>
            <w:bookmarkStart w:id="1" w:name="dtitle2" w:colFirst="0" w:colLast="0"/>
            <w:r w:rsidRPr="001E6719">
              <w:rPr>
                <w:lang w:val="ru-RU"/>
              </w:rPr>
              <w:t xml:space="preserve">Отчет </w:t>
            </w:r>
            <w:r w:rsidR="00C22779" w:rsidRPr="00C22779">
              <w:rPr>
                <w:lang w:val="ru-RU"/>
              </w:rPr>
              <w:t>Председателя Рабочей группы Совета</w:t>
            </w:r>
            <w:r w:rsidR="00C22779" w:rsidRPr="00C22779">
              <w:rPr>
                <w:lang w:val="ru-RU"/>
              </w:rPr>
              <w:br/>
              <w:t>по финансовым и людским ресурсам (РГС-ФЛР)</w:t>
            </w:r>
          </w:p>
        </w:tc>
      </w:tr>
      <w:tr w:rsidR="00BC7BC0" w:rsidRPr="00B25E8F" w14:paraId="74FA0A94" w14:textId="77777777">
        <w:trPr>
          <w:cantSplit/>
        </w:trPr>
        <w:tc>
          <w:tcPr>
            <w:tcW w:w="10031" w:type="dxa"/>
            <w:gridSpan w:val="2"/>
          </w:tcPr>
          <w:p w14:paraId="783A707B" w14:textId="77777777" w:rsidR="00BC7BC0" w:rsidRPr="00EB4FCB" w:rsidRDefault="00BC7BC0" w:rsidP="00A71773">
            <w:pPr>
              <w:pStyle w:val="Title1"/>
              <w:rPr>
                <w:szCs w:val="22"/>
                <w:lang w:val="ru-RU"/>
              </w:rPr>
            </w:pPr>
            <w:bookmarkStart w:id="2" w:name="dtitle3" w:colFirst="0" w:colLast="0"/>
            <w:bookmarkEnd w:id="1"/>
          </w:p>
        </w:tc>
      </w:tr>
      <w:bookmarkEnd w:id="2"/>
    </w:tbl>
    <w:p w14:paraId="3774BF2F" w14:textId="77777777" w:rsidR="002D2F57" w:rsidRPr="001E671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663F16" w14:paraId="2CFF295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4D74BD0" w14:textId="77777777" w:rsidR="002D2F57" w:rsidRPr="001E6719" w:rsidRDefault="002D2F57">
            <w:pPr>
              <w:pStyle w:val="Headingb"/>
              <w:rPr>
                <w:szCs w:val="22"/>
                <w:lang w:val="ru-RU"/>
              </w:rPr>
            </w:pPr>
            <w:r w:rsidRPr="001E6719">
              <w:rPr>
                <w:szCs w:val="22"/>
                <w:lang w:val="ru-RU"/>
              </w:rPr>
              <w:t>Резюме</w:t>
            </w:r>
          </w:p>
          <w:p w14:paraId="228426F5" w14:textId="553522B3" w:rsidR="002D2F57" w:rsidRPr="001E6719" w:rsidRDefault="00C22779">
            <w:pPr>
              <w:rPr>
                <w:szCs w:val="22"/>
                <w:lang w:val="ru-RU"/>
              </w:rPr>
            </w:pPr>
            <w:r w:rsidRPr="00C22779">
              <w:rPr>
                <w:szCs w:val="22"/>
                <w:lang w:val="ru-RU"/>
              </w:rPr>
              <w:t>В настоящем документе представлен отчет о результатах обсуждений</w:t>
            </w:r>
            <w:r w:rsidR="00603091">
              <w:rPr>
                <w:szCs w:val="22"/>
                <w:lang w:val="ru-RU"/>
              </w:rPr>
              <w:t xml:space="preserve"> в рамках собраний</w:t>
            </w:r>
            <w:r w:rsidRPr="00C22779">
              <w:rPr>
                <w:szCs w:val="22"/>
                <w:lang w:val="ru-RU"/>
              </w:rPr>
              <w:t xml:space="preserve"> РГС-ФЛР, которые состоялись </w:t>
            </w:r>
            <w:r w:rsidR="00786D66">
              <w:rPr>
                <w:szCs w:val="22"/>
                <w:lang w:val="ru-RU"/>
              </w:rPr>
              <w:t>20−21</w:t>
            </w:r>
            <w:r w:rsidRPr="00C22779">
              <w:rPr>
                <w:szCs w:val="22"/>
                <w:lang w:val="ru-RU"/>
              </w:rPr>
              <w:t> сентября 20</w:t>
            </w:r>
            <w:r w:rsidR="00786D66">
              <w:rPr>
                <w:szCs w:val="22"/>
                <w:lang w:val="ru-RU"/>
              </w:rPr>
              <w:t>21</w:t>
            </w:r>
            <w:r w:rsidRPr="00C22779">
              <w:rPr>
                <w:szCs w:val="22"/>
                <w:lang w:val="ru-RU"/>
              </w:rPr>
              <w:t> год</w:t>
            </w:r>
            <w:r w:rsidR="00786D66">
              <w:rPr>
                <w:szCs w:val="22"/>
                <w:lang w:val="ru-RU"/>
              </w:rPr>
              <w:t>а и 11−12</w:t>
            </w:r>
            <w:r w:rsidRPr="00C22779">
              <w:rPr>
                <w:szCs w:val="22"/>
                <w:lang w:val="ru-RU"/>
              </w:rPr>
              <w:t> </w:t>
            </w:r>
            <w:r w:rsidR="00786D66">
              <w:rPr>
                <w:szCs w:val="22"/>
                <w:lang w:val="ru-RU"/>
              </w:rPr>
              <w:t>января</w:t>
            </w:r>
            <w:r w:rsidRPr="00C22779">
              <w:rPr>
                <w:szCs w:val="22"/>
                <w:lang w:val="ru-RU"/>
              </w:rPr>
              <w:t xml:space="preserve"> 202</w:t>
            </w:r>
            <w:r w:rsidR="00786D66">
              <w:rPr>
                <w:szCs w:val="22"/>
                <w:lang w:val="ru-RU"/>
              </w:rPr>
              <w:t>2</w:t>
            </w:r>
            <w:r w:rsidRPr="00C22779">
              <w:rPr>
                <w:szCs w:val="22"/>
                <w:lang w:val="ru-RU"/>
              </w:rPr>
              <w:t> года</w:t>
            </w:r>
            <w:r w:rsidR="00AC2667">
              <w:rPr>
                <w:szCs w:val="22"/>
                <w:lang w:val="ru-RU"/>
              </w:rPr>
              <w:t xml:space="preserve"> соответственно</w:t>
            </w:r>
            <w:r w:rsidRPr="00C22779">
              <w:rPr>
                <w:szCs w:val="22"/>
                <w:lang w:val="ru-RU"/>
              </w:rPr>
              <w:t>.</w:t>
            </w:r>
          </w:p>
          <w:p w14:paraId="42D747EA" w14:textId="77777777" w:rsidR="002D2F57" w:rsidRPr="001E6719" w:rsidRDefault="002D2F57" w:rsidP="00E55121">
            <w:pPr>
              <w:pStyle w:val="Headingb"/>
              <w:rPr>
                <w:lang w:val="ru-RU"/>
              </w:rPr>
            </w:pPr>
            <w:r w:rsidRPr="00EB4FCB">
              <w:rPr>
                <w:lang w:val="ru-RU"/>
              </w:rPr>
              <w:t>Необходимые</w:t>
            </w:r>
            <w:r w:rsidRPr="001E6719">
              <w:rPr>
                <w:lang w:val="ru-RU"/>
              </w:rPr>
              <w:t xml:space="preserve"> </w:t>
            </w:r>
            <w:r w:rsidR="00F5225B" w:rsidRPr="001E6719">
              <w:rPr>
                <w:lang w:val="ru-RU"/>
              </w:rPr>
              <w:t>действия</w:t>
            </w:r>
          </w:p>
          <w:p w14:paraId="57EEBDB7" w14:textId="77777777" w:rsidR="002D2F57" w:rsidRPr="001E6719" w:rsidRDefault="00C22779">
            <w:pPr>
              <w:rPr>
                <w:szCs w:val="22"/>
                <w:lang w:val="ru-RU"/>
              </w:rPr>
            </w:pPr>
            <w:r w:rsidRPr="00C22779">
              <w:rPr>
                <w:szCs w:val="22"/>
                <w:lang w:val="ru-RU"/>
              </w:rPr>
              <w:t xml:space="preserve">Совету предлагается </w:t>
            </w:r>
            <w:r w:rsidRPr="00C22779">
              <w:rPr>
                <w:b/>
                <w:szCs w:val="22"/>
                <w:lang w:val="ru-RU"/>
              </w:rPr>
              <w:t>принять к сведению</w:t>
            </w:r>
            <w:r w:rsidRPr="00C22779">
              <w:rPr>
                <w:szCs w:val="22"/>
                <w:lang w:val="ru-RU"/>
              </w:rPr>
              <w:t xml:space="preserve"> результаты работы РГС-ФЛР, а также </w:t>
            </w:r>
            <w:r w:rsidRPr="00C22779">
              <w:rPr>
                <w:b/>
                <w:szCs w:val="22"/>
                <w:lang w:val="ru-RU"/>
              </w:rPr>
              <w:t>рассмотреть</w:t>
            </w:r>
            <w:r w:rsidRPr="00C22779">
              <w:rPr>
                <w:szCs w:val="22"/>
                <w:lang w:val="ru-RU"/>
              </w:rPr>
              <w:t xml:space="preserve"> меры, определенные в настоящем отчете, и </w:t>
            </w:r>
            <w:r w:rsidRPr="00C22779">
              <w:rPr>
                <w:b/>
                <w:szCs w:val="22"/>
                <w:lang w:val="ru-RU"/>
              </w:rPr>
              <w:t>высказать мнения</w:t>
            </w:r>
            <w:r w:rsidRPr="003F1B40">
              <w:rPr>
                <w:szCs w:val="22"/>
                <w:lang w:val="ru-RU"/>
              </w:rPr>
              <w:t>, в зависимости от случая.</w:t>
            </w:r>
          </w:p>
          <w:p w14:paraId="7CF0E9EC" w14:textId="77777777" w:rsidR="002D2F57" w:rsidRPr="001E6719" w:rsidRDefault="002D2F57" w:rsidP="004D0129">
            <w:pPr>
              <w:spacing w:before="0"/>
              <w:jc w:val="center"/>
              <w:rPr>
                <w:caps/>
                <w:szCs w:val="22"/>
                <w:lang w:val="ru-RU"/>
              </w:rPr>
            </w:pPr>
            <w:r w:rsidRPr="001E6719">
              <w:rPr>
                <w:caps/>
                <w:szCs w:val="22"/>
                <w:lang w:val="ru-RU"/>
              </w:rPr>
              <w:t>____________</w:t>
            </w:r>
          </w:p>
          <w:p w14:paraId="414AF7C6" w14:textId="77777777" w:rsidR="002D2F57" w:rsidRPr="001E6719" w:rsidRDefault="002D2F57">
            <w:pPr>
              <w:pStyle w:val="Headingb"/>
              <w:rPr>
                <w:szCs w:val="22"/>
                <w:lang w:val="ru-RU"/>
              </w:rPr>
            </w:pPr>
            <w:r w:rsidRPr="001E6719">
              <w:rPr>
                <w:szCs w:val="22"/>
                <w:lang w:val="ru-RU"/>
              </w:rPr>
              <w:t>Справочные материалы</w:t>
            </w:r>
          </w:p>
          <w:p w14:paraId="74103647" w14:textId="73ABEFED" w:rsidR="002D2F57" w:rsidRPr="00C22779" w:rsidRDefault="00D46136" w:rsidP="00603091">
            <w:pPr>
              <w:spacing w:after="120"/>
              <w:rPr>
                <w:i/>
                <w:iCs/>
                <w:lang w:val="ru-RU"/>
              </w:rPr>
            </w:pPr>
            <w:hyperlink r:id="rId9" w:history="1">
              <w:r w:rsidR="00C22779" w:rsidRPr="00C22779">
                <w:rPr>
                  <w:rStyle w:val="Hyperlink"/>
                  <w:i/>
                  <w:iCs/>
                  <w:lang w:val="ru-RU"/>
                </w:rPr>
                <w:t>C21/50</w:t>
              </w:r>
            </w:hyperlink>
            <w:r w:rsidR="00C22779" w:rsidRPr="00386ED8">
              <w:rPr>
                <w:i/>
                <w:iCs/>
                <w:lang w:val="ru-RU"/>
              </w:rPr>
              <w:t xml:space="preserve"> и </w:t>
            </w:r>
            <w:hyperlink r:id="rId10" w:history="1">
              <w:r w:rsidR="00C22779" w:rsidRPr="00C22779">
                <w:rPr>
                  <w:rStyle w:val="Hyperlink"/>
                  <w:i/>
                  <w:iCs/>
                  <w:lang w:val="ru-RU"/>
                </w:rPr>
                <w:t>Решение 563 (</w:t>
              </w:r>
              <w:r w:rsidR="00603091">
                <w:rPr>
                  <w:rStyle w:val="Hyperlink"/>
                  <w:i/>
                  <w:iCs/>
                  <w:lang w:val="ru-RU"/>
                </w:rPr>
                <w:t>Измененное</w:t>
              </w:r>
              <w:r w:rsidR="00AC2667">
                <w:rPr>
                  <w:rStyle w:val="Hyperlink"/>
                  <w:i/>
                  <w:iCs/>
                  <w:lang w:val="ru-RU"/>
                </w:rPr>
                <w:t>,</w:t>
              </w:r>
              <w:r w:rsidR="00C22779" w:rsidRPr="00C22779">
                <w:rPr>
                  <w:rStyle w:val="Hyperlink"/>
                  <w:i/>
                  <w:iCs/>
                  <w:lang w:val="ru-RU"/>
                </w:rPr>
                <w:t xml:space="preserve"> 2019</w:t>
              </w:r>
              <w:r w:rsidR="00AC2667">
                <w:rPr>
                  <w:rStyle w:val="Hyperlink"/>
                  <w:i/>
                  <w:iCs/>
                  <w:lang w:val="ru-RU"/>
                </w:rPr>
                <w:t> г.</w:t>
              </w:r>
              <w:r w:rsidR="006D4AE4" w:rsidRPr="00B25E8F">
                <w:rPr>
                  <w:rStyle w:val="Hyperlink"/>
                  <w:i/>
                  <w:iCs/>
                  <w:lang w:val="ru-RU"/>
                </w:rPr>
                <w:t xml:space="preserve">) </w:t>
              </w:r>
              <w:r w:rsidR="006D4AE4">
                <w:rPr>
                  <w:rStyle w:val="Hyperlink"/>
                  <w:i/>
                  <w:iCs/>
                  <w:lang w:val="ru-RU"/>
                </w:rPr>
                <w:t>Совета</w:t>
              </w:r>
            </w:hyperlink>
          </w:p>
        </w:tc>
      </w:tr>
    </w:tbl>
    <w:p w14:paraId="53E1F001" w14:textId="77AAC8B8" w:rsidR="00C22779" w:rsidRPr="00C22779" w:rsidRDefault="00A878E3" w:rsidP="002B6316">
      <w:pPr>
        <w:pStyle w:val="Normalaftertitle"/>
        <w:rPr>
          <w:lang w:val="ru-RU"/>
        </w:rPr>
      </w:pPr>
      <w:r w:rsidRPr="00A878E3">
        <w:rPr>
          <w:lang w:val="ru-RU"/>
        </w:rPr>
        <w:t>После виртуальных консультаций Советников 2021 года были проведен</w:t>
      </w:r>
      <w:r>
        <w:rPr>
          <w:lang w:val="ru-RU"/>
        </w:rPr>
        <w:t>ы</w:t>
      </w:r>
      <w:r w:rsidRPr="00A878E3">
        <w:rPr>
          <w:lang w:val="ru-RU"/>
        </w:rPr>
        <w:t xml:space="preserve"> </w:t>
      </w:r>
      <w:r>
        <w:rPr>
          <w:lang w:val="ru-RU"/>
        </w:rPr>
        <w:t>два</w:t>
      </w:r>
      <w:r w:rsidRPr="00A878E3">
        <w:rPr>
          <w:lang w:val="ru-RU"/>
        </w:rPr>
        <w:t xml:space="preserve"> виртуальн</w:t>
      </w:r>
      <w:r>
        <w:rPr>
          <w:lang w:val="ru-RU"/>
        </w:rPr>
        <w:t>ых</w:t>
      </w:r>
      <w:r w:rsidRPr="00A878E3">
        <w:rPr>
          <w:lang w:val="ru-RU"/>
        </w:rPr>
        <w:t xml:space="preserve"> собрани</w:t>
      </w:r>
      <w:r>
        <w:rPr>
          <w:lang w:val="ru-RU"/>
        </w:rPr>
        <w:t>я</w:t>
      </w:r>
      <w:r w:rsidRPr="00A878E3">
        <w:rPr>
          <w:lang w:val="ru-RU"/>
        </w:rPr>
        <w:t xml:space="preserve"> Рабочей группы Совета по финансовым и людским ресурсам (РГС-ФЛР). Эт</w:t>
      </w:r>
      <w:r>
        <w:rPr>
          <w:lang w:val="ru-RU"/>
        </w:rPr>
        <w:t>и</w:t>
      </w:r>
      <w:r w:rsidRPr="00A878E3">
        <w:rPr>
          <w:lang w:val="ru-RU"/>
        </w:rPr>
        <w:t xml:space="preserve"> виртуальн</w:t>
      </w:r>
      <w:r>
        <w:rPr>
          <w:lang w:val="ru-RU"/>
        </w:rPr>
        <w:t>ые</w:t>
      </w:r>
      <w:r w:rsidRPr="00A878E3">
        <w:rPr>
          <w:lang w:val="ru-RU"/>
        </w:rPr>
        <w:t xml:space="preserve"> собрани</w:t>
      </w:r>
      <w:r>
        <w:rPr>
          <w:lang w:val="ru-RU"/>
        </w:rPr>
        <w:t>я</w:t>
      </w:r>
      <w:r w:rsidRPr="00A878E3">
        <w:rPr>
          <w:lang w:val="ru-RU"/>
        </w:rPr>
        <w:t xml:space="preserve"> проходил</w:t>
      </w:r>
      <w:r>
        <w:rPr>
          <w:lang w:val="ru-RU"/>
        </w:rPr>
        <w:t>и</w:t>
      </w:r>
      <w:r w:rsidRPr="00A878E3">
        <w:rPr>
          <w:lang w:val="ru-RU"/>
        </w:rPr>
        <w:t xml:space="preserve"> </w:t>
      </w:r>
      <w:r w:rsidR="00603091">
        <w:rPr>
          <w:lang w:val="ru-RU"/>
        </w:rPr>
        <w:t xml:space="preserve">соответственно </w:t>
      </w:r>
      <w:r>
        <w:rPr>
          <w:lang w:val="ru-RU"/>
        </w:rPr>
        <w:t>20−21 сентября 2021 года и 11−12 января 2022</w:t>
      </w:r>
      <w:r w:rsidRPr="00A878E3">
        <w:rPr>
          <w:lang w:val="ru-RU"/>
        </w:rPr>
        <w:t xml:space="preserve"> года под председательством г жи Верниты </w:t>
      </w:r>
      <w:r w:rsidR="00964684">
        <w:rPr>
          <w:lang w:val="ru-RU"/>
        </w:rPr>
        <w:t xml:space="preserve">Д. </w:t>
      </w:r>
      <w:r w:rsidRPr="00A878E3">
        <w:rPr>
          <w:lang w:val="ru-RU"/>
        </w:rPr>
        <w:t>Харрис (Соединенные Штаты Америки), которой помогали заместители Председателя г-жа Сейнабу Сек Сиссе (Сенегал), г-н Мохамед С. Али Аль-Муатен Аль-Мазруэй (Объединенные Арабские Эмираты), г-жа Арчана Гойал Гулати (Индия), г-жа Д.В. Калюга (Российская Федерация) и г-н Вилем</w:t>
      </w:r>
      <w:r w:rsidR="001B3C78">
        <w:rPr>
          <w:lang w:val="ru-RU"/>
        </w:rPr>
        <w:t xml:space="preserve"> Веселы (Чешская Республика). </w:t>
      </w:r>
      <w:r w:rsidR="001B3C78" w:rsidRPr="00A878E3">
        <w:rPr>
          <w:lang w:val="ru-RU"/>
        </w:rPr>
        <w:t>Полны</w:t>
      </w:r>
      <w:r w:rsidR="001B3C78">
        <w:rPr>
          <w:lang w:val="ru-RU"/>
        </w:rPr>
        <w:t>е</w:t>
      </w:r>
      <w:r w:rsidR="001B3C78" w:rsidRPr="00A878E3">
        <w:rPr>
          <w:lang w:val="ru-RU"/>
        </w:rPr>
        <w:t xml:space="preserve"> </w:t>
      </w:r>
      <w:r w:rsidRPr="00A878E3">
        <w:rPr>
          <w:lang w:val="ru-RU"/>
        </w:rPr>
        <w:t>отчет</w:t>
      </w:r>
      <w:r w:rsidR="001B3C78">
        <w:rPr>
          <w:lang w:val="ru-RU"/>
        </w:rPr>
        <w:t>ы</w:t>
      </w:r>
      <w:r w:rsidRPr="00A878E3">
        <w:rPr>
          <w:lang w:val="ru-RU"/>
        </w:rPr>
        <w:t xml:space="preserve"> об эт</w:t>
      </w:r>
      <w:r w:rsidR="00143229">
        <w:rPr>
          <w:lang w:val="ru-RU"/>
        </w:rPr>
        <w:t>их</w:t>
      </w:r>
      <w:r w:rsidRPr="00A878E3">
        <w:rPr>
          <w:lang w:val="ru-RU"/>
        </w:rPr>
        <w:t xml:space="preserve"> собрани</w:t>
      </w:r>
      <w:r w:rsidR="00143229">
        <w:rPr>
          <w:lang w:val="ru-RU"/>
        </w:rPr>
        <w:t>ях</w:t>
      </w:r>
      <w:r w:rsidR="001B3C78">
        <w:rPr>
          <w:lang w:val="ru-RU"/>
        </w:rPr>
        <w:t xml:space="preserve"> доступны</w:t>
      </w:r>
      <w:r w:rsidRPr="00A878E3">
        <w:rPr>
          <w:lang w:val="ru-RU"/>
        </w:rPr>
        <w:t xml:space="preserve"> по</w:t>
      </w:r>
      <w:r w:rsidR="00FE44B0">
        <w:rPr>
          <w:lang w:val="ru-RU"/>
        </w:rPr>
        <w:t xml:space="preserve"> следующим</w:t>
      </w:r>
      <w:r w:rsidRPr="00A878E3">
        <w:rPr>
          <w:lang w:val="ru-RU"/>
        </w:rPr>
        <w:t xml:space="preserve"> </w:t>
      </w:r>
      <w:r w:rsidR="00FE44B0">
        <w:rPr>
          <w:lang w:val="ru-RU"/>
        </w:rPr>
        <w:t>ссылкам</w:t>
      </w:r>
      <w:r w:rsidRPr="00A878E3">
        <w:rPr>
          <w:lang w:val="ru-RU"/>
        </w:rPr>
        <w:t xml:space="preserve">: </w:t>
      </w:r>
      <w:hyperlink r:id="rId11" w:history="1">
        <w:r w:rsidR="00143229" w:rsidRPr="00143229">
          <w:rPr>
            <w:rStyle w:val="Hyperlink"/>
            <w:lang w:val="en-US"/>
          </w:rPr>
          <w:t>https</w:t>
        </w:r>
        <w:r w:rsidR="00143229" w:rsidRPr="00143229">
          <w:rPr>
            <w:rStyle w:val="Hyperlink"/>
            <w:lang w:val="ru-RU"/>
          </w:rPr>
          <w:t>://</w:t>
        </w:r>
        <w:r w:rsidR="00143229" w:rsidRPr="00143229">
          <w:rPr>
            <w:rStyle w:val="Hyperlink"/>
            <w:lang w:val="en-US"/>
          </w:rPr>
          <w:t>www</w:t>
        </w:r>
        <w:r w:rsidR="00143229" w:rsidRPr="00143229">
          <w:rPr>
            <w:rStyle w:val="Hyperlink"/>
            <w:lang w:val="ru-RU"/>
          </w:rPr>
          <w:t>.</w:t>
        </w:r>
        <w:r w:rsidR="00143229" w:rsidRPr="00143229">
          <w:rPr>
            <w:rStyle w:val="Hyperlink"/>
            <w:lang w:val="en-US"/>
          </w:rPr>
          <w:t>itu</w:t>
        </w:r>
        <w:r w:rsidR="00143229" w:rsidRPr="00143229">
          <w:rPr>
            <w:rStyle w:val="Hyperlink"/>
            <w:lang w:val="ru-RU"/>
          </w:rPr>
          <w:t>.</w:t>
        </w:r>
        <w:r w:rsidR="00143229" w:rsidRPr="00143229">
          <w:rPr>
            <w:rStyle w:val="Hyperlink"/>
            <w:lang w:val="en-US"/>
          </w:rPr>
          <w:t>int</w:t>
        </w:r>
        <w:r w:rsidR="00143229" w:rsidRPr="00143229">
          <w:rPr>
            <w:rStyle w:val="Hyperlink"/>
            <w:lang w:val="ru-RU"/>
          </w:rPr>
          <w:t>/</w:t>
        </w:r>
        <w:r w:rsidR="00143229" w:rsidRPr="00143229">
          <w:rPr>
            <w:rStyle w:val="Hyperlink"/>
            <w:lang w:val="en-US"/>
          </w:rPr>
          <w:t>md</w:t>
        </w:r>
        <w:r w:rsidR="00143229" w:rsidRPr="00143229">
          <w:rPr>
            <w:rStyle w:val="Hyperlink"/>
            <w:lang w:val="ru-RU"/>
          </w:rPr>
          <w:t>/</w:t>
        </w:r>
        <w:r w:rsidR="00143229" w:rsidRPr="00143229">
          <w:rPr>
            <w:rStyle w:val="Hyperlink"/>
            <w:lang w:val="en-US"/>
          </w:rPr>
          <w:t>S</w:t>
        </w:r>
        <w:r w:rsidR="00143229" w:rsidRPr="00143229">
          <w:rPr>
            <w:rStyle w:val="Hyperlink"/>
            <w:lang w:val="ru-RU"/>
          </w:rPr>
          <w:t>21-</w:t>
        </w:r>
        <w:r w:rsidR="00143229" w:rsidRPr="00143229">
          <w:rPr>
            <w:rStyle w:val="Hyperlink"/>
            <w:lang w:val="en-US"/>
          </w:rPr>
          <w:t>CWGFHR</w:t>
        </w:r>
        <w:r w:rsidR="00143229" w:rsidRPr="00143229">
          <w:rPr>
            <w:rStyle w:val="Hyperlink"/>
            <w:lang w:val="ru-RU"/>
          </w:rPr>
          <w:t>14-</w:t>
        </w:r>
        <w:r w:rsidR="00143229" w:rsidRPr="00143229">
          <w:rPr>
            <w:rStyle w:val="Hyperlink"/>
            <w:lang w:val="en-US"/>
          </w:rPr>
          <w:t>C</w:t>
        </w:r>
        <w:r w:rsidR="00143229" w:rsidRPr="00143229">
          <w:rPr>
            <w:rStyle w:val="Hyperlink"/>
            <w:lang w:val="ru-RU"/>
          </w:rPr>
          <w:t>-0012/</w:t>
        </w:r>
        <w:r w:rsidR="00143229" w:rsidRPr="00143229">
          <w:rPr>
            <w:rStyle w:val="Hyperlink"/>
            <w:lang w:val="en-US"/>
          </w:rPr>
          <w:t>en</w:t>
        </w:r>
      </w:hyperlink>
      <w:r w:rsidR="00143229">
        <w:rPr>
          <w:lang w:val="ru-RU"/>
        </w:rPr>
        <w:t xml:space="preserve"> и </w:t>
      </w:r>
      <w:r w:rsidR="00D46136">
        <w:fldChar w:fldCharType="begin"/>
      </w:r>
      <w:r w:rsidR="00D46136" w:rsidRPr="00D46136">
        <w:rPr>
          <w:lang w:val="ru-RU"/>
        </w:rPr>
        <w:instrText xml:space="preserve"> </w:instrText>
      </w:r>
      <w:r w:rsidR="00D46136">
        <w:instrText>HYPERLINK</w:instrText>
      </w:r>
      <w:r w:rsidR="00D46136" w:rsidRPr="00D46136">
        <w:rPr>
          <w:lang w:val="ru-RU"/>
        </w:rPr>
        <w:instrText xml:space="preserve"> "</w:instrText>
      </w:r>
      <w:r w:rsidR="00D46136">
        <w:instrText>https</w:instrText>
      </w:r>
      <w:r w:rsidR="00D46136" w:rsidRPr="00D46136">
        <w:rPr>
          <w:lang w:val="ru-RU"/>
        </w:rPr>
        <w:instrText>://</w:instrText>
      </w:r>
      <w:r w:rsidR="00D46136">
        <w:instrText>www</w:instrText>
      </w:r>
      <w:r w:rsidR="00D46136" w:rsidRPr="00D46136">
        <w:rPr>
          <w:lang w:val="ru-RU"/>
        </w:rPr>
        <w:instrText>.</w:instrText>
      </w:r>
      <w:r w:rsidR="00D46136">
        <w:instrText>itu</w:instrText>
      </w:r>
      <w:r w:rsidR="00D46136" w:rsidRPr="00D46136">
        <w:rPr>
          <w:lang w:val="ru-RU"/>
        </w:rPr>
        <w:instrText>.</w:instrText>
      </w:r>
      <w:r w:rsidR="00D46136">
        <w:instrText>int</w:instrText>
      </w:r>
      <w:r w:rsidR="00D46136" w:rsidRPr="00D46136">
        <w:rPr>
          <w:lang w:val="ru-RU"/>
        </w:rPr>
        <w:instrText>/</w:instrText>
      </w:r>
      <w:r w:rsidR="00D46136">
        <w:instrText>md</w:instrText>
      </w:r>
      <w:r w:rsidR="00D46136" w:rsidRPr="00D46136">
        <w:rPr>
          <w:lang w:val="ru-RU"/>
        </w:rPr>
        <w:instrText>/</w:instrText>
      </w:r>
      <w:r w:rsidR="00D46136">
        <w:instrText>S</w:instrText>
      </w:r>
      <w:r w:rsidR="00D46136" w:rsidRPr="00D46136">
        <w:rPr>
          <w:lang w:val="ru-RU"/>
        </w:rPr>
        <w:instrText>22-</w:instrText>
      </w:r>
      <w:r w:rsidR="00D46136">
        <w:instrText>CWGFHR</w:instrText>
      </w:r>
      <w:r w:rsidR="00D46136" w:rsidRPr="00D46136">
        <w:rPr>
          <w:lang w:val="ru-RU"/>
        </w:rPr>
        <w:instrText>15-</w:instrText>
      </w:r>
      <w:r w:rsidR="00D46136">
        <w:instrText>C</w:instrText>
      </w:r>
      <w:r w:rsidR="00D46136" w:rsidRPr="00D46136">
        <w:rPr>
          <w:lang w:val="ru-RU"/>
        </w:rPr>
        <w:instrText>-0022/</w:instrText>
      </w:r>
      <w:r w:rsidR="00D46136">
        <w:instrText>en</w:instrText>
      </w:r>
      <w:r w:rsidR="00D46136" w:rsidRPr="00D46136">
        <w:rPr>
          <w:lang w:val="ru-RU"/>
        </w:rPr>
        <w:instrText xml:space="preserve">" </w:instrText>
      </w:r>
      <w:r w:rsidR="00D46136">
        <w:fldChar w:fldCharType="separate"/>
      </w:r>
      <w:r w:rsidR="00143229" w:rsidRPr="00143229">
        <w:rPr>
          <w:rStyle w:val="Hyperlink"/>
          <w:lang w:val="en-US"/>
        </w:rPr>
        <w:t>https</w:t>
      </w:r>
      <w:r w:rsidR="00143229" w:rsidRPr="00143229">
        <w:rPr>
          <w:rStyle w:val="Hyperlink"/>
          <w:lang w:val="ru-RU"/>
        </w:rPr>
        <w:t>://</w:t>
      </w:r>
      <w:r w:rsidR="00143229" w:rsidRPr="00143229">
        <w:rPr>
          <w:rStyle w:val="Hyperlink"/>
          <w:lang w:val="en-US"/>
        </w:rPr>
        <w:t>www</w:t>
      </w:r>
      <w:r w:rsidR="00143229" w:rsidRPr="00143229">
        <w:rPr>
          <w:rStyle w:val="Hyperlink"/>
          <w:lang w:val="ru-RU"/>
        </w:rPr>
        <w:t>.</w:t>
      </w:r>
      <w:r w:rsidR="00143229" w:rsidRPr="00143229">
        <w:rPr>
          <w:rStyle w:val="Hyperlink"/>
          <w:lang w:val="en-US"/>
        </w:rPr>
        <w:t>itu</w:t>
      </w:r>
      <w:r w:rsidR="00143229" w:rsidRPr="00143229">
        <w:rPr>
          <w:rStyle w:val="Hyperlink"/>
          <w:lang w:val="ru-RU"/>
        </w:rPr>
        <w:t>.</w:t>
      </w:r>
      <w:r w:rsidR="00143229" w:rsidRPr="00143229">
        <w:rPr>
          <w:rStyle w:val="Hyperlink"/>
          <w:lang w:val="en-US"/>
        </w:rPr>
        <w:t>int</w:t>
      </w:r>
      <w:r w:rsidR="00143229" w:rsidRPr="00143229">
        <w:rPr>
          <w:rStyle w:val="Hyperlink"/>
          <w:lang w:val="ru-RU"/>
        </w:rPr>
        <w:t>/</w:t>
      </w:r>
      <w:r w:rsidR="00143229" w:rsidRPr="00143229">
        <w:rPr>
          <w:rStyle w:val="Hyperlink"/>
          <w:lang w:val="en-US"/>
        </w:rPr>
        <w:t>md</w:t>
      </w:r>
      <w:r w:rsidR="00143229" w:rsidRPr="00143229">
        <w:rPr>
          <w:rStyle w:val="Hyperlink"/>
          <w:lang w:val="ru-RU"/>
        </w:rPr>
        <w:t>/</w:t>
      </w:r>
      <w:r w:rsidR="00143229" w:rsidRPr="00143229">
        <w:rPr>
          <w:rStyle w:val="Hyperlink"/>
          <w:lang w:val="en-US"/>
        </w:rPr>
        <w:t>S</w:t>
      </w:r>
      <w:r w:rsidR="00143229" w:rsidRPr="00143229">
        <w:rPr>
          <w:rStyle w:val="Hyperlink"/>
          <w:lang w:val="ru-RU"/>
        </w:rPr>
        <w:t>22-</w:t>
      </w:r>
      <w:r w:rsidR="00143229" w:rsidRPr="00143229">
        <w:rPr>
          <w:rStyle w:val="Hyperlink"/>
          <w:lang w:val="en-US"/>
        </w:rPr>
        <w:t>CWGFHR</w:t>
      </w:r>
      <w:r w:rsidR="00143229" w:rsidRPr="00143229">
        <w:rPr>
          <w:rStyle w:val="Hyperlink"/>
          <w:lang w:val="ru-RU"/>
        </w:rPr>
        <w:t>15-</w:t>
      </w:r>
      <w:r w:rsidR="00143229" w:rsidRPr="00143229">
        <w:rPr>
          <w:rStyle w:val="Hyperlink"/>
          <w:lang w:val="en-US"/>
        </w:rPr>
        <w:t>C</w:t>
      </w:r>
      <w:r w:rsidR="00143229" w:rsidRPr="00143229">
        <w:rPr>
          <w:rStyle w:val="Hyperlink"/>
          <w:lang w:val="ru-RU"/>
        </w:rPr>
        <w:t>-0022/</w:t>
      </w:r>
      <w:proofErr w:type="spellStart"/>
      <w:r w:rsidR="00143229" w:rsidRPr="00143229">
        <w:rPr>
          <w:rStyle w:val="Hyperlink"/>
          <w:lang w:val="en-US"/>
        </w:rPr>
        <w:t>en</w:t>
      </w:r>
      <w:proofErr w:type="spellEnd"/>
      <w:r w:rsidR="00D46136">
        <w:rPr>
          <w:rStyle w:val="Hyperlink"/>
          <w:lang w:val="en-US"/>
        </w:rPr>
        <w:fldChar w:fldCharType="end"/>
      </w:r>
      <w:r w:rsidRPr="00A878E3">
        <w:rPr>
          <w:lang w:val="ru-RU"/>
        </w:rPr>
        <w:t>. Для подробного ознакомления с различными мнениями, высказанными в ходе обсуждений, делегатам Совета следует обращаться к эт</w:t>
      </w:r>
      <w:r w:rsidR="001B3C78">
        <w:rPr>
          <w:lang w:val="ru-RU"/>
        </w:rPr>
        <w:t xml:space="preserve">им </w:t>
      </w:r>
      <w:r w:rsidRPr="00A878E3">
        <w:rPr>
          <w:lang w:val="ru-RU"/>
        </w:rPr>
        <w:t>отчет</w:t>
      </w:r>
      <w:r w:rsidR="001B3C78">
        <w:rPr>
          <w:lang w:val="ru-RU"/>
        </w:rPr>
        <w:t>ам</w:t>
      </w:r>
      <w:r w:rsidRPr="00A878E3">
        <w:rPr>
          <w:lang w:val="ru-RU"/>
        </w:rPr>
        <w:t>.</w:t>
      </w:r>
    </w:p>
    <w:p w14:paraId="1DC14ACE" w14:textId="77777777" w:rsidR="004165A2" w:rsidRPr="00A878E3" w:rsidRDefault="004165A2" w:rsidP="004165A2">
      <w:pPr>
        <w:rPr>
          <w:lang w:val="ru-RU"/>
        </w:rPr>
      </w:pPr>
      <w:r w:rsidRPr="00A878E3">
        <w:rPr>
          <w:lang w:val="ru-RU"/>
        </w:rPr>
        <w:br w:type="page"/>
      </w:r>
    </w:p>
    <w:p w14:paraId="1B5F7EA8" w14:textId="4EBE2B90" w:rsidR="00A105F3" w:rsidRPr="00A105F3" w:rsidRDefault="00A105F3" w:rsidP="006A7CC0">
      <w:pPr>
        <w:pStyle w:val="Heading1"/>
        <w:rPr>
          <w:rFonts w:eastAsiaTheme="minorHAnsi"/>
          <w:lang w:val="ru-RU"/>
        </w:rPr>
      </w:pPr>
      <w:r w:rsidRPr="00A105F3">
        <w:rPr>
          <w:rFonts w:eastAsiaTheme="minorHAnsi"/>
          <w:lang w:val="ru-RU"/>
        </w:rPr>
        <w:lastRenderedPageBreak/>
        <w:t>1</w:t>
      </w:r>
      <w:r w:rsidRPr="00A105F3">
        <w:rPr>
          <w:rFonts w:eastAsiaTheme="minorHAnsi"/>
          <w:lang w:val="ru-RU"/>
        </w:rPr>
        <w:tab/>
        <w:t xml:space="preserve">Влияние пандемии COVID-19 на функционирование и виды деятельности МСЭ (Документ </w:t>
      </w:r>
      <w:r w:rsidR="00D46136">
        <w:fldChar w:fldCharType="begin"/>
      </w:r>
      <w:r w:rsidR="00D46136" w:rsidRPr="00D46136">
        <w:rPr>
          <w:lang w:val="ru-RU"/>
        </w:rPr>
        <w:instrText xml:space="preserve"> </w:instrText>
      </w:r>
      <w:r w:rsidR="00D46136">
        <w:instrText>HYPERLINK</w:instrText>
      </w:r>
      <w:r w:rsidR="00D46136" w:rsidRPr="00D46136">
        <w:rPr>
          <w:lang w:val="ru-RU"/>
        </w:rPr>
        <w:instrText xml:space="preserve"> "</w:instrText>
      </w:r>
      <w:r w:rsidR="00D46136">
        <w:instrText>https</w:instrText>
      </w:r>
      <w:r w:rsidR="00D46136" w:rsidRPr="00D46136">
        <w:rPr>
          <w:lang w:val="ru-RU"/>
        </w:rPr>
        <w:instrText>://</w:instrText>
      </w:r>
      <w:r w:rsidR="00D46136">
        <w:instrText>www</w:instrText>
      </w:r>
      <w:r w:rsidR="00D46136" w:rsidRPr="00D46136">
        <w:rPr>
          <w:lang w:val="ru-RU"/>
        </w:rPr>
        <w:instrText>.</w:instrText>
      </w:r>
      <w:r w:rsidR="00D46136">
        <w:instrText>itu</w:instrText>
      </w:r>
      <w:r w:rsidR="00D46136" w:rsidRPr="00D46136">
        <w:rPr>
          <w:lang w:val="ru-RU"/>
        </w:rPr>
        <w:instrText>.</w:instrText>
      </w:r>
      <w:r w:rsidR="00D46136">
        <w:instrText>int</w:instrText>
      </w:r>
      <w:r w:rsidR="00D46136" w:rsidRPr="00D46136">
        <w:rPr>
          <w:lang w:val="ru-RU"/>
        </w:rPr>
        <w:instrText>/</w:instrText>
      </w:r>
      <w:r w:rsidR="00D46136">
        <w:instrText>md</w:instrText>
      </w:r>
      <w:r w:rsidR="00D46136" w:rsidRPr="00D46136">
        <w:rPr>
          <w:lang w:val="ru-RU"/>
        </w:rPr>
        <w:instrText>/</w:instrText>
      </w:r>
      <w:r w:rsidR="00D46136">
        <w:instrText>S</w:instrText>
      </w:r>
      <w:r w:rsidR="00D46136" w:rsidRPr="00D46136">
        <w:rPr>
          <w:lang w:val="ru-RU"/>
        </w:rPr>
        <w:instrText>21-</w:instrText>
      </w:r>
      <w:r w:rsidR="00D46136">
        <w:instrText>CWGFHR</w:instrText>
      </w:r>
      <w:r w:rsidR="00D46136" w:rsidRPr="00D46136">
        <w:rPr>
          <w:lang w:val="ru-RU"/>
        </w:rPr>
        <w:instrText>14-</w:instrText>
      </w:r>
      <w:r w:rsidR="00D46136">
        <w:instrText>C</w:instrText>
      </w:r>
      <w:r w:rsidR="00D46136" w:rsidRPr="00D46136">
        <w:rPr>
          <w:lang w:val="ru-RU"/>
        </w:rPr>
        <w:instrText>-0005/</w:instrText>
      </w:r>
      <w:r w:rsidR="00D46136">
        <w:instrText>en</w:instrText>
      </w:r>
      <w:r w:rsidR="00D46136" w:rsidRPr="00D46136">
        <w:rPr>
          <w:lang w:val="ru-RU"/>
        </w:rPr>
        <w:instrText xml:space="preserve">" </w:instrText>
      </w:r>
      <w:r w:rsidR="00D46136">
        <w:fldChar w:fldCharType="separate"/>
      </w:r>
      <w:r w:rsidR="006A7CC0" w:rsidRPr="006A7CC0">
        <w:rPr>
          <w:rStyle w:val="Hyperlink"/>
          <w:rFonts w:eastAsiaTheme="minorHAnsi"/>
          <w:bCs/>
          <w:lang w:val="en-US"/>
        </w:rPr>
        <w:t>CWG</w:t>
      </w:r>
      <w:r w:rsidR="006A7CC0" w:rsidRPr="006A7CC0">
        <w:rPr>
          <w:rStyle w:val="Hyperlink"/>
          <w:rFonts w:eastAsiaTheme="minorHAnsi"/>
          <w:bCs/>
          <w:lang w:val="ru-RU"/>
        </w:rPr>
        <w:t>-</w:t>
      </w:r>
      <w:r w:rsidR="006A7CC0" w:rsidRPr="006A7CC0">
        <w:rPr>
          <w:rStyle w:val="Hyperlink"/>
          <w:rFonts w:eastAsiaTheme="minorHAnsi"/>
          <w:bCs/>
          <w:lang w:val="en-US"/>
        </w:rPr>
        <w:t>FHR</w:t>
      </w:r>
      <w:r w:rsidR="006A7CC0" w:rsidRPr="006A7CC0">
        <w:rPr>
          <w:rStyle w:val="Hyperlink"/>
          <w:rFonts w:eastAsiaTheme="minorHAnsi"/>
          <w:bCs/>
          <w:lang w:val="ru-RU"/>
        </w:rPr>
        <w:t>-14/5</w:t>
      </w:r>
      <w:r w:rsidR="00D46136">
        <w:rPr>
          <w:rStyle w:val="Hyperlink"/>
          <w:rFonts w:eastAsiaTheme="minorHAnsi"/>
          <w:bCs/>
          <w:lang w:val="ru-RU"/>
        </w:rPr>
        <w:fldChar w:fldCharType="end"/>
      </w:r>
      <w:r w:rsidRPr="00A105F3">
        <w:rPr>
          <w:rFonts w:eastAsiaTheme="minorHAnsi"/>
          <w:lang w:val="ru-RU"/>
        </w:rPr>
        <w:t>)</w:t>
      </w:r>
    </w:p>
    <w:p w14:paraId="6BCB3C7A" w14:textId="15E6DCB0" w:rsidR="006368DB" w:rsidRPr="007C3C4A" w:rsidRDefault="006A7CC0" w:rsidP="006A7CC0">
      <w:pPr>
        <w:rPr>
          <w:lang w:val="ru-RU"/>
        </w:rPr>
      </w:pPr>
      <w:r w:rsidRPr="009E06CC">
        <w:rPr>
          <w:lang w:val="ru-RU"/>
        </w:rPr>
        <w:t>1.1</w:t>
      </w:r>
      <w:r w:rsidRPr="009E06CC">
        <w:rPr>
          <w:lang w:val="ru-RU"/>
        </w:rPr>
        <w:tab/>
      </w:r>
      <w:bookmarkStart w:id="3" w:name="lt_pId028"/>
      <w:r w:rsidR="009E06CC">
        <w:rPr>
          <w:lang w:val="ru-RU"/>
        </w:rPr>
        <w:t xml:space="preserve">Секретариат представил Документ </w:t>
      </w:r>
      <w:r w:rsidR="009E06CC" w:rsidRPr="006A7CC0">
        <w:t>CWG</w:t>
      </w:r>
      <w:r w:rsidR="009E06CC" w:rsidRPr="009E06CC">
        <w:rPr>
          <w:lang w:val="ru-RU"/>
        </w:rPr>
        <w:t>-</w:t>
      </w:r>
      <w:r w:rsidR="009E06CC" w:rsidRPr="006A7CC0">
        <w:t>FHR</w:t>
      </w:r>
      <w:r w:rsidR="009E06CC" w:rsidRPr="009E06CC">
        <w:rPr>
          <w:lang w:val="ru-RU"/>
        </w:rPr>
        <w:t>-14/5</w:t>
      </w:r>
      <w:r w:rsidR="00DF57B3">
        <w:rPr>
          <w:lang w:val="ru-RU"/>
        </w:rPr>
        <w:t>, посвященный</w:t>
      </w:r>
      <w:r w:rsidR="009E06CC">
        <w:rPr>
          <w:lang w:val="ru-RU"/>
        </w:rPr>
        <w:t xml:space="preserve"> влияни</w:t>
      </w:r>
      <w:r w:rsidR="00DF57B3">
        <w:rPr>
          <w:lang w:val="ru-RU"/>
        </w:rPr>
        <w:t>ю</w:t>
      </w:r>
      <w:r w:rsidR="009E06CC">
        <w:rPr>
          <w:lang w:val="ru-RU"/>
        </w:rPr>
        <w:t xml:space="preserve"> пандемии </w:t>
      </w:r>
      <w:r w:rsidR="00DF57B3" w:rsidRPr="006A7CC0">
        <w:t>COVID</w:t>
      </w:r>
      <w:r w:rsidR="00922219">
        <w:rPr>
          <w:lang w:val="ru-RU"/>
        </w:rPr>
        <w:noBreakHyphen/>
      </w:r>
      <w:r w:rsidR="009E06CC" w:rsidRPr="009E06CC">
        <w:rPr>
          <w:lang w:val="ru-RU"/>
        </w:rPr>
        <w:t>19</w:t>
      </w:r>
      <w:r w:rsidR="009E06CC">
        <w:rPr>
          <w:lang w:val="ru-RU"/>
        </w:rPr>
        <w:t xml:space="preserve"> на функционирование и виды деятельности МСЭ. В документе отражены ключевые </w:t>
      </w:r>
      <w:r w:rsidR="003A7971">
        <w:rPr>
          <w:lang w:val="ru-RU"/>
        </w:rPr>
        <w:t>тезисы</w:t>
      </w:r>
      <w:r w:rsidR="009E06CC">
        <w:rPr>
          <w:lang w:val="ru-RU"/>
        </w:rPr>
        <w:t xml:space="preserve"> Документ</w:t>
      </w:r>
      <w:r w:rsidR="003A7971">
        <w:rPr>
          <w:lang w:val="ru-RU"/>
        </w:rPr>
        <w:t>а</w:t>
      </w:r>
      <w:r w:rsidR="009E06CC">
        <w:rPr>
          <w:lang w:val="ru-RU"/>
        </w:rPr>
        <w:t xml:space="preserve"> </w:t>
      </w:r>
      <w:r w:rsidR="009E06CC" w:rsidRPr="006A7CC0">
        <w:t>C</w:t>
      </w:r>
      <w:r w:rsidR="009E06CC" w:rsidRPr="009E06CC">
        <w:rPr>
          <w:lang w:val="ru-RU"/>
        </w:rPr>
        <w:t>21/74</w:t>
      </w:r>
      <w:r w:rsidR="009E06CC">
        <w:rPr>
          <w:lang w:val="ru-RU"/>
        </w:rPr>
        <w:t xml:space="preserve">, изложены вопросы, поднятые делегатами в ходе </w:t>
      </w:r>
      <w:r w:rsidR="009E06CC" w:rsidRPr="009E06CC">
        <w:rPr>
          <w:lang w:val="ru-RU"/>
        </w:rPr>
        <w:t xml:space="preserve">C21/VCC-1, и </w:t>
      </w:r>
      <w:r w:rsidR="003A7971">
        <w:rPr>
          <w:lang w:val="ru-RU"/>
        </w:rPr>
        <w:t xml:space="preserve">освещены </w:t>
      </w:r>
      <w:r w:rsidR="003A7971" w:rsidRPr="005268FF">
        <w:rPr>
          <w:lang w:val="ru-RU"/>
        </w:rPr>
        <w:t>недавние шаги, п</w:t>
      </w:r>
      <w:r w:rsidR="003A7971">
        <w:rPr>
          <w:lang w:val="ru-RU"/>
        </w:rPr>
        <w:t xml:space="preserve">редпринятые </w:t>
      </w:r>
      <w:r w:rsidR="00BD7967">
        <w:rPr>
          <w:lang w:val="ru-RU"/>
        </w:rPr>
        <w:t>с момента проведения</w:t>
      </w:r>
      <w:r w:rsidR="003A7971">
        <w:rPr>
          <w:lang w:val="ru-RU"/>
        </w:rPr>
        <w:t xml:space="preserve"> консультаций </w:t>
      </w:r>
      <w:r w:rsidR="003A7971" w:rsidRPr="003A7971">
        <w:rPr>
          <w:lang w:val="ru-RU"/>
        </w:rPr>
        <w:t>по переписке между Государствами – Членами Совета</w:t>
      </w:r>
      <w:r w:rsidR="003A7971">
        <w:rPr>
          <w:lang w:val="ru-RU"/>
        </w:rPr>
        <w:t xml:space="preserve">. </w:t>
      </w:r>
      <w:r w:rsidR="003A7971" w:rsidRPr="00C22779">
        <w:rPr>
          <w:szCs w:val="22"/>
          <w:lang w:val="ru-RU"/>
        </w:rPr>
        <w:t>РГС-ФЛР</w:t>
      </w:r>
      <w:r w:rsidR="003A7971">
        <w:rPr>
          <w:szCs w:val="22"/>
          <w:lang w:val="ru-RU"/>
        </w:rPr>
        <w:t xml:space="preserve"> было предложено высказать соображения относительно возможных дальнейших действий</w:t>
      </w:r>
      <w:r w:rsidR="007C3C4A">
        <w:rPr>
          <w:szCs w:val="22"/>
          <w:lang w:val="ru-RU"/>
        </w:rPr>
        <w:t xml:space="preserve"> и представить рекомендации </w:t>
      </w:r>
      <w:r w:rsidR="00922219">
        <w:rPr>
          <w:szCs w:val="22"/>
          <w:lang w:val="ru-RU"/>
        </w:rPr>
        <w:t>для</w:t>
      </w:r>
      <w:r w:rsidR="007C3C4A" w:rsidRPr="007C3C4A">
        <w:rPr>
          <w:szCs w:val="22"/>
          <w:lang w:val="ru-RU"/>
        </w:rPr>
        <w:t xml:space="preserve"> следующей сессии Совета и, при необходимости, </w:t>
      </w:r>
      <w:r w:rsidR="00922219">
        <w:rPr>
          <w:szCs w:val="22"/>
          <w:lang w:val="ru-RU"/>
        </w:rPr>
        <w:t xml:space="preserve">для </w:t>
      </w:r>
      <w:r w:rsidR="007C3C4A" w:rsidRPr="007C3C4A">
        <w:rPr>
          <w:szCs w:val="22"/>
          <w:lang w:val="ru-RU"/>
        </w:rPr>
        <w:t>ПК-22.</w:t>
      </w:r>
    </w:p>
    <w:bookmarkEnd w:id="3"/>
    <w:p w14:paraId="6EBCB6AE" w14:textId="36333309" w:rsidR="007C3C4A" w:rsidRPr="007C3C4A" w:rsidRDefault="006A7CC0" w:rsidP="006A7CC0">
      <w:pPr>
        <w:rPr>
          <w:lang w:val="ru-RU"/>
        </w:rPr>
      </w:pPr>
      <w:r w:rsidRPr="007C3C4A">
        <w:rPr>
          <w:lang w:val="ru-RU"/>
        </w:rPr>
        <w:t>1.2</w:t>
      </w:r>
      <w:r w:rsidRPr="007C3C4A">
        <w:rPr>
          <w:lang w:val="ru-RU"/>
        </w:rPr>
        <w:tab/>
      </w:r>
      <w:bookmarkStart w:id="4" w:name="lt_pId032"/>
      <w:r w:rsidR="007C3C4A">
        <w:rPr>
          <w:lang w:val="ru-RU"/>
        </w:rPr>
        <w:t xml:space="preserve">Ряд делегатов выразили признательность за представленный документ, особо отметив содержащиеся в нем уроки, извлеченные за время пандемии. </w:t>
      </w:r>
    </w:p>
    <w:bookmarkEnd w:id="4"/>
    <w:p w14:paraId="5344EECD" w14:textId="295F1D9A" w:rsidR="007C3C4A" w:rsidRPr="00D57355" w:rsidRDefault="006A7CC0" w:rsidP="006A7CC0">
      <w:pPr>
        <w:rPr>
          <w:lang w:val="ru-RU"/>
        </w:rPr>
      </w:pPr>
      <w:r w:rsidRPr="00D57355">
        <w:rPr>
          <w:lang w:val="ru-RU"/>
        </w:rPr>
        <w:t>1.3</w:t>
      </w:r>
      <w:r w:rsidRPr="00D57355">
        <w:rPr>
          <w:lang w:val="ru-RU"/>
        </w:rPr>
        <w:tab/>
      </w:r>
      <w:bookmarkStart w:id="5" w:name="lt_pId034"/>
      <w:r w:rsidR="00D57355">
        <w:rPr>
          <w:lang w:val="ru-RU"/>
        </w:rPr>
        <w:t xml:space="preserve">Что касается дальнейших действий и возможности вынесения рекомендаций для </w:t>
      </w:r>
      <w:r w:rsidR="00D57355" w:rsidRPr="00D57355">
        <w:rPr>
          <w:lang w:val="ru-RU"/>
        </w:rPr>
        <w:t>Совета-22</w:t>
      </w:r>
      <w:r w:rsidR="00D57355">
        <w:rPr>
          <w:lang w:val="ru-RU"/>
        </w:rPr>
        <w:t>, Председатель приш</w:t>
      </w:r>
      <w:r w:rsidR="000333D5">
        <w:rPr>
          <w:lang w:val="ru-RU"/>
        </w:rPr>
        <w:t>ла</w:t>
      </w:r>
      <w:r w:rsidR="00D57355">
        <w:rPr>
          <w:lang w:val="ru-RU"/>
        </w:rPr>
        <w:t xml:space="preserve"> к выводу </w:t>
      </w:r>
      <w:r w:rsidR="005268FF">
        <w:rPr>
          <w:lang w:val="ru-RU"/>
        </w:rPr>
        <w:t>о</w:t>
      </w:r>
      <w:r w:rsidR="00D57355">
        <w:rPr>
          <w:lang w:val="ru-RU"/>
        </w:rPr>
        <w:t xml:space="preserve"> необходимости дальнейших обсуждений, возможно, в ходе следующего собрания </w:t>
      </w:r>
      <w:r w:rsidR="00D57355" w:rsidRPr="00C22779">
        <w:rPr>
          <w:szCs w:val="22"/>
          <w:lang w:val="ru-RU"/>
        </w:rPr>
        <w:t>РГС-ФЛР</w:t>
      </w:r>
      <w:r w:rsidR="00D57355">
        <w:rPr>
          <w:szCs w:val="22"/>
          <w:lang w:val="ru-RU"/>
        </w:rPr>
        <w:t xml:space="preserve">. </w:t>
      </w:r>
    </w:p>
    <w:bookmarkEnd w:id="5"/>
    <w:p w14:paraId="25C28CEF" w14:textId="73EF81A0" w:rsidR="006A7CC0" w:rsidRPr="001A4B93" w:rsidDel="00F83883" w:rsidRDefault="006A7CC0" w:rsidP="006A7CC0">
      <w:pPr>
        <w:pStyle w:val="Heading1"/>
        <w:rPr>
          <w:lang w:val="ru-RU"/>
        </w:rPr>
      </w:pPr>
      <w:r w:rsidRPr="001A4B93">
        <w:rPr>
          <w:lang w:val="ru-RU"/>
        </w:rPr>
        <w:t>2</w:t>
      </w:r>
      <w:r w:rsidRPr="001A4B93">
        <w:rPr>
          <w:lang w:val="ru-RU"/>
        </w:rPr>
        <w:tab/>
      </w:r>
      <w:r w:rsidR="001A4B93">
        <w:rPr>
          <w:lang w:val="ru-RU"/>
        </w:rPr>
        <w:t>Вклад</w:t>
      </w:r>
      <w:r w:rsidR="001A4B93" w:rsidRPr="001A4B93">
        <w:rPr>
          <w:lang w:val="ru-RU"/>
        </w:rPr>
        <w:t xml:space="preserve"> </w:t>
      </w:r>
      <w:r w:rsidR="001A4B93">
        <w:rPr>
          <w:lang w:val="ru-RU"/>
        </w:rPr>
        <w:t>Австралии</w:t>
      </w:r>
      <w:r w:rsidR="001A4B93" w:rsidRPr="001A4B93">
        <w:rPr>
          <w:lang w:val="ru-RU"/>
        </w:rPr>
        <w:t xml:space="preserve"> </w:t>
      </w:r>
      <w:r w:rsidR="001A4B93">
        <w:rPr>
          <w:lang w:val="ru-RU"/>
        </w:rPr>
        <w:t>и</w:t>
      </w:r>
      <w:r w:rsidR="001A4B93" w:rsidRPr="001A4B93">
        <w:rPr>
          <w:lang w:val="ru-RU"/>
        </w:rPr>
        <w:t xml:space="preserve"> </w:t>
      </w:r>
      <w:r w:rsidR="001A4B93">
        <w:rPr>
          <w:lang w:val="ru-RU"/>
        </w:rPr>
        <w:t>Канады</w:t>
      </w:r>
      <w:r w:rsidR="001A4B93" w:rsidRPr="001A4B93">
        <w:rPr>
          <w:lang w:val="ru-RU"/>
        </w:rPr>
        <w:t xml:space="preserve"> </w:t>
      </w:r>
      <w:r w:rsidRPr="001A4B93">
        <w:rPr>
          <w:lang w:val="ru-RU"/>
        </w:rPr>
        <w:t>−</w:t>
      </w:r>
      <w:r w:rsidRPr="001A4B93" w:rsidDel="00F83883">
        <w:rPr>
          <w:lang w:val="ru-RU"/>
        </w:rPr>
        <w:t xml:space="preserve"> </w:t>
      </w:r>
      <w:r w:rsidR="00C0311E" w:rsidRPr="006006CD">
        <w:rPr>
          <w:lang w:val="ru-RU"/>
        </w:rPr>
        <w:t>Собрания</w:t>
      </w:r>
      <w:r w:rsidR="00C0311E">
        <w:rPr>
          <w:lang w:val="ru-RU"/>
        </w:rPr>
        <w:t xml:space="preserve"> </w:t>
      </w:r>
      <w:r w:rsidR="001B788A">
        <w:rPr>
          <w:lang w:val="ru-RU"/>
        </w:rPr>
        <w:t>виртуально</w:t>
      </w:r>
      <w:r w:rsidR="00112B24">
        <w:rPr>
          <w:lang w:val="ru-RU"/>
        </w:rPr>
        <w:t>го</w:t>
      </w:r>
      <w:r w:rsidR="004B6BE7">
        <w:rPr>
          <w:lang w:val="ru-RU"/>
        </w:rPr>
        <w:t xml:space="preserve"> и смешанно</w:t>
      </w:r>
      <w:r w:rsidR="00112B24">
        <w:rPr>
          <w:lang w:val="ru-RU"/>
        </w:rPr>
        <w:t>го</w:t>
      </w:r>
      <w:r w:rsidR="004B6BE7">
        <w:rPr>
          <w:lang w:val="ru-RU"/>
        </w:rPr>
        <w:t xml:space="preserve"> формат</w:t>
      </w:r>
      <w:r w:rsidR="00112B24">
        <w:rPr>
          <w:lang w:val="ru-RU"/>
        </w:rPr>
        <w:t>ов</w:t>
      </w:r>
      <w:r w:rsidR="005268FF">
        <w:rPr>
          <w:lang w:val="ru-RU"/>
        </w:rPr>
        <w:t xml:space="preserve"> </w:t>
      </w:r>
      <w:r w:rsidRPr="001A4B93" w:rsidDel="00F83883">
        <w:rPr>
          <w:lang w:val="ru-RU"/>
        </w:rPr>
        <w:t>(</w:t>
      </w:r>
      <w:r w:rsidR="00A105F3" w:rsidRPr="006A7CC0">
        <w:rPr>
          <w:lang w:val="ru-RU"/>
        </w:rPr>
        <w:t>Документ</w:t>
      </w:r>
      <w:r w:rsidR="00A105F3" w:rsidRPr="001A4B93">
        <w:rPr>
          <w:lang w:val="ru-RU"/>
        </w:rPr>
        <w:t xml:space="preserve"> </w:t>
      </w:r>
      <w:hyperlink r:id="rId12" w:history="1">
        <w:r w:rsidRPr="006A7CC0" w:rsidDel="00F83883">
          <w:rPr>
            <w:rStyle w:val="Hyperlink"/>
            <w:bCs/>
            <w:lang w:val="en-US"/>
          </w:rPr>
          <w:t>CWG</w:t>
        </w:r>
        <w:r w:rsidRPr="001A4B93" w:rsidDel="00F83883">
          <w:rPr>
            <w:rStyle w:val="Hyperlink"/>
            <w:bCs/>
            <w:lang w:val="ru-RU"/>
          </w:rPr>
          <w:t>-</w:t>
        </w:r>
        <w:r w:rsidRPr="006A7CC0" w:rsidDel="00F83883">
          <w:rPr>
            <w:rStyle w:val="Hyperlink"/>
            <w:bCs/>
            <w:lang w:val="en-US"/>
          </w:rPr>
          <w:t>FHR</w:t>
        </w:r>
        <w:r w:rsidRPr="001A4B93" w:rsidDel="00F83883">
          <w:rPr>
            <w:rStyle w:val="Hyperlink"/>
            <w:bCs/>
            <w:lang w:val="ru-RU"/>
          </w:rPr>
          <w:t>-15/19</w:t>
        </w:r>
      </w:hyperlink>
      <w:r w:rsidR="002B6316" w:rsidRPr="001A4B93">
        <w:rPr>
          <w:rFonts w:eastAsiaTheme="minorHAnsi"/>
          <w:lang w:val="ru-RU"/>
        </w:rPr>
        <w:t>)</w:t>
      </w:r>
    </w:p>
    <w:p w14:paraId="3104EBE7" w14:textId="6A0A76DB" w:rsidR="00C0311E" w:rsidRPr="00BD6390" w:rsidRDefault="006A7CC0" w:rsidP="006A7CC0">
      <w:pPr>
        <w:rPr>
          <w:lang w:val="ru-RU"/>
        </w:rPr>
      </w:pPr>
      <w:r w:rsidRPr="00C0311E">
        <w:rPr>
          <w:lang w:val="ru-RU"/>
        </w:rPr>
        <w:t>2</w:t>
      </w:r>
      <w:r w:rsidRPr="00C0311E" w:rsidDel="00F83883">
        <w:rPr>
          <w:lang w:val="ru-RU"/>
        </w:rPr>
        <w:t>.1</w:t>
      </w:r>
      <w:r w:rsidRPr="00C0311E" w:rsidDel="00F83883">
        <w:rPr>
          <w:lang w:val="ru-RU"/>
        </w:rPr>
        <w:tab/>
      </w:r>
      <w:r w:rsidR="00C0311E">
        <w:rPr>
          <w:lang w:val="ru-RU"/>
        </w:rPr>
        <w:t>Делегат от Австралии представил документ по вопросу о</w:t>
      </w:r>
      <w:r w:rsidR="004B6BE7">
        <w:rPr>
          <w:lang w:val="ru-RU"/>
        </w:rPr>
        <w:t xml:space="preserve"> </w:t>
      </w:r>
      <w:r w:rsidR="0058647B">
        <w:rPr>
          <w:lang w:val="ru-RU"/>
        </w:rPr>
        <w:t xml:space="preserve">собраниях </w:t>
      </w:r>
      <w:r w:rsidR="006006CD">
        <w:rPr>
          <w:lang w:val="ru-RU"/>
        </w:rPr>
        <w:t>виртуально</w:t>
      </w:r>
      <w:r w:rsidR="0058647B">
        <w:rPr>
          <w:lang w:val="ru-RU"/>
        </w:rPr>
        <w:t>го</w:t>
      </w:r>
      <w:r w:rsidR="006006CD">
        <w:rPr>
          <w:lang w:val="ru-RU"/>
        </w:rPr>
        <w:t xml:space="preserve"> и смешанно</w:t>
      </w:r>
      <w:r w:rsidR="0058647B">
        <w:rPr>
          <w:lang w:val="ru-RU"/>
        </w:rPr>
        <w:t>го</w:t>
      </w:r>
      <w:r w:rsidR="006006CD">
        <w:rPr>
          <w:lang w:val="ru-RU"/>
        </w:rPr>
        <w:t xml:space="preserve"> формат</w:t>
      </w:r>
      <w:r w:rsidR="0058647B">
        <w:rPr>
          <w:lang w:val="ru-RU"/>
        </w:rPr>
        <w:t>ов</w:t>
      </w:r>
      <w:r w:rsidR="004B6BE7">
        <w:rPr>
          <w:lang w:val="ru-RU"/>
        </w:rPr>
        <w:t>, в котором подчеркивается необ</w:t>
      </w:r>
      <w:r w:rsidR="006006CD">
        <w:rPr>
          <w:lang w:val="ru-RU"/>
        </w:rPr>
        <w:t xml:space="preserve">ходимость разработки процедур, руководящих указаний и правил по проведению как полностью виртуальных собраний (без физического присутствия), так и собраний, предполагающих </w:t>
      </w:r>
      <w:r w:rsidR="00B31398">
        <w:rPr>
          <w:lang w:val="ru-RU"/>
        </w:rPr>
        <w:t xml:space="preserve">и </w:t>
      </w:r>
      <w:r w:rsidR="006006CD">
        <w:rPr>
          <w:lang w:val="ru-RU"/>
        </w:rPr>
        <w:t>дистанционное</w:t>
      </w:r>
      <w:r w:rsidR="00B31398">
        <w:rPr>
          <w:lang w:val="ru-RU"/>
        </w:rPr>
        <w:t>,</w:t>
      </w:r>
      <w:r w:rsidR="006006CD">
        <w:rPr>
          <w:lang w:val="ru-RU"/>
        </w:rPr>
        <w:t xml:space="preserve"> и очное участие</w:t>
      </w:r>
      <w:r w:rsidR="00B31398">
        <w:rPr>
          <w:lang w:val="ru-RU"/>
        </w:rPr>
        <w:t xml:space="preserve"> ("смешанный формат")</w:t>
      </w:r>
      <w:r w:rsidR="006006CD">
        <w:rPr>
          <w:lang w:val="ru-RU"/>
        </w:rPr>
        <w:t xml:space="preserve">, в целях обеспечения поддержки и </w:t>
      </w:r>
      <w:r w:rsidR="00BD6390">
        <w:rPr>
          <w:lang w:val="ru-RU"/>
        </w:rPr>
        <w:t>развития будущей работы МСЭ</w:t>
      </w:r>
      <w:r w:rsidR="00B31398">
        <w:rPr>
          <w:lang w:val="ru-RU"/>
        </w:rPr>
        <w:t>.</w:t>
      </w:r>
    </w:p>
    <w:p w14:paraId="00B8C8C5" w14:textId="7DDF4E9D" w:rsidR="009D0720" w:rsidRPr="009D0720" w:rsidRDefault="006A7CC0" w:rsidP="006A7CC0">
      <w:pPr>
        <w:rPr>
          <w:lang w:val="ru-RU"/>
        </w:rPr>
      </w:pPr>
      <w:r w:rsidRPr="009D0720">
        <w:rPr>
          <w:lang w:val="ru-RU"/>
        </w:rPr>
        <w:t>2</w:t>
      </w:r>
      <w:r w:rsidRPr="009D0720" w:rsidDel="00F83883">
        <w:rPr>
          <w:lang w:val="ru-RU"/>
        </w:rPr>
        <w:t>.2</w:t>
      </w:r>
      <w:r w:rsidRPr="009D0720" w:rsidDel="00F83883">
        <w:rPr>
          <w:lang w:val="ru-RU"/>
        </w:rPr>
        <w:tab/>
      </w:r>
      <w:r w:rsidR="009D0720">
        <w:rPr>
          <w:lang w:val="ru-RU"/>
        </w:rPr>
        <w:t xml:space="preserve">Делегат особо отметил, что речь не идет о том, чтобы перевести все мероприятия и собрания МСЭ на виртуальный или смешанный формат или неоправданно увеличить число виртуальных собраний. </w:t>
      </w:r>
    </w:p>
    <w:p w14:paraId="0EADCDD2" w14:textId="77ADA08D" w:rsidR="009D0720" w:rsidRPr="000E5AF5" w:rsidRDefault="006A7CC0" w:rsidP="006A7CC0">
      <w:pPr>
        <w:rPr>
          <w:lang w:val="ru-RU"/>
        </w:rPr>
      </w:pPr>
      <w:r w:rsidRPr="000E5AF5">
        <w:rPr>
          <w:lang w:val="ru-RU"/>
        </w:rPr>
        <w:t>2</w:t>
      </w:r>
      <w:r w:rsidRPr="000E5AF5" w:rsidDel="00F83883">
        <w:rPr>
          <w:lang w:val="ru-RU"/>
        </w:rPr>
        <w:t>.3</w:t>
      </w:r>
      <w:r w:rsidRPr="000E5AF5" w:rsidDel="00F83883">
        <w:rPr>
          <w:lang w:val="ru-RU"/>
        </w:rPr>
        <w:tab/>
      </w:r>
      <w:r w:rsidR="000E5AF5">
        <w:rPr>
          <w:lang w:val="ru-RU"/>
        </w:rPr>
        <w:t xml:space="preserve">Практические меры по обеспечению равных возможностей </w:t>
      </w:r>
      <w:r w:rsidR="00922219">
        <w:rPr>
          <w:lang w:val="ru-RU"/>
        </w:rPr>
        <w:t xml:space="preserve">для </w:t>
      </w:r>
      <w:r w:rsidR="000E5AF5">
        <w:rPr>
          <w:lang w:val="ru-RU"/>
        </w:rPr>
        <w:t>участия</w:t>
      </w:r>
      <w:r w:rsidR="000E5AF5" w:rsidRPr="000E5AF5">
        <w:rPr>
          <w:lang w:val="ru-RU"/>
        </w:rPr>
        <w:t xml:space="preserve"> </w:t>
      </w:r>
      <w:r w:rsidR="000E5AF5">
        <w:rPr>
          <w:lang w:val="ru-RU"/>
        </w:rPr>
        <w:t>все</w:t>
      </w:r>
      <w:r w:rsidR="006632D4">
        <w:rPr>
          <w:lang w:val="ru-RU"/>
        </w:rPr>
        <w:t>х</w:t>
      </w:r>
      <w:r w:rsidR="000E5AF5">
        <w:rPr>
          <w:lang w:val="ru-RU"/>
        </w:rPr>
        <w:t xml:space="preserve"> администраци</w:t>
      </w:r>
      <w:r w:rsidR="006632D4">
        <w:rPr>
          <w:lang w:val="ru-RU"/>
        </w:rPr>
        <w:t>й</w:t>
      </w:r>
      <w:r w:rsidR="000E5AF5">
        <w:rPr>
          <w:lang w:val="ru-RU"/>
        </w:rPr>
        <w:t xml:space="preserve"> могут включать в себя чередование часовых поясов, гибкость в плане продолжительности собраний</w:t>
      </w:r>
      <w:r w:rsidR="00EE18E6">
        <w:rPr>
          <w:lang w:val="ru-RU"/>
        </w:rPr>
        <w:t>, поддержку и помощь председателям</w:t>
      </w:r>
      <w:r w:rsidR="00F704CB">
        <w:rPr>
          <w:lang w:val="ru-RU"/>
        </w:rPr>
        <w:t xml:space="preserve"> собраний</w:t>
      </w:r>
      <w:r w:rsidR="00EE18E6">
        <w:rPr>
          <w:lang w:val="ru-RU"/>
        </w:rPr>
        <w:t xml:space="preserve"> в организации дистанционного участия на справедливой основе, а также </w:t>
      </w:r>
      <w:r w:rsidR="00787E20">
        <w:rPr>
          <w:lang w:val="ru-RU"/>
        </w:rPr>
        <w:t xml:space="preserve">дополнительную </w:t>
      </w:r>
      <w:r w:rsidR="00EE18E6">
        <w:rPr>
          <w:lang w:val="ru-RU"/>
        </w:rPr>
        <w:t>поддержку в проведении очных собраний в целях предоставления участникам собраний одинаковых возможностей.</w:t>
      </w:r>
      <w:r w:rsidR="00922219">
        <w:rPr>
          <w:lang w:val="ru-RU"/>
        </w:rPr>
        <w:t xml:space="preserve"> </w:t>
      </w:r>
    </w:p>
    <w:p w14:paraId="6C3664C1" w14:textId="2B1B0ADB" w:rsidR="00270274" w:rsidRPr="00270274" w:rsidRDefault="006A7CC0" w:rsidP="006A7CC0">
      <w:pPr>
        <w:rPr>
          <w:lang w:val="ru-RU"/>
        </w:rPr>
      </w:pPr>
      <w:r w:rsidRPr="00270274">
        <w:rPr>
          <w:lang w:val="ru-RU"/>
        </w:rPr>
        <w:t>2</w:t>
      </w:r>
      <w:r w:rsidRPr="00270274" w:rsidDel="00F83883">
        <w:rPr>
          <w:lang w:val="ru-RU"/>
        </w:rPr>
        <w:t>.4</w:t>
      </w:r>
      <w:r w:rsidRPr="00270274" w:rsidDel="00F83883">
        <w:rPr>
          <w:lang w:val="ru-RU"/>
        </w:rPr>
        <w:tab/>
      </w:r>
      <w:r w:rsidR="00270274">
        <w:rPr>
          <w:lang w:val="ru-RU"/>
        </w:rPr>
        <w:t xml:space="preserve">Австралия и Канада предлагают </w:t>
      </w:r>
      <w:r w:rsidR="00270274" w:rsidRPr="00C22779">
        <w:rPr>
          <w:szCs w:val="22"/>
          <w:lang w:val="ru-RU"/>
        </w:rPr>
        <w:t>РГС-ФЛР</w:t>
      </w:r>
      <w:r w:rsidR="00270274">
        <w:rPr>
          <w:szCs w:val="22"/>
          <w:lang w:val="ru-RU"/>
        </w:rPr>
        <w:t xml:space="preserve"> представить </w:t>
      </w:r>
      <w:r w:rsidR="004C74EF">
        <w:rPr>
          <w:szCs w:val="22"/>
          <w:lang w:val="ru-RU"/>
        </w:rPr>
        <w:t xml:space="preserve">на рассмотрение Совета МСЭ </w:t>
      </w:r>
      <w:r w:rsidR="00270274">
        <w:rPr>
          <w:szCs w:val="22"/>
          <w:lang w:val="ru-RU"/>
        </w:rPr>
        <w:t xml:space="preserve">рекомендации относительно действий </w:t>
      </w:r>
      <w:r w:rsidR="004C74EF">
        <w:rPr>
          <w:szCs w:val="22"/>
          <w:lang w:val="ru-RU"/>
        </w:rPr>
        <w:t xml:space="preserve">по разработке процедур, правил и руководящих указаний, включая соответствующее руководство и управление собраниями виртуального и смешанного форматов с обеспечением участникам собрания равных и недискриминационных условий. Эти процедуры, правила и руководящие указания могли бы действовать </w:t>
      </w:r>
      <w:r w:rsidR="00296848">
        <w:rPr>
          <w:szCs w:val="22"/>
          <w:lang w:val="ru-RU"/>
        </w:rPr>
        <w:t>на уровне</w:t>
      </w:r>
      <w:r w:rsidR="004C74EF">
        <w:rPr>
          <w:szCs w:val="22"/>
          <w:lang w:val="ru-RU"/>
        </w:rPr>
        <w:t xml:space="preserve"> всего МСЭ, где это применимо, с учетом соответствующих методов работы и правил в </w:t>
      </w:r>
      <w:r w:rsidR="00296848">
        <w:rPr>
          <w:szCs w:val="22"/>
          <w:lang w:val="ru-RU"/>
        </w:rPr>
        <w:t xml:space="preserve">рамках </w:t>
      </w:r>
      <w:r w:rsidR="004C74EF">
        <w:rPr>
          <w:szCs w:val="22"/>
          <w:lang w:val="ru-RU"/>
        </w:rPr>
        <w:t>каждо</w:t>
      </w:r>
      <w:r w:rsidR="00296848">
        <w:rPr>
          <w:szCs w:val="22"/>
          <w:lang w:val="ru-RU"/>
        </w:rPr>
        <w:t>го</w:t>
      </w:r>
      <w:r w:rsidR="004C74EF">
        <w:rPr>
          <w:szCs w:val="22"/>
          <w:lang w:val="ru-RU"/>
        </w:rPr>
        <w:t xml:space="preserve"> Сектор</w:t>
      </w:r>
      <w:r w:rsidR="00296848">
        <w:rPr>
          <w:szCs w:val="22"/>
          <w:lang w:val="ru-RU"/>
        </w:rPr>
        <w:t xml:space="preserve">а. Каждому Сектору следует открыто взаимодействовать со всеми администрациями, чтобы дать им возможность полноценно участвовать в разработке </w:t>
      </w:r>
      <w:r w:rsidR="00787E20">
        <w:rPr>
          <w:szCs w:val="22"/>
          <w:lang w:val="ru-RU"/>
        </w:rPr>
        <w:t>таких</w:t>
      </w:r>
      <w:r w:rsidR="00296848">
        <w:rPr>
          <w:szCs w:val="22"/>
          <w:lang w:val="ru-RU"/>
        </w:rPr>
        <w:t xml:space="preserve"> методов работы и правил. </w:t>
      </w:r>
    </w:p>
    <w:p w14:paraId="2B8828FD" w14:textId="1C30C9BA" w:rsidR="00DB547D" w:rsidRPr="00DB547D" w:rsidRDefault="006A7CC0" w:rsidP="006A7CC0">
      <w:pPr>
        <w:rPr>
          <w:lang w:val="ru-RU"/>
        </w:rPr>
      </w:pPr>
      <w:r w:rsidRPr="00DB547D">
        <w:rPr>
          <w:lang w:val="ru-RU"/>
        </w:rPr>
        <w:t>2</w:t>
      </w:r>
      <w:r w:rsidRPr="00DB547D" w:rsidDel="00F83883">
        <w:rPr>
          <w:lang w:val="ru-RU"/>
        </w:rPr>
        <w:t>.5</w:t>
      </w:r>
      <w:r w:rsidRPr="00DB547D" w:rsidDel="00F83883">
        <w:rPr>
          <w:lang w:val="ru-RU"/>
        </w:rPr>
        <w:tab/>
      </w:r>
      <w:r w:rsidR="00DB547D">
        <w:rPr>
          <w:lang w:val="ru-RU"/>
        </w:rPr>
        <w:t xml:space="preserve">Ряд делегатов поблагодарили Австралию и Канаду за это предложение, которое, по мнению некоторых, затрагивает принципиально важный вопрос, и заявили о </w:t>
      </w:r>
      <w:r w:rsidR="00DB547D" w:rsidRPr="00E42E47">
        <w:rPr>
          <w:lang w:val="ru-RU"/>
        </w:rPr>
        <w:t>необходимости:</w:t>
      </w:r>
      <w:r w:rsidR="00DB547D">
        <w:rPr>
          <w:lang w:val="ru-RU"/>
        </w:rPr>
        <w:t xml:space="preserve"> </w:t>
      </w:r>
    </w:p>
    <w:p w14:paraId="2AC59292" w14:textId="6776AAB1" w:rsidR="00DB547D" w:rsidRPr="00DB547D" w:rsidRDefault="006A7CC0" w:rsidP="006A7CC0">
      <w:pPr>
        <w:pStyle w:val="enumlev1"/>
        <w:rPr>
          <w:lang w:val="ru-RU"/>
        </w:rPr>
      </w:pPr>
      <w:r>
        <w:rPr>
          <w:lang w:val="de-DE"/>
        </w:rPr>
        <w:t>•</w:t>
      </w:r>
      <w:r>
        <w:rPr>
          <w:lang w:val="de-DE"/>
        </w:rPr>
        <w:tab/>
      </w:r>
      <w:r w:rsidR="00DB547D">
        <w:rPr>
          <w:lang w:val="ru-RU"/>
        </w:rPr>
        <w:t>четкого</w:t>
      </w:r>
      <w:r w:rsidR="00DB547D" w:rsidRPr="00DB547D">
        <w:rPr>
          <w:lang w:val="ru-RU"/>
        </w:rPr>
        <w:t xml:space="preserve"> </w:t>
      </w:r>
      <w:r w:rsidR="00DB547D">
        <w:rPr>
          <w:lang w:val="ru-RU"/>
        </w:rPr>
        <w:t>разграничения</w:t>
      </w:r>
      <w:r w:rsidR="00DB547D" w:rsidRPr="00DB547D">
        <w:rPr>
          <w:lang w:val="ru-RU"/>
        </w:rPr>
        <w:t xml:space="preserve"> </w:t>
      </w:r>
      <w:r w:rsidR="00DB547D">
        <w:rPr>
          <w:lang w:val="ru-RU"/>
        </w:rPr>
        <w:t xml:space="preserve">между мероприятиями смешанного формата и дистанционным участием в очных мероприятиях; </w:t>
      </w:r>
    </w:p>
    <w:p w14:paraId="5E84F518" w14:textId="01FBDA94" w:rsidR="00B856D0" w:rsidRDefault="006A7CC0" w:rsidP="006A7CC0">
      <w:pPr>
        <w:pStyle w:val="enumlev1"/>
        <w:rPr>
          <w:lang w:val="ru-RU"/>
        </w:rPr>
      </w:pPr>
      <w:r w:rsidRPr="006A7CC0">
        <w:rPr>
          <w:lang w:val="de-DE"/>
        </w:rPr>
        <w:t>•</w:t>
      </w:r>
      <w:r>
        <w:rPr>
          <w:lang w:val="de-DE"/>
        </w:rPr>
        <w:tab/>
      </w:r>
      <w:r w:rsidR="00517293">
        <w:rPr>
          <w:lang w:val="ru-RU"/>
        </w:rPr>
        <w:t>внесения ясности по поводу</w:t>
      </w:r>
      <w:r w:rsidR="00B856D0">
        <w:rPr>
          <w:lang w:val="ru-RU"/>
        </w:rPr>
        <w:t xml:space="preserve"> прав </w:t>
      </w:r>
      <w:r w:rsidR="00517293">
        <w:rPr>
          <w:lang w:val="ru-RU"/>
        </w:rPr>
        <w:t>членов, участвующих дистанционно, в отношении</w:t>
      </w:r>
      <w:r w:rsidR="00B856D0">
        <w:rPr>
          <w:lang w:val="ru-RU"/>
        </w:rPr>
        <w:t xml:space="preserve"> процесс</w:t>
      </w:r>
      <w:r w:rsidR="00C90AA1">
        <w:rPr>
          <w:lang w:val="ru-RU"/>
        </w:rPr>
        <w:t>а</w:t>
      </w:r>
      <w:r w:rsidR="00B856D0">
        <w:rPr>
          <w:lang w:val="ru-RU"/>
        </w:rPr>
        <w:t xml:space="preserve"> принятия решений и голосования; </w:t>
      </w:r>
    </w:p>
    <w:p w14:paraId="4CC74053" w14:textId="31672BFE" w:rsidR="006A7CC0" w:rsidRPr="006A7CC0" w:rsidDel="00F83883" w:rsidRDefault="006A7CC0" w:rsidP="006A7CC0">
      <w:pPr>
        <w:pStyle w:val="enumlev1"/>
        <w:rPr>
          <w:lang w:val="de-DE"/>
        </w:rPr>
      </w:pPr>
      <w:r w:rsidRPr="006A7CC0">
        <w:rPr>
          <w:lang w:val="de-DE"/>
        </w:rPr>
        <w:lastRenderedPageBreak/>
        <w:t>•</w:t>
      </w:r>
      <w:r>
        <w:rPr>
          <w:lang w:val="de-DE"/>
        </w:rPr>
        <w:tab/>
      </w:r>
      <w:r w:rsidR="00B856D0">
        <w:rPr>
          <w:lang w:val="ru-RU"/>
        </w:rPr>
        <w:t>содействия</w:t>
      </w:r>
      <w:r w:rsidR="00B856D0" w:rsidRPr="00347129">
        <w:rPr>
          <w:lang w:val="ru-RU"/>
        </w:rPr>
        <w:t xml:space="preserve"> </w:t>
      </w:r>
      <w:r w:rsidR="00B856D0">
        <w:rPr>
          <w:lang w:val="ru-RU"/>
        </w:rPr>
        <w:t>проведению</w:t>
      </w:r>
      <w:r w:rsidR="00B856D0" w:rsidRPr="00347129">
        <w:rPr>
          <w:lang w:val="ru-RU"/>
        </w:rPr>
        <w:t xml:space="preserve"> </w:t>
      </w:r>
      <w:r w:rsidR="00112B24">
        <w:rPr>
          <w:lang w:val="ru-RU"/>
        </w:rPr>
        <w:t>обсуждений</w:t>
      </w:r>
      <w:r w:rsidR="00B856D0" w:rsidRPr="00347129">
        <w:rPr>
          <w:lang w:val="ru-RU"/>
        </w:rPr>
        <w:t xml:space="preserve"> </w:t>
      </w:r>
      <w:r w:rsidR="00B856D0">
        <w:rPr>
          <w:lang w:val="ru-RU"/>
        </w:rPr>
        <w:t>и</w:t>
      </w:r>
      <w:r w:rsidR="00B856D0" w:rsidRPr="00347129">
        <w:rPr>
          <w:lang w:val="ru-RU"/>
        </w:rPr>
        <w:t xml:space="preserve"> </w:t>
      </w:r>
      <w:r w:rsidR="00B856D0">
        <w:rPr>
          <w:lang w:val="ru-RU"/>
        </w:rPr>
        <w:t>бесед</w:t>
      </w:r>
      <w:r w:rsidR="00B856D0" w:rsidRPr="00347129">
        <w:rPr>
          <w:lang w:val="ru-RU"/>
        </w:rPr>
        <w:t xml:space="preserve">, </w:t>
      </w:r>
      <w:r w:rsidR="00B856D0">
        <w:rPr>
          <w:lang w:val="ru-RU"/>
        </w:rPr>
        <w:t>в том числе в ходе Полномочной конференции</w:t>
      </w:r>
      <w:r w:rsidRPr="006A7CC0" w:rsidDel="00F83883">
        <w:rPr>
          <w:lang w:val="de-DE"/>
        </w:rPr>
        <w:t>;</w:t>
      </w:r>
    </w:p>
    <w:p w14:paraId="12FB9A67" w14:textId="2ACBDA63" w:rsidR="006A7CC0" w:rsidRPr="006A7CC0" w:rsidDel="00F83883" w:rsidRDefault="006A7CC0" w:rsidP="006A7CC0">
      <w:pPr>
        <w:pStyle w:val="enumlev1"/>
        <w:rPr>
          <w:lang w:val="de-DE"/>
        </w:rPr>
      </w:pPr>
      <w:r w:rsidRPr="006A7CC0">
        <w:rPr>
          <w:lang w:val="de-DE"/>
        </w:rPr>
        <w:t>•</w:t>
      </w:r>
      <w:r>
        <w:rPr>
          <w:lang w:val="de-DE"/>
        </w:rPr>
        <w:tab/>
      </w:r>
      <w:r w:rsidR="00347129">
        <w:rPr>
          <w:lang w:val="ru-RU"/>
        </w:rPr>
        <w:t>обсуждения вопроса о часовых поясах</w:t>
      </w:r>
      <w:r w:rsidRPr="006A7CC0" w:rsidDel="00F83883">
        <w:rPr>
          <w:lang w:val="de-DE"/>
        </w:rPr>
        <w:t>;</w:t>
      </w:r>
    </w:p>
    <w:p w14:paraId="595F2A9F" w14:textId="32F257A7" w:rsidR="006A7CC0" w:rsidRPr="006A7CC0" w:rsidDel="00F83883" w:rsidRDefault="006A7CC0" w:rsidP="006A7CC0">
      <w:pPr>
        <w:pStyle w:val="enumlev1"/>
        <w:rPr>
          <w:lang w:val="de-DE"/>
        </w:rPr>
      </w:pPr>
      <w:r w:rsidRPr="006A7CC0">
        <w:rPr>
          <w:lang w:val="de-DE"/>
        </w:rPr>
        <w:t>•</w:t>
      </w:r>
      <w:r>
        <w:rPr>
          <w:lang w:val="de-DE"/>
        </w:rPr>
        <w:tab/>
      </w:r>
      <w:r w:rsidR="00D81377">
        <w:rPr>
          <w:lang w:val="ru-RU"/>
        </w:rPr>
        <w:t xml:space="preserve">рассмотрения </w:t>
      </w:r>
      <w:r w:rsidR="00C90AA1">
        <w:rPr>
          <w:lang w:val="ru-RU"/>
        </w:rPr>
        <w:t>возможности у</w:t>
      </w:r>
      <w:r w:rsidR="00D81377">
        <w:rPr>
          <w:lang w:val="ru-RU"/>
        </w:rPr>
        <w:t>величени</w:t>
      </w:r>
      <w:r w:rsidR="00C90AA1">
        <w:rPr>
          <w:lang w:val="ru-RU"/>
        </w:rPr>
        <w:t>я</w:t>
      </w:r>
      <w:r w:rsidR="00D81377">
        <w:rPr>
          <w:lang w:val="ru-RU"/>
        </w:rPr>
        <w:t xml:space="preserve"> числа собраний виртуального и смешанного форматов</w:t>
      </w:r>
      <w:r w:rsidRPr="006A7CC0" w:rsidDel="00F83883">
        <w:rPr>
          <w:lang w:val="de-DE"/>
        </w:rPr>
        <w:t>.</w:t>
      </w:r>
    </w:p>
    <w:p w14:paraId="61914688" w14:textId="7B8EBFCE" w:rsidR="00BC2C86" w:rsidRPr="00BC2C86" w:rsidRDefault="006A7CC0" w:rsidP="006A7CC0">
      <w:pPr>
        <w:rPr>
          <w:bCs/>
          <w:lang w:val="ru-RU"/>
        </w:rPr>
      </w:pPr>
      <w:r w:rsidRPr="00BC2C86">
        <w:rPr>
          <w:bCs/>
          <w:lang w:val="ru-RU"/>
        </w:rPr>
        <w:t>2</w:t>
      </w:r>
      <w:r w:rsidRPr="00BC2C86" w:rsidDel="00F83883">
        <w:rPr>
          <w:bCs/>
          <w:lang w:val="ru-RU"/>
        </w:rPr>
        <w:t>.6</w:t>
      </w:r>
      <w:r w:rsidRPr="00BC2C86" w:rsidDel="00F83883">
        <w:rPr>
          <w:bCs/>
          <w:lang w:val="ru-RU"/>
        </w:rPr>
        <w:tab/>
      </w:r>
      <w:r w:rsidR="00BC2C86">
        <w:rPr>
          <w:bCs/>
          <w:lang w:val="ru-RU"/>
        </w:rPr>
        <w:t>В свете вышеизложенного Председатель заключил</w:t>
      </w:r>
      <w:r w:rsidR="00C07273">
        <w:rPr>
          <w:bCs/>
          <w:lang w:val="ru-RU"/>
        </w:rPr>
        <w:t>а</w:t>
      </w:r>
      <w:r w:rsidR="00BC2C86">
        <w:rPr>
          <w:bCs/>
          <w:lang w:val="ru-RU"/>
        </w:rPr>
        <w:t>, что участники собрания в целом поддерживают идею препроводить Совету-22 содержащиеся в документе правила и процедуры в отношении собраний виртуального и смешанного форматов для дальнейшего обсуждения.</w:t>
      </w:r>
    </w:p>
    <w:p w14:paraId="2F87F9F8" w14:textId="56B5E1FF" w:rsidR="006A7CC0" w:rsidRPr="00252E4F" w:rsidRDefault="006A7CC0" w:rsidP="006A7CC0">
      <w:pPr>
        <w:pStyle w:val="Heading1"/>
        <w:rPr>
          <w:lang w:val="ru-RU"/>
        </w:rPr>
      </w:pPr>
      <w:r w:rsidRPr="00252E4F">
        <w:rPr>
          <w:lang w:val="ru-RU"/>
        </w:rPr>
        <w:t>3</w:t>
      </w:r>
      <w:r w:rsidRPr="00252E4F">
        <w:rPr>
          <w:lang w:val="ru-RU"/>
        </w:rPr>
        <w:tab/>
      </w:r>
      <w:r w:rsidR="00252E4F" w:rsidRPr="00252E4F">
        <w:rPr>
          <w:lang w:val="ru-RU"/>
        </w:rPr>
        <w:t>Нефинансируемые утвержденные виды деятельности (</w:t>
      </w:r>
      <w:r w:rsidR="00252E4F" w:rsidRPr="00252E4F">
        <w:rPr>
          <w:lang w:val="en-US"/>
        </w:rPr>
        <w:t>UMAC</w:t>
      </w:r>
      <w:r w:rsidR="00252E4F" w:rsidRPr="00252E4F">
        <w:rPr>
          <w:lang w:val="ru-RU"/>
        </w:rPr>
        <w:t xml:space="preserve">) </w:t>
      </w:r>
      <w:r w:rsidRPr="00252E4F">
        <w:rPr>
          <w:lang w:val="ru-RU"/>
        </w:rPr>
        <w:t>(</w:t>
      </w:r>
      <w:r>
        <w:rPr>
          <w:lang w:val="ru-RU"/>
        </w:rPr>
        <w:t>Документ</w:t>
      </w:r>
      <w:r w:rsidRPr="00252E4F">
        <w:rPr>
          <w:lang w:val="ru-RU"/>
        </w:rPr>
        <w:t xml:space="preserve"> </w:t>
      </w:r>
      <w:hyperlink r:id="rId13" w:history="1">
        <w:r w:rsidRPr="006A7CC0">
          <w:rPr>
            <w:rStyle w:val="Hyperlink"/>
            <w:bCs/>
            <w:lang w:val="en-US"/>
          </w:rPr>
          <w:t>CWG</w:t>
        </w:r>
        <w:r w:rsidRPr="00252E4F">
          <w:rPr>
            <w:rStyle w:val="Hyperlink"/>
            <w:bCs/>
            <w:lang w:val="ru-RU"/>
          </w:rPr>
          <w:t>-</w:t>
        </w:r>
        <w:r w:rsidRPr="006A7CC0">
          <w:rPr>
            <w:rStyle w:val="Hyperlink"/>
            <w:bCs/>
            <w:lang w:val="en-US"/>
          </w:rPr>
          <w:t>FHR</w:t>
        </w:r>
        <w:r w:rsidRPr="00252E4F">
          <w:rPr>
            <w:rStyle w:val="Hyperlink"/>
            <w:bCs/>
            <w:lang w:val="ru-RU"/>
          </w:rPr>
          <w:t>-14/10</w:t>
        </w:r>
      </w:hyperlink>
      <w:r w:rsidRPr="00252E4F">
        <w:rPr>
          <w:lang w:val="ru-RU"/>
        </w:rPr>
        <w:t>)</w:t>
      </w:r>
    </w:p>
    <w:p w14:paraId="1E43DB31" w14:textId="27148F3F" w:rsidR="006D65CA" w:rsidRPr="00337E86" w:rsidRDefault="006A7CC0" w:rsidP="006A7CC0">
      <w:pPr>
        <w:rPr>
          <w:lang w:val="ru-RU"/>
        </w:rPr>
      </w:pPr>
      <w:r w:rsidRPr="001D5177">
        <w:rPr>
          <w:lang w:val="ru-RU"/>
        </w:rPr>
        <w:t>3.1</w:t>
      </w:r>
      <w:r w:rsidRPr="001D5177">
        <w:rPr>
          <w:lang w:val="ru-RU"/>
        </w:rPr>
        <w:tab/>
      </w:r>
      <w:r w:rsidR="001D5177">
        <w:rPr>
          <w:lang w:val="ru-RU"/>
        </w:rPr>
        <w:t>Секретариат представил Документ</w:t>
      </w:r>
      <w:r w:rsidR="001D5177" w:rsidRPr="001D5177">
        <w:rPr>
          <w:lang w:val="ru-RU"/>
        </w:rPr>
        <w:t xml:space="preserve"> </w:t>
      </w:r>
      <w:r w:rsidR="001D5177" w:rsidRPr="006A7CC0">
        <w:t>CWG</w:t>
      </w:r>
      <w:r w:rsidR="001D5177" w:rsidRPr="001D5177">
        <w:rPr>
          <w:lang w:val="ru-RU"/>
        </w:rPr>
        <w:t>-</w:t>
      </w:r>
      <w:r w:rsidR="001D5177" w:rsidRPr="006A7CC0">
        <w:t>FHR</w:t>
      </w:r>
      <w:r w:rsidR="001D5177" w:rsidRPr="001D5177">
        <w:rPr>
          <w:lang w:val="ru-RU"/>
        </w:rPr>
        <w:t>-14/10</w:t>
      </w:r>
      <w:r w:rsidR="001D5177">
        <w:rPr>
          <w:lang w:val="ru-RU"/>
        </w:rPr>
        <w:t xml:space="preserve">, </w:t>
      </w:r>
      <w:r w:rsidR="003A0A6E">
        <w:rPr>
          <w:lang w:val="ru-RU"/>
        </w:rPr>
        <w:t>являющийся</w:t>
      </w:r>
      <w:r w:rsidR="001D5177">
        <w:rPr>
          <w:lang w:val="ru-RU"/>
        </w:rPr>
        <w:t xml:space="preserve"> обновление</w:t>
      </w:r>
      <w:r w:rsidR="003A0A6E">
        <w:rPr>
          <w:lang w:val="ru-RU"/>
        </w:rPr>
        <w:t>м</w:t>
      </w:r>
      <w:r w:rsidR="001D5177">
        <w:rPr>
          <w:lang w:val="ru-RU"/>
        </w:rPr>
        <w:t xml:space="preserve"> Документа </w:t>
      </w:r>
      <w:r w:rsidR="00337E86" w:rsidRPr="006A7CC0">
        <w:t>C</w:t>
      </w:r>
      <w:r w:rsidR="00337E86" w:rsidRPr="00337E86">
        <w:rPr>
          <w:lang w:val="ru-RU"/>
        </w:rPr>
        <w:t xml:space="preserve">21/49 </w:t>
      </w:r>
      <w:r w:rsidR="009237C8">
        <w:rPr>
          <w:lang w:val="ru-RU"/>
        </w:rPr>
        <w:t xml:space="preserve">по </w:t>
      </w:r>
      <w:r w:rsidR="009237C8" w:rsidRPr="006A7CC0">
        <w:t>UMAC</w:t>
      </w:r>
      <w:r w:rsidR="00337E86">
        <w:rPr>
          <w:lang w:val="ru-RU"/>
        </w:rPr>
        <w:t xml:space="preserve"> в соответствии с просьбой Совета-21, но только в отношении </w:t>
      </w:r>
      <w:r w:rsidR="00183DED">
        <w:rPr>
          <w:lang w:val="ru-RU"/>
        </w:rPr>
        <w:t xml:space="preserve">пункта </w:t>
      </w:r>
      <w:r w:rsidR="00337E86">
        <w:rPr>
          <w:lang w:val="ru-RU"/>
        </w:rPr>
        <w:t>А "</w:t>
      </w:r>
      <w:r w:rsidR="00337E86" w:rsidRPr="00337E86">
        <w:rPr>
          <w:lang w:val="ru-RU"/>
        </w:rPr>
        <w:t xml:space="preserve">Обеспечение непрерывности деятельности </w:t>
      </w:r>
      <w:r w:rsidR="00183DED">
        <w:rPr>
          <w:lang w:val="ru-RU"/>
        </w:rPr>
        <w:t>–</w:t>
      </w:r>
      <w:r w:rsidR="00337E86" w:rsidRPr="00337E86">
        <w:rPr>
          <w:lang w:val="ru-RU"/>
        </w:rPr>
        <w:t xml:space="preserve"> управление информацией</w:t>
      </w:r>
      <w:r w:rsidR="00337E86">
        <w:rPr>
          <w:lang w:val="ru-RU"/>
        </w:rPr>
        <w:t>" (</w:t>
      </w:r>
      <w:r w:rsidR="00302442">
        <w:rPr>
          <w:lang w:val="ru-RU"/>
        </w:rPr>
        <w:t xml:space="preserve">Документы </w:t>
      </w:r>
      <w:r w:rsidR="00337E86" w:rsidRPr="006A7CC0">
        <w:t>C</w:t>
      </w:r>
      <w:r w:rsidR="00337E86" w:rsidRPr="00337E86">
        <w:rPr>
          <w:lang w:val="ru-RU"/>
        </w:rPr>
        <w:t xml:space="preserve">20/53, </w:t>
      </w:r>
      <w:r w:rsidR="00337E86" w:rsidRPr="006A7CC0">
        <w:t>CWG</w:t>
      </w:r>
      <w:r w:rsidR="00337E86" w:rsidRPr="00337E86">
        <w:rPr>
          <w:lang w:val="ru-RU"/>
        </w:rPr>
        <w:t>-</w:t>
      </w:r>
      <w:r w:rsidR="00337E86" w:rsidRPr="006A7CC0">
        <w:t>FHR</w:t>
      </w:r>
      <w:r w:rsidR="00337E86" w:rsidRPr="00337E86">
        <w:rPr>
          <w:lang w:val="ru-RU"/>
        </w:rPr>
        <w:t xml:space="preserve">-12/3 </w:t>
      </w:r>
      <w:r w:rsidR="00337E86">
        <w:rPr>
          <w:lang w:val="ru-RU"/>
        </w:rPr>
        <w:t>и</w:t>
      </w:r>
      <w:r w:rsidR="00337E86" w:rsidRPr="00337E86">
        <w:rPr>
          <w:lang w:val="ru-RU"/>
        </w:rPr>
        <w:t xml:space="preserve"> </w:t>
      </w:r>
      <w:r w:rsidR="00337E86" w:rsidRPr="006A7CC0">
        <w:t>C</w:t>
      </w:r>
      <w:r w:rsidR="00337E86" w:rsidRPr="00337E86">
        <w:rPr>
          <w:lang w:val="ru-RU"/>
        </w:rPr>
        <w:t>21/49</w:t>
      </w:r>
      <w:r w:rsidR="00337E86">
        <w:rPr>
          <w:lang w:val="ru-RU"/>
        </w:rPr>
        <w:t xml:space="preserve">). Исключительная важность соответствующих видов деятельности и необходимость определения ресурсов для их осуществления также признается в следующих документах: </w:t>
      </w:r>
    </w:p>
    <w:p w14:paraId="0E6C0785" w14:textId="3E6EA043" w:rsidR="00337E86" w:rsidRPr="00C359E5" w:rsidRDefault="006A7CC0" w:rsidP="006A7CC0">
      <w:pPr>
        <w:pStyle w:val="enumlev1"/>
        <w:rPr>
          <w:lang w:val="ru-RU"/>
        </w:rPr>
      </w:pPr>
      <w:r w:rsidRPr="00337E86">
        <w:rPr>
          <w:lang w:val="ru-RU"/>
        </w:rPr>
        <w:t>1)</w:t>
      </w:r>
      <w:r w:rsidRPr="00337E86">
        <w:rPr>
          <w:lang w:val="ru-RU"/>
        </w:rPr>
        <w:tab/>
      </w:r>
      <w:r w:rsidR="00302442" w:rsidRPr="00CC0B61">
        <w:rPr>
          <w:b/>
          <w:bCs/>
          <w:lang w:val="ru-RU"/>
        </w:rPr>
        <w:t xml:space="preserve">Рекомендации </w:t>
      </w:r>
      <w:r w:rsidR="0088535C" w:rsidRPr="006A7CC0">
        <w:rPr>
          <w:b/>
          <w:bCs/>
        </w:rPr>
        <w:t>PWC</w:t>
      </w:r>
      <w:r w:rsidR="00337E86" w:rsidRPr="00CC0B61">
        <w:rPr>
          <w:b/>
          <w:bCs/>
          <w:lang w:val="ru-RU"/>
        </w:rPr>
        <w:t xml:space="preserve"> по итогам судебно-бухгалтерской </w:t>
      </w:r>
      <w:r w:rsidR="00337E86" w:rsidRPr="00302442">
        <w:rPr>
          <w:b/>
          <w:bCs/>
          <w:lang w:val="ru-RU"/>
        </w:rPr>
        <w:t>экспертизы</w:t>
      </w:r>
      <w:r w:rsidR="00302442" w:rsidRPr="00302442">
        <w:rPr>
          <w:lang w:val="ru-RU"/>
        </w:rPr>
        <w:t xml:space="preserve"> в Документе </w:t>
      </w:r>
      <w:r w:rsidR="00302442" w:rsidRPr="00302442">
        <w:t>CWG</w:t>
      </w:r>
      <w:r w:rsidR="00302442" w:rsidRPr="00302442">
        <w:rPr>
          <w:lang w:val="ru-RU"/>
        </w:rPr>
        <w:t>-</w:t>
      </w:r>
      <w:r w:rsidR="00302442" w:rsidRPr="00302442">
        <w:t>FHR</w:t>
      </w:r>
      <w:r w:rsidR="00302442" w:rsidRPr="00302442">
        <w:rPr>
          <w:lang w:val="ru-RU"/>
        </w:rPr>
        <w:t>-14/11</w:t>
      </w:r>
      <w:r w:rsidR="00787FAA" w:rsidRPr="001474C2">
        <w:rPr>
          <w:lang w:val="ru-RU"/>
        </w:rPr>
        <w:t xml:space="preserve">. </w:t>
      </w:r>
      <w:r w:rsidR="00787FAA">
        <w:rPr>
          <w:lang w:val="ru-RU"/>
        </w:rPr>
        <w:t>Пункт 4.11 "</w:t>
      </w:r>
      <w:r w:rsidR="00C359E5">
        <w:rPr>
          <w:lang w:val="ru-RU"/>
        </w:rPr>
        <w:t>Готовность к судебно-бухгалтерск</w:t>
      </w:r>
      <w:r w:rsidR="00145BB6">
        <w:rPr>
          <w:lang w:val="ru-RU"/>
        </w:rPr>
        <w:t>им</w:t>
      </w:r>
      <w:r w:rsidR="00C359E5">
        <w:rPr>
          <w:lang w:val="ru-RU"/>
        </w:rPr>
        <w:t xml:space="preserve"> </w:t>
      </w:r>
      <w:r w:rsidR="00145BB6">
        <w:rPr>
          <w:lang w:val="ru-RU"/>
        </w:rPr>
        <w:t>расследованиям</w:t>
      </w:r>
      <w:r w:rsidR="00C359E5">
        <w:rPr>
          <w:lang w:val="ru-RU"/>
        </w:rPr>
        <w:t xml:space="preserve"> и управление данными" и восемь рекомендаций</w:t>
      </w:r>
      <w:r w:rsidR="00183DED">
        <w:rPr>
          <w:lang w:val="ru-RU"/>
        </w:rPr>
        <w:t>, 62</w:t>
      </w:r>
      <w:r w:rsidR="00C359E5">
        <w:rPr>
          <w:lang w:val="ru-RU"/>
        </w:rPr>
        <w:t xml:space="preserve">–69, в Примечании Секретариата </w:t>
      </w:r>
      <w:r w:rsidR="00C359E5" w:rsidRPr="00C359E5">
        <w:rPr>
          <w:lang w:val="ru-RU"/>
        </w:rPr>
        <w:t>(</w:t>
      </w:r>
      <w:r w:rsidR="001268E0">
        <w:rPr>
          <w:lang w:val="ru-RU"/>
        </w:rPr>
        <w:t xml:space="preserve">Документ </w:t>
      </w:r>
      <w:r w:rsidR="00C359E5" w:rsidRPr="006A7CC0">
        <w:t>CWG</w:t>
      </w:r>
      <w:r w:rsidR="00C359E5" w:rsidRPr="00C359E5">
        <w:rPr>
          <w:lang w:val="ru-RU"/>
        </w:rPr>
        <w:t>-</w:t>
      </w:r>
      <w:r w:rsidR="00C359E5" w:rsidRPr="006A7CC0">
        <w:t>FHR</w:t>
      </w:r>
      <w:r w:rsidR="00C359E5" w:rsidRPr="00C359E5">
        <w:rPr>
          <w:lang w:val="ru-RU"/>
        </w:rPr>
        <w:t>-14/9)</w:t>
      </w:r>
      <w:r w:rsidR="00C359E5">
        <w:rPr>
          <w:lang w:val="ru-RU"/>
        </w:rPr>
        <w:t xml:space="preserve">; </w:t>
      </w:r>
    </w:p>
    <w:p w14:paraId="7DF1EAD3" w14:textId="642F9FD6" w:rsidR="00380E7F" w:rsidRPr="00380E7F" w:rsidRDefault="006A7CC0" w:rsidP="006A7CC0">
      <w:pPr>
        <w:pStyle w:val="enumlev1"/>
        <w:rPr>
          <w:lang w:val="ru-RU"/>
        </w:rPr>
      </w:pPr>
      <w:r w:rsidRPr="00380E7F">
        <w:rPr>
          <w:lang w:val="ru-RU"/>
        </w:rPr>
        <w:t>2)</w:t>
      </w:r>
      <w:r w:rsidRPr="00380E7F">
        <w:rPr>
          <w:lang w:val="ru-RU"/>
        </w:rPr>
        <w:tab/>
      </w:r>
      <w:r w:rsidR="00380E7F" w:rsidRPr="00380E7F">
        <w:rPr>
          <w:b/>
          <w:bCs/>
          <w:lang w:val="ru-RU"/>
        </w:rPr>
        <w:t>Рекомендации ОИГ в проекте письма руководству</w:t>
      </w:r>
      <w:r w:rsidR="00380E7F">
        <w:rPr>
          <w:lang w:val="ru-RU"/>
        </w:rPr>
        <w:t xml:space="preserve"> </w:t>
      </w:r>
      <w:r w:rsidR="00380E7F" w:rsidRPr="00380E7F">
        <w:rPr>
          <w:i/>
          <w:lang w:val="ru-RU"/>
        </w:rPr>
        <w:t>об обеспечении сохранности документов, записей и архивов организаций системы ООН</w:t>
      </w:r>
      <w:r w:rsidR="00AB1F11">
        <w:rPr>
          <w:lang w:val="ru-RU"/>
        </w:rPr>
        <w:t>, представленном в Приложении</w:t>
      </w:r>
      <w:r w:rsidR="00380E7F">
        <w:rPr>
          <w:lang w:val="ru-RU"/>
        </w:rPr>
        <w:t xml:space="preserve"> к Документу </w:t>
      </w:r>
      <w:r w:rsidR="00380E7F" w:rsidRPr="006A7CC0">
        <w:t>CWG</w:t>
      </w:r>
      <w:r w:rsidR="00380E7F" w:rsidRPr="00380E7F">
        <w:rPr>
          <w:lang w:val="ru-RU"/>
        </w:rPr>
        <w:t>-</w:t>
      </w:r>
      <w:r w:rsidR="00380E7F" w:rsidRPr="006A7CC0">
        <w:t>FHR</w:t>
      </w:r>
      <w:r w:rsidR="00380E7F" w:rsidRPr="00380E7F">
        <w:rPr>
          <w:lang w:val="ru-RU"/>
        </w:rPr>
        <w:t>-14/10;</w:t>
      </w:r>
      <w:r w:rsidR="00380E7F">
        <w:rPr>
          <w:lang w:val="ru-RU"/>
        </w:rPr>
        <w:t xml:space="preserve"> </w:t>
      </w:r>
    </w:p>
    <w:p w14:paraId="0BE616B4" w14:textId="402A9954" w:rsidR="00D44570" w:rsidRPr="007306A4" w:rsidRDefault="006A7CC0" w:rsidP="006A7CC0">
      <w:pPr>
        <w:pStyle w:val="enumlev1"/>
        <w:rPr>
          <w:lang w:val="ru-RU"/>
        </w:rPr>
      </w:pPr>
      <w:r w:rsidRPr="001851F8">
        <w:rPr>
          <w:lang w:val="ru-RU"/>
        </w:rPr>
        <w:t>3)</w:t>
      </w:r>
      <w:r w:rsidRPr="001851F8">
        <w:rPr>
          <w:lang w:val="ru-RU"/>
        </w:rPr>
        <w:tab/>
      </w:r>
      <w:r w:rsidR="001851F8" w:rsidRPr="001851F8">
        <w:rPr>
          <w:b/>
          <w:lang w:val="ru-RU"/>
        </w:rPr>
        <w:t>Предложение по укреплению системы подотчетности МСЭ</w:t>
      </w:r>
      <w:r w:rsidR="001851F8">
        <w:rPr>
          <w:lang w:val="ru-RU"/>
        </w:rPr>
        <w:t xml:space="preserve"> за счет внедрения системы управления и соблюдения требований</w:t>
      </w:r>
      <w:r w:rsidR="001851F8" w:rsidRPr="001851F8">
        <w:rPr>
          <w:lang w:val="ru-RU"/>
        </w:rPr>
        <w:t xml:space="preserve"> </w:t>
      </w:r>
      <w:r w:rsidR="007306A4">
        <w:rPr>
          <w:lang w:val="ru-RU"/>
        </w:rPr>
        <w:t xml:space="preserve">в </w:t>
      </w:r>
      <w:r w:rsidR="00785B6F">
        <w:rPr>
          <w:lang w:val="ru-RU"/>
        </w:rPr>
        <w:t>области</w:t>
      </w:r>
      <w:r w:rsidR="001851F8">
        <w:rPr>
          <w:lang w:val="ru-RU"/>
        </w:rPr>
        <w:t xml:space="preserve"> цифровы</w:t>
      </w:r>
      <w:r w:rsidR="007306A4">
        <w:rPr>
          <w:lang w:val="ru-RU"/>
        </w:rPr>
        <w:t>х</w:t>
      </w:r>
      <w:r w:rsidR="001851F8">
        <w:rPr>
          <w:lang w:val="ru-RU"/>
        </w:rPr>
        <w:t xml:space="preserve"> актив</w:t>
      </w:r>
      <w:r w:rsidR="007306A4">
        <w:rPr>
          <w:lang w:val="ru-RU"/>
        </w:rPr>
        <w:t xml:space="preserve">ов, представленное в </w:t>
      </w:r>
      <w:r w:rsidR="00785B6F">
        <w:rPr>
          <w:lang w:val="ru-RU"/>
        </w:rPr>
        <w:t xml:space="preserve">Документах </w:t>
      </w:r>
      <w:r w:rsidR="007306A4" w:rsidRPr="006A7CC0">
        <w:t>CWG</w:t>
      </w:r>
      <w:r w:rsidR="007306A4" w:rsidRPr="007306A4">
        <w:rPr>
          <w:lang w:val="ru-RU"/>
        </w:rPr>
        <w:t>-</w:t>
      </w:r>
      <w:r w:rsidR="007306A4" w:rsidRPr="006A7CC0">
        <w:t>FHR</w:t>
      </w:r>
      <w:r w:rsidR="007306A4" w:rsidRPr="007306A4">
        <w:rPr>
          <w:lang w:val="ru-RU"/>
        </w:rPr>
        <w:t>-14/2</w:t>
      </w:r>
      <w:r w:rsidR="007306A4">
        <w:rPr>
          <w:lang w:val="ru-RU"/>
        </w:rPr>
        <w:t xml:space="preserve"> и </w:t>
      </w:r>
      <w:r w:rsidR="007306A4" w:rsidRPr="006A7CC0">
        <w:t>CWG</w:t>
      </w:r>
      <w:r w:rsidR="007306A4" w:rsidRPr="007306A4">
        <w:rPr>
          <w:lang w:val="ru-RU"/>
        </w:rPr>
        <w:noBreakHyphen/>
      </w:r>
      <w:r w:rsidR="007306A4" w:rsidRPr="006A7CC0">
        <w:t>FHR</w:t>
      </w:r>
      <w:r w:rsidR="007306A4" w:rsidRPr="007306A4">
        <w:rPr>
          <w:lang w:val="ru-RU"/>
        </w:rPr>
        <w:t>-14/</w:t>
      </w:r>
      <w:r w:rsidR="007306A4" w:rsidRPr="006A7CC0">
        <w:t>INF</w:t>
      </w:r>
      <w:r w:rsidR="007306A4" w:rsidRPr="007306A4">
        <w:rPr>
          <w:lang w:val="ru-RU"/>
        </w:rPr>
        <w:t>-1</w:t>
      </w:r>
      <w:r w:rsidR="007306A4">
        <w:rPr>
          <w:lang w:val="ru-RU"/>
        </w:rPr>
        <w:t xml:space="preserve">; </w:t>
      </w:r>
    </w:p>
    <w:p w14:paraId="796D92F7" w14:textId="7F4A9C86" w:rsidR="007306A4" w:rsidRPr="007306A4" w:rsidRDefault="006A7CC0" w:rsidP="006A7CC0">
      <w:pPr>
        <w:pStyle w:val="enumlev1"/>
        <w:rPr>
          <w:lang w:val="ru-RU"/>
        </w:rPr>
      </w:pPr>
      <w:r w:rsidRPr="007306A4">
        <w:rPr>
          <w:lang w:val="ru-RU"/>
        </w:rPr>
        <w:t>4)</w:t>
      </w:r>
      <w:r w:rsidRPr="007306A4">
        <w:rPr>
          <w:lang w:val="ru-RU"/>
        </w:rPr>
        <w:tab/>
      </w:r>
      <w:r w:rsidR="007306A4" w:rsidRPr="007306A4">
        <w:rPr>
          <w:b/>
          <w:lang w:val="ru-RU"/>
        </w:rPr>
        <w:t xml:space="preserve">Утвержденные Советом-21 результаты </w:t>
      </w:r>
      <w:r w:rsidR="007825DC">
        <w:rPr>
          <w:b/>
          <w:lang w:val="ru-RU"/>
        </w:rPr>
        <w:t>проекта</w:t>
      </w:r>
      <w:r w:rsidR="007306A4" w:rsidRPr="007306A4">
        <w:rPr>
          <w:b/>
          <w:lang w:val="ru-RU"/>
        </w:rPr>
        <w:t xml:space="preserve"> </w:t>
      </w:r>
      <w:r w:rsidR="007306A4" w:rsidRPr="007306A4">
        <w:rPr>
          <w:b/>
          <w:bCs/>
        </w:rPr>
        <w:t>ORMS</w:t>
      </w:r>
      <w:r w:rsidR="007306A4" w:rsidRPr="007306A4">
        <w:rPr>
          <w:bCs/>
          <w:lang w:val="ru-RU"/>
        </w:rPr>
        <w:t xml:space="preserve">, представленные в Документе </w:t>
      </w:r>
      <w:r w:rsidR="007306A4" w:rsidRPr="006A7CC0">
        <w:t>C</w:t>
      </w:r>
      <w:r w:rsidR="007306A4" w:rsidRPr="007306A4">
        <w:rPr>
          <w:lang w:val="ru-RU"/>
        </w:rPr>
        <w:t>21/15</w:t>
      </w:r>
      <w:r w:rsidR="007306A4">
        <w:rPr>
          <w:lang w:val="ru-RU"/>
        </w:rPr>
        <w:t xml:space="preserve">; </w:t>
      </w:r>
    </w:p>
    <w:p w14:paraId="672492CD" w14:textId="5F8B78F4" w:rsidR="00E91684" w:rsidRDefault="006A7CC0" w:rsidP="00FD7FB2">
      <w:pPr>
        <w:pStyle w:val="enumlev1"/>
        <w:rPr>
          <w:lang w:val="ru-RU"/>
        </w:rPr>
      </w:pPr>
      <w:r w:rsidRPr="00163340">
        <w:rPr>
          <w:lang w:val="ru-RU"/>
        </w:rPr>
        <w:t>5)</w:t>
      </w:r>
      <w:r w:rsidRPr="00163340">
        <w:rPr>
          <w:lang w:val="ru-RU"/>
        </w:rPr>
        <w:tab/>
      </w:r>
      <w:r w:rsidR="00163340" w:rsidRPr="00163340">
        <w:rPr>
          <w:b/>
          <w:lang w:val="ru-RU"/>
        </w:rPr>
        <w:t xml:space="preserve">Уроки, извлеченные </w:t>
      </w:r>
      <w:r w:rsidR="006326FA">
        <w:rPr>
          <w:b/>
          <w:lang w:val="ru-RU"/>
        </w:rPr>
        <w:t>из</w:t>
      </w:r>
      <w:r w:rsidR="00163340" w:rsidRPr="00163340">
        <w:rPr>
          <w:b/>
          <w:lang w:val="ru-RU"/>
        </w:rPr>
        <w:t xml:space="preserve"> ограничени</w:t>
      </w:r>
      <w:r w:rsidR="006326FA">
        <w:rPr>
          <w:b/>
          <w:lang w:val="ru-RU"/>
        </w:rPr>
        <w:t xml:space="preserve">й </w:t>
      </w:r>
      <w:r w:rsidR="00163340" w:rsidRPr="00163340">
        <w:rPr>
          <w:b/>
          <w:lang w:val="ru-RU"/>
        </w:rPr>
        <w:t>в условия</w:t>
      </w:r>
      <w:r w:rsidR="00163340">
        <w:rPr>
          <w:b/>
          <w:lang w:val="ru-RU"/>
        </w:rPr>
        <w:t>х</w:t>
      </w:r>
      <w:r w:rsidR="00163340" w:rsidRPr="00163340">
        <w:rPr>
          <w:b/>
          <w:lang w:val="ru-RU"/>
        </w:rPr>
        <w:t xml:space="preserve"> пандемии</w:t>
      </w:r>
      <w:r w:rsidR="00163340" w:rsidRPr="00163340">
        <w:rPr>
          <w:b/>
          <w:bCs/>
          <w:lang w:val="ru-RU"/>
        </w:rPr>
        <w:t xml:space="preserve"> </w:t>
      </w:r>
      <w:r w:rsidR="00163340" w:rsidRPr="00163340">
        <w:rPr>
          <w:b/>
          <w:bCs/>
        </w:rPr>
        <w:t>COVID</w:t>
      </w:r>
      <w:r w:rsidR="00163340" w:rsidRPr="00163340">
        <w:rPr>
          <w:b/>
          <w:bCs/>
          <w:lang w:val="ru-RU"/>
        </w:rPr>
        <w:t>-19</w:t>
      </w:r>
      <w:r w:rsidR="00163340" w:rsidRPr="001474C2">
        <w:rPr>
          <w:lang w:val="ru-RU"/>
        </w:rPr>
        <w:t xml:space="preserve">, </w:t>
      </w:r>
      <w:r w:rsidR="00163340" w:rsidRPr="00163340">
        <w:rPr>
          <w:bCs/>
          <w:lang w:val="ru-RU"/>
        </w:rPr>
        <w:t xml:space="preserve">относительно </w:t>
      </w:r>
      <w:r w:rsidR="00163340">
        <w:rPr>
          <w:bCs/>
          <w:lang w:val="ru-RU"/>
        </w:rPr>
        <w:t>широкого использования</w:t>
      </w:r>
      <w:r w:rsidR="00785B6F">
        <w:rPr>
          <w:bCs/>
          <w:lang w:val="ru-RU"/>
        </w:rPr>
        <w:t xml:space="preserve"> практики</w:t>
      </w:r>
      <w:r w:rsidR="00163340">
        <w:rPr>
          <w:bCs/>
          <w:lang w:val="ru-RU"/>
        </w:rPr>
        <w:t xml:space="preserve"> </w:t>
      </w:r>
      <w:r w:rsidR="00163340" w:rsidRPr="00163340">
        <w:rPr>
          <w:bCs/>
          <w:lang w:val="ru-RU"/>
        </w:rPr>
        <w:t>удаленной работы и виртуальных собраний</w:t>
      </w:r>
      <w:r w:rsidR="00163340">
        <w:rPr>
          <w:bCs/>
          <w:lang w:val="ru-RU"/>
        </w:rPr>
        <w:t xml:space="preserve"> на основе надежных и поддающихся проверке цифровых процессов</w:t>
      </w:r>
      <w:r w:rsidRPr="00FD7FB2">
        <w:rPr>
          <w:lang w:val="ru-RU"/>
        </w:rPr>
        <w:t xml:space="preserve"> (</w:t>
      </w:r>
      <w:r w:rsidR="001714F6">
        <w:rPr>
          <w:lang w:val="ru-RU"/>
        </w:rPr>
        <w:t>Документы</w:t>
      </w:r>
      <w:r w:rsidRPr="006A7CC0">
        <w:t> C</w:t>
      </w:r>
      <w:r w:rsidRPr="00FD7FB2">
        <w:rPr>
          <w:lang w:val="ru-RU"/>
        </w:rPr>
        <w:t xml:space="preserve">21/74 </w:t>
      </w:r>
      <w:r w:rsidR="001714F6">
        <w:rPr>
          <w:lang w:val="ru-RU"/>
        </w:rPr>
        <w:t>и</w:t>
      </w:r>
      <w:r w:rsidRPr="00FD7FB2">
        <w:rPr>
          <w:lang w:val="ru-RU"/>
        </w:rPr>
        <w:t xml:space="preserve"> </w:t>
      </w:r>
      <w:r w:rsidRPr="006A7CC0">
        <w:t>C</w:t>
      </w:r>
      <w:r w:rsidRPr="00FD7FB2">
        <w:rPr>
          <w:lang w:val="ru-RU"/>
        </w:rPr>
        <w:t>20/13(</w:t>
      </w:r>
      <w:r w:rsidRPr="006A7CC0">
        <w:t>Rev</w:t>
      </w:r>
      <w:r w:rsidRPr="00FD7FB2">
        <w:rPr>
          <w:lang w:val="ru-RU"/>
        </w:rPr>
        <w:t xml:space="preserve">.1)). </w:t>
      </w:r>
      <w:r w:rsidR="00E91684">
        <w:rPr>
          <w:lang w:val="ru-RU"/>
        </w:rPr>
        <w:t>Потребность в надежных цифровых процессах сохранится в период перемещения персонала, связанного со строительством нового здания МСЭ.</w:t>
      </w:r>
    </w:p>
    <w:p w14:paraId="5AE767D7" w14:textId="2C0AF772" w:rsidR="00787B49" w:rsidRPr="00C941E8" w:rsidRDefault="006A7CC0" w:rsidP="006A7CC0">
      <w:pPr>
        <w:rPr>
          <w:lang w:val="ru-RU"/>
        </w:rPr>
      </w:pPr>
      <w:r w:rsidRPr="00787B49">
        <w:rPr>
          <w:lang w:val="ru-RU"/>
        </w:rPr>
        <w:t>3.2</w:t>
      </w:r>
      <w:r w:rsidRPr="00787B49">
        <w:rPr>
          <w:lang w:val="ru-RU"/>
        </w:rPr>
        <w:tab/>
      </w:r>
      <w:r w:rsidR="00787B49">
        <w:rPr>
          <w:lang w:val="ru-RU"/>
        </w:rPr>
        <w:t xml:space="preserve">Секретариат просил </w:t>
      </w:r>
      <w:r w:rsidR="00787B49" w:rsidRPr="00C22779">
        <w:rPr>
          <w:szCs w:val="22"/>
          <w:lang w:val="ru-RU"/>
        </w:rPr>
        <w:t>РГС-ФЛР</w:t>
      </w:r>
      <w:r w:rsidR="00787B49">
        <w:rPr>
          <w:szCs w:val="22"/>
          <w:lang w:val="ru-RU"/>
        </w:rPr>
        <w:t xml:space="preserve"> </w:t>
      </w:r>
      <w:r w:rsidR="00C941E8">
        <w:rPr>
          <w:szCs w:val="22"/>
          <w:lang w:val="ru-RU"/>
        </w:rPr>
        <w:t>представить</w:t>
      </w:r>
      <w:r w:rsidR="00787B49">
        <w:rPr>
          <w:szCs w:val="22"/>
          <w:lang w:val="ru-RU"/>
        </w:rPr>
        <w:t xml:space="preserve"> </w:t>
      </w:r>
      <w:r w:rsidR="00C941E8">
        <w:rPr>
          <w:szCs w:val="22"/>
          <w:lang w:val="ru-RU"/>
        </w:rPr>
        <w:t>рекомендации</w:t>
      </w:r>
      <w:r w:rsidR="00787B49">
        <w:rPr>
          <w:szCs w:val="22"/>
          <w:lang w:val="ru-RU"/>
        </w:rPr>
        <w:t xml:space="preserve"> относительно </w:t>
      </w:r>
      <w:r w:rsidR="00C941E8">
        <w:rPr>
          <w:szCs w:val="22"/>
          <w:lang w:val="ru-RU"/>
        </w:rPr>
        <w:t xml:space="preserve">механизмов финансирования, </w:t>
      </w:r>
      <w:r w:rsidR="00785B6F">
        <w:rPr>
          <w:szCs w:val="22"/>
          <w:lang w:val="ru-RU"/>
        </w:rPr>
        <w:t>которые позволили бы</w:t>
      </w:r>
      <w:r w:rsidR="00C941E8">
        <w:rPr>
          <w:szCs w:val="22"/>
          <w:lang w:val="ru-RU"/>
        </w:rPr>
        <w:t xml:space="preserve"> сни</w:t>
      </w:r>
      <w:r w:rsidR="00785B6F">
        <w:rPr>
          <w:szCs w:val="22"/>
          <w:lang w:val="ru-RU"/>
        </w:rPr>
        <w:t>зить риски</w:t>
      </w:r>
      <w:r w:rsidR="00C941E8">
        <w:rPr>
          <w:szCs w:val="22"/>
          <w:lang w:val="ru-RU"/>
        </w:rPr>
        <w:t xml:space="preserve"> и све</w:t>
      </w:r>
      <w:r w:rsidR="00785B6F">
        <w:rPr>
          <w:szCs w:val="22"/>
          <w:lang w:val="ru-RU"/>
        </w:rPr>
        <w:t>сти</w:t>
      </w:r>
      <w:r w:rsidR="00C941E8">
        <w:rPr>
          <w:szCs w:val="22"/>
          <w:lang w:val="ru-RU"/>
        </w:rPr>
        <w:t xml:space="preserve"> к минимуму количеств</w:t>
      </w:r>
      <w:r w:rsidR="00785B6F">
        <w:rPr>
          <w:szCs w:val="22"/>
          <w:lang w:val="ru-RU"/>
        </w:rPr>
        <w:t>о</w:t>
      </w:r>
      <w:r w:rsidR="00C941E8">
        <w:rPr>
          <w:szCs w:val="22"/>
          <w:lang w:val="ru-RU"/>
        </w:rPr>
        <w:t xml:space="preserve"> перебоев в работе МСЭ. Секретариат подчеркнул, что данный вид деятельности будет рассчитан на несколько лет </w:t>
      </w:r>
      <w:r w:rsidR="00C941E8" w:rsidRPr="00C941E8">
        <w:rPr>
          <w:lang w:val="ru-RU"/>
        </w:rPr>
        <w:t>(2021−2027</w:t>
      </w:r>
      <w:r w:rsidR="00C941E8">
        <w:rPr>
          <w:lang w:val="ru-RU"/>
        </w:rPr>
        <w:t> гг.</w:t>
      </w:r>
      <w:r w:rsidR="00C941E8" w:rsidRPr="00C941E8">
        <w:rPr>
          <w:lang w:val="ru-RU"/>
        </w:rPr>
        <w:t>)</w:t>
      </w:r>
      <w:r w:rsidR="00C941E8">
        <w:rPr>
          <w:lang w:val="ru-RU"/>
        </w:rPr>
        <w:t>.</w:t>
      </w:r>
    </w:p>
    <w:p w14:paraId="75D7636E" w14:textId="075137B3" w:rsidR="00C941E8" w:rsidRPr="00C941E8" w:rsidRDefault="006A7CC0" w:rsidP="006A7CC0">
      <w:pPr>
        <w:rPr>
          <w:lang w:val="ru-RU"/>
        </w:rPr>
      </w:pPr>
      <w:r w:rsidRPr="00C941E8">
        <w:rPr>
          <w:lang w:val="ru-RU"/>
        </w:rPr>
        <w:t>3.3</w:t>
      </w:r>
      <w:r w:rsidRPr="00C941E8">
        <w:rPr>
          <w:lang w:val="ru-RU"/>
        </w:rPr>
        <w:tab/>
      </w:r>
      <w:r w:rsidR="00C941E8">
        <w:rPr>
          <w:lang w:val="ru-RU"/>
        </w:rPr>
        <w:t xml:space="preserve">Делегаты признали исключительную важность и стратегическое значение соответствующей деятельности, а также необходимость </w:t>
      </w:r>
      <w:r w:rsidR="00532F5A">
        <w:rPr>
          <w:lang w:val="ru-RU"/>
        </w:rPr>
        <w:t>предоставить</w:t>
      </w:r>
      <w:r w:rsidR="00C941E8">
        <w:rPr>
          <w:lang w:val="ru-RU"/>
        </w:rPr>
        <w:t xml:space="preserve"> долгосрочное и стабильное финансирование в целях </w:t>
      </w:r>
      <w:r w:rsidR="00180A32">
        <w:rPr>
          <w:lang w:val="ru-RU"/>
        </w:rPr>
        <w:t xml:space="preserve">осуществления мер по обеспечению </w:t>
      </w:r>
      <w:r w:rsidR="00180A32" w:rsidRPr="00337E86">
        <w:rPr>
          <w:lang w:val="ru-RU"/>
        </w:rPr>
        <w:t xml:space="preserve">непрерывности деятельности </w:t>
      </w:r>
      <w:r w:rsidR="00180A32">
        <w:rPr>
          <w:lang w:val="ru-RU"/>
        </w:rPr>
        <w:t>и</w:t>
      </w:r>
      <w:r w:rsidR="00180A32" w:rsidRPr="00337E86">
        <w:rPr>
          <w:lang w:val="ru-RU"/>
        </w:rPr>
        <w:t xml:space="preserve"> управлени</w:t>
      </w:r>
      <w:r w:rsidR="00180A32">
        <w:rPr>
          <w:lang w:val="ru-RU"/>
        </w:rPr>
        <w:t>ю</w:t>
      </w:r>
      <w:r w:rsidR="00180A32" w:rsidRPr="00337E86">
        <w:rPr>
          <w:lang w:val="ru-RU"/>
        </w:rPr>
        <w:t xml:space="preserve"> информацией</w:t>
      </w:r>
      <w:r w:rsidR="00180A32">
        <w:rPr>
          <w:lang w:val="ru-RU"/>
        </w:rPr>
        <w:t>.</w:t>
      </w:r>
    </w:p>
    <w:p w14:paraId="6931F7F5" w14:textId="6246B6F0" w:rsidR="00441704" w:rsidRPr="00441704" w:rsidRDefault="006A7CC0" w:rsidP="006A7CC0">
      <w:pPr>
        <w:rPr>
          <w:lang w:val="ru-RU"/>
        </w:rPr>
      </w:pPr>
      <w:r w:rsidRPr="008C0862">
        <w:rPr>
          <w:lang w:val="ru-RU"/>
        </w:rPr>
        <w:t>3.4</w:t>
      </w:r>
      <w:r w:rsidRPr="008C0862">
        <w:rPr>
          <w:lang w:val="ru-RU"/>
        </w:rPr>
        <w:tab/>
      </w:r>
      <w:r w:rsidR="008C0862">
        <w:rPr>
          <w:lang w:val="ru-RU"/>
        </w:rPr>
        <w:t xml:space="preserve">Некоторые делегаты поинтересовались, будет ли достаточной сумма в 13 млн. </w:t>
      </w:r>
      <w:r w:rsidR="008C0862" w:rsidRPr="008C0862">
        <w:rPr>
          <w:lang w:val="ru-RU"/>
        </w:rPr>
        <w:t>швейцарских франков</w:t>
      </w:r>
      <w:r w:rsidR="008C0862">
        <w:rPr>
          <w:lang w:val="ru-RU"/>
        </w:rPr>
        <w:t xml:space="preserve">, </w:t>
      </w:r>
      <w:r w:rsidR="00426CF4">
        <w:rPr>
          <w:lang w:val="ru-RU"/>
        </w:rPr>
        <w:t>требующаяся</w:t>
      </w:r>
      <w:r w:rsidR="008C0862">
        <w:rPr>
          <w:lang w:val="ru-RU"/>
        </w:rPr>
        <w:t xml:space="preserve"> для вида деятельности "</w:t>
      </w:r>
      <w:r w:rsidR="00145BB6" w:rsidRPr="00337E86">
        <w:rPr>
          <w:lang w:val="ru-RU"/>
        </w:rPr>
        <w:t xml:space="preserve">Обеспечение непрерывности деятельности </w:t>
      </w:r>
      <w:r w:rsidR="00145BB6">
        <w:rPr>
          <w:lang w:val="ru-RU"/>
        </w:rPr>
        <w:t>–</w:t>
      </w:r>
      <w:r w:rsidR="00145BB6" w:rsidRPr="00337E86">
        <w:rPr>
          <w:lang w:val="ru-RU"/>
        </w:rPr>
        <w:t xml:space="preserve"> управление информацией</w:t>
      </w:r>
      <w:r w:rsidR="00145BB6">
        <w:rPr>
          <w:lang w:val="ru-RU"/>
        </w:rPr>
        <w:t xml:space="preserve">", чтобы выполнить рекомендации </w:t>
      </w:r>
      <w:r w:rsidR="00145BB6">
        <w:rPr>
          <w:lang w:val="en-US"/>
        </w:rPr>
        <w:t>PWC</w:t>
      </w:r>
      <w:r w:rsidR="00145BB6" w:rsidRPr="00145BB6">
        <w:rPr>
          <w:lang w:val="ru-RU"/>
        </w:rPr>
        <w:t xml:space="preserve"> </w:t>
      </w:r>
      <w:r w:rsidR="00145BB6">
        <w:rPr>
          <w:lang w:val="ru-RU"/>
        </w:rPr>
        <w:t xml:space="preserve">в отношении </w:t>
      </w:r>
      <w:r w:rsidR="00145BB6" w:rsidRPr="00145BB6">
        <w:rPr>
          <w:i/>
          <w:lang w:val="ru-RU"/>
        </w:rPr>
        <w:t>готовности к судебно-бухгалтерским расследованиям и управления данными</w:t>
      </w:r>
      <w:r w:rsidR="00145BB6" w:rsidRPr="00532F5A">
        <w:rPr>
          <w:lang w:val="ru-RU"/>
        </w:rPr>
        <w:t>.</w:t>
      </w:r>
      <w:r w:rsidR="00620DE8" w:rsidRPr="00532F5A">
        <w:rPr>
          <w:lang w:val="ru-RU"/>
        </w:rPr>
        <w:t xml:space="preserve"> Один из делегатов спросил, означает ли оговорка, упомянутая в Примечании Секретариата (Приложение 1 к Документу </w:t>
      </w:r>
      <w:r w:rsidR="00620DE8" w:rsidRPr="00532F5A">
        <w:t>CWG</w:t>
      </w:r>
      <w:r w:rsidR="00620DE8" w:rsidRPr="00532F5A">
        <w:rPr>
          <w:lang w:val="ru-RU"/>
        </w:rPr>
        <w:t>-</w:t>
      </w:r>
      <w:r w:rsidR="00620DE8" w:rsidRPr="00532F5A">
        <w:lastRenderedPageBreak/>
        <w:t>FHR</w:t>
      </w:r>
      <w:r w:rsidR="00620DE8" w:rsidRPr="00532F5A">
        <w:rPr>
          <w:lang w:val="ru-RU"/>
        </w:rPr>
        <w:t xml:space="preserve">-14/9), что условием выполнения рекомендаций 62−69 отчета </w:t>
      </w:r>
      <w:r w:rsidR="00620DE8" w:rsidRPr="00532F5A">
        <w:rPr>
          <w:lang w:val="en-US"/>
        </w:rPr>
        <w:t>PWC</w:t>
      </w:r>
      <w:r w:rsidR="00620DE8" w:rsidRPr="00532F5A">
        <w:rPr>
          <w:lang w:val="ru-RU"/>
        </w:rPr>
        <w:t xml:space="preserve"> станет наличие ресурсов на осуществление вида деятельности по обеспечению непрерывности деятельности и управлению информацией.</w:t>
      </w:r>
      <w:r w:rsidR="00F12674">
        <w:rPr>
          <w:lang w:val="ru-RU"/>
        </w:rPr>
        <w:t xml:space="preserve"> Секретариат подтвердил, что он </w:t>
      </w:r>
      <w:r w:rsidR="00C661F5">
        <w:rPr>
          <w:lang w:val="ru-RU"/>
        </w:rPr>
        <w:t xml:space="preserve">заранее </w:t>
      </w:r>
      <w:r w:rsidR="006E4384">
        <w:rPr>
          <w:lang w:val="ru-RU"/>
        </w:rPr>
        <w:t>предусмотрел</w:t>
      </w:r>
      <w:r w:rsidR="00F12674">
        <w:rPr>
          <w:lang w:val="ru-RU"/>
        </w:rPr>
        <w:t xml:space="preserve"> требования </w:t>
      </w:r>
      <w:r w:rsidR="00F12674">
        <w:rPr>
          <w:lang w:val="en-US"/>
        </w:rPr>
        <w:t>PWC</w:t>
      </w:r>
      <w:r w:rsidR="00F12674" w:rsidRPr="00F12674">
        <w:rPr>
          <w:lang w:val="ru-RU"/>
        </w:rPr>
        <w:t xml:space="preserve"> </w:t>
      </w:r>
      <w:r w:rsidR="00F12674">
        <w:rPr>
          <w:lang w:val="ru-RU"/>
        </w:rPr>
        <w:t>в Документе </w:t>
      </w:r>
      <w:r w:rsidR="00F12674" w:rsidRPr="006A7CC0">
        <w:t>C</w:t>
      </w:r>
      <w:r w:rsidR="00F12674" w:rsidRPr="00F12674">
        <w:rPr>
          <w:lang w:val="ru-RU"/>
        </w:rPr>
        <w:t>20/53</w:t>
      </w:r>
      <w:r w:rsidR="00F12674">
        <w:rPr>
          <w:lang w:val="ru-RU"/>
        </w:rPr>
        <w:t>, представленном С</w:t>
      </w:r>
      <w:r w:rsidR="00441704">
        <w:rPr>
          <w:lang w:val="ru-RU"/>
        </w:rPr>
        <w:t xml:space="preserve">овету в апреле 2020 года, и что </w:t>
      </w:r>
      <w:r w:rsidR="006E4384">
        <w:rPr>
          <w:lang w:val="ru-RU"/>
        </w:rPr>
        <w:t>соответствующие</w:t>
      </w:r>
      <w:r w:rsidR="00F12674">
        <w:rPr>
          <w:lang w:val="ru-RU"/>
        </w:rPr>
        <w:t xml:space="preserve"> ресурсы понадобятся для выполнения рекомендаций </w:t>
      </w:r>
      <w:r w:rsidR="00F12674">
        <w:rPr>
          <w:lang w:val="en-US"/>
        </w:rPr>
        <w:t>PWC</w:t>
      </w:r>
      <w:r w:rsidR="00F12674" w:rsidRPr="00F12674">
        <w:rPr>
          <w:lang w:val="ru-RU"/>
        </w:rPr>
        <w:t xml:space="preserve"> </w:t>
      </w:r>
      <w:r w:rsidR="00F12674">
        <w:rPr>
          <w:lang w:val="ru-RU"/>
        </w:rPr>
        <w:t xml:space="preserve">(62–69), поскольку эти рекомендации </w:t>
      </w:r>
      <w:r w:rsidR="00994843">
        <w:rPr>
          <w:lang w:val="ru-RU"/>
        </w:rPr>
        <w:t>предполагают идентификацию информации во всех точках и на всех устройствах с четкой классификацией</w:t>
      </w:r>
      <w:r w:rsidR="00C661F5">
        <w:rPr>
          <w:lang w:val="ru-RU"/>
        </w:rPr>
        <w:t xml:space="preserve">, </w:t>
      </w:r>
      <w:r w:rsidR="00441704">
        <w:rPr>
          <w:lang w:val="ru-RU"/>
        </w:rPr>
        <w:t xml:space="preserve">соблюдение </w:t>
      </w:r>
      <w:r w:rsidR="00C661F5">
        <w:rPr>
          <w:lang w:val="ru-RU"/>
        </w:rPr>
        <w:t>график</w:t>
      </w:r>
      <w:r w:rsidR="00441704">
        <w:rPr>
          <w:lang w:val="ru-RU"/>
        </w:rPr>
        <w:t>ов</w:t>
      </w:r>
      <w:r w:rsidR="00C661F5">
        <w:rPr>
          <w:lang w:val="ru-RU"/>
        </w:rPr>
        <w:t xml:space="preserve"> хранения, защиту конфиденциальности данных и обеспечение доступности информации для </w:t>
      </w:r>
      <w:r w:rsidR="006E4384">
        <w:rPr>
          <w:lang w:val="ru-RU"/>
        </w:rPr>
        <w:t xml:space="preserve">возможной </w:t>
      </w:r>
      <w:r w:rsidR="00C661F5">
        <w:rPr>
          <w:lang w:val="ru-RU"/>
        </w:rPr>
        <w:t>будущей судебно-бухгалтерской экспертизы</w:t>
      </w:r>
      <w:r w:rsidR="00346C72">
        <w:rPr>
          <w:lang w:val="ru-RU"/>
        </w:rPr>
        <w:t>.</w:t>
      </w:r>
    </w:p>
    <w:p w14:paraId="03250935" w14:textId="01DE4014" w:rsidR="00E2352A" w:rsidRPr="00E2352A" w:rsidRDefault="006A7CC0" w:rsidP="006A7CC0">
      <w:pPr>
        <w:rPr>
          <w:lang w:val="ru-RU"/>
        </w:rPr>
      </w:pPr>
      <w:r w:rsidRPr="00E2352A">
        <w:rPr>
          <w:lang w:val="ru-RU"/>
        </w:rPr>
        <w:t>3.5</w:t>
      </w:r>
      <w:r w:rsidRPr="00E2352A">
        <w:rPr>
          <w:lang w:val="ru-RU"/>
        </w:rPr>
        <w:tab/>
      </w:r>
      <w:r w:rsidR="004228E5">
        <w:rPr>
          <w:lang w:val="ru-RU"/>
        </w:rPr>
        <w:t>Несколько</w:t>
      </w:r>
      <w:r w:rsidR="00E2352A">
        <w:rPr>
          <w:lang w:val="ru-RU"/>
        </w:rPr>
        <w:t xml:space="preserve"> делегатов поинтересовались, не изменилась ли сумма в 1,4 млн. швейцарских франков, запрошенная на 2021 год в целях начала осуществления деятельности. </w:t>
      </w:r>
      <w:r w:rsidR="004228E5">
        <w:rPr>
          <w:lang w:val="ru-RU"/>
        </w:rPr>
        <w:t xml:space="preserve">Секретариат </w:t>
      </w:r>
      <w:r w:rsidR="00E2352A">
        <w:rPr>
          <w:lang w:val="ru-RU"/>
        </w:rPr>
        <w:t>подчеркнул, что общая сумма в размере 13 млн. швейцарских франков, запрос на которую был представлен в апреле 2020 </w:t>
      </w:r>
      <w:r w:rsidR="00C14F45">
        <w:rPr>
          <w:lang w:val="ru-RU"/>
        </w:rPr>
        <w:t>г</w:t>
      </w:r>
      <w:r w:rsidR="00E2352A">
        <w:rPr>
          <w:lang w:val="ru-RU"/>
        </w:rPr>
        <w:t>ода, не изменилась, и пояснил, что запрос</w:t>
      </w:r>
      <w:r w:rsidR="00C14F45">
        <w:rPr>
          <w:lang w:val="ru-RU"/>
        </w:rPr>
        <w:t>ы</w:t>
      </w:r>
      <w:r w:rsidR="00E2352A">
        <w:rPr>
          <w:lang w:val="ru-RU"/>
        </w:rPr>
        <w:t xml:space="preserve"> на 1,4 млн. швейцарских франков для 2021 года, </w:t>
      </w:r>
      <w:r w:rsidR="00C14F45">
        <w:rPr>
          <w:lang w:val="ru-RU"/>
        </w:rPr>
        <w:t>3,4 млн. швейцарских франков для 2022–2023 годов и 8,2 млн. швейцарских франков для 2024–2027 годов по-прежнему действительны, однако задержка в определении ресурсов финансирования означает, что сумму в 1,4 млн. швейцарских франков, запрошенную на 2021 год, придется теперь включить в бюджет на 2022 год.</w:t>
      </w:r>
      <w:r w:rsidR="00401EED">
        <w:rPr>
          <w:lang w:val="ru-RU"/>
        </w:rPr>
        <w:t xml:space="preserve"> </w:t>
      </w:r>
    </w:p>
    <w:p w14:paraId="18FE5853" w14:textId="5C70362A" w:rsidR="00C14F45" w:rsidRPr="00F567E4" w:rsidRDefault="006A7CC0" w:rsidP="006A7CC0">
      <w:pPr>
        <w:rPr>
          <w:lang w:val="ru-RU"/>
        </w:rPr>
      </w:pPr>
      <w:r w:rsidRPr="00C14F45">
        <w:rPr>
          <w:lang w:val="ru-RU"/>
        </w:rPr>
        <w:t>3.6</w:t>
      </w:r>
      <w:r w:rsidRPr="00C14F45">
        <w:rPr>
          <w:lang w:val="ru-RU"/>
        </w:rPr>
        <w:tab/>
      </w:r>
      <w:r w:rsidR="00C14F45">
        <w:rPr>
          <w:lang w:val="ru-RU"/>
        </w:rPr>
        <w:t xml:space="preserve">Некоторые делегаты согласились с необходимостью дополнительных ресурсов и предложили </w:t>
      </w:r>
      <w:r w:rsidR="00C14F45" w:rsidRPr="00C22779">
        <w:rPr>
          <w:szCs w:val="22"/>
          <w:lang w:val="ru-RU"/>
        </w:rPr>
        <w:t>РГС-ФЛР</w:t>
      </w:r>
      <w:r w:rsidR="00C14F45">
        <w:rPr>
          <w:szCs w:val="22"/>
          <w:lang w:val="ru-RU"/>
        </w:rPr>
        <w:t xml:space="preserve"> </w:t>
      </w:r>
      <w:r w:rsidR="00401EED">
        <w:rPr>
          <w:szCs w:val="22"/>
          <w:lang w:val="ru-RU"/>
        </w:rPr>
        <w:t xml:space="preserve">связаться с </w:t>
      </w:r>
      <w:r w:rsidR="00401EED" w:rsidRPr="00401EED">
        <w:rPr>
          <w:szCs w:val="22"/>
          <w:lang w:val="ru-RU"/>
        </w:rPr>
        <w:t>РГС-СФП</w:t>
      </w:r>
      <w:r w:rsidR="00401EED">
        <w:rPr>
          <w:szCs w:val="22"/>
          <w:lang w:val="ru-RU"/>
        </w:rPr>
        <w:t xml:space="preserve"> в целях включения соответствующих стратегических требований в Стратегический план на 2024–2027 годы. Что касается</w:t>
      </w:r>
      <w:r w:rsidR="00F567E4">
        <w:rPr>
          <w:szCs w:val="22"/>
          <w:lang w:val="ru-RU"/>
        </w:rPr>
        <w:t xml:space="preserve"> </w:t>
      </w:r>
      <w:r w:rsidR="004228E5">
        <w:rPr>
          <w:szCs w:val="22"/>
          <w:lang w:val="ru-RU"/>
        </w:rPr>
        <w:t>острой</w:t>
      </w:r>
      <w:r w:rsidR="00F567E4">
        <w:rPr>
          <w:szCs w:val="22"/>
          <w:lang w:val="ru-RU"/>
        </w:rPr>
        <w:t xml:space="preserve"> потребности в ресурсах на 2022–2023 годы, то </w:t>
      </w:r>
      <w:r w:rsidR="00F567E4" w:rsidRPr="00C22779">
        <w:rPr>
          <w:szCs w:val="22"/>
          <w:lang w:val="ru-RU"/>
        </w:rPr>
        <w:t>РГС-ФЛР</w:t>
      </w:r>
      <w:r w:rsidR="00F567E4">
        <w:rPr>
          <w:szCs w:val="22"/>
          <w:lang w:val="ru-RU"/>
        </w:rPr>
        <w:t xml:space="preserve"> на своем следующем собрании в январе 2022 года следует подготовить рекомендации для Совета-22 относительно механизма финансирования (пересмотр приоритетности видов деятельности на 2022–2023 годы, использование </w:t>
      </w:r>
      <w:r w:rsidR="00F567E4" w:rsidRPr="00F567E4">
        <w:rPr>
          <w:szCs w:val="22"/>
          <w:lang w:val="ru-RU"/>
        </w:rPr>
        <w:t>Резервного счета</w:t>
      </w:r>
      <w:r w:rsidR="00F567E4">
        <w:rPr>
          <w:szCs w:val="22"/>
          <w:lang w:val="ru-RU"/>
        </w:rPr>
        <w:t xml:space="preserve"> или сэкономленных средств). </w:t>
      </w:r>
    </w:p>
    <w:p w14:paraId="70C5BF62" w14:textId="73DC8979" w:rsidR="00B25B18" w:rsidRPr="00B25B18" w:rsidRDefault="006A7CC0" w:rsidP="006A7CC0">
      <w:pPr>
        <w:rPr>
          <w:lang w:val="ru-RU"/>
        </w:rPr>
      </w:pPr>
      <w:r w:rsidRPr="00B25B18">
        <w:rPr>
          <w:lang w:val="ru-RU"/>
        </w:rPr>
        <w:t>3.7</w:t>
      </w:r>
      <w:r w:rsidRPr="00B25B18">
        <w:rPr>
          <w:lang w:val="ru-RU"/>
        </w:rPr>
        <w:tab/>
      </w:r>
      <w:r w:rsidR="00B25B18">
        <w:rPr>
          <w:lang w:val="ru-RU"/>
        </w:rPr>
        <w:t>Председатель просил</w:t>
      </w:r>
      <w:r w:rsidR="00C07273">
        <w:rPr>
          <w:lang w:val="ru-RU"/>
        </w:rPr>
        <w:t>а</w:t>
      </w:r>
      <w:r w:rsidR="00B25B18">
        <w:rPr>
          <w:lang w:val="ru-RU"/>
        </w:rPr>
        <w:t xml:space="preserve"> </w:t>
      </w:r>
      <w:r w:rsidR="00991450">
        <w:rPr>
          <w:lang w:val="ru-RU"/>
        </w:rPr>
        <w:t xml:space="preserve">Секретариат </w:t>
      </w:r>
      <w:r w:rsidR="00B25B18">
        <w:rPr>
          <w:lang w:val="ru-RU"/>
        </w:rPr>
        <w:t xml:space="preserve">подготовить пересмотренный </w:t>
      </w:r>
      <w:r w:rsidR="00B25B18" w:rsidRPr="00B25B18">
        <w:rPr>
          <w:lang w:val="ru-RU"/>
        </w:rPr>
        <w:t>график финансирования</w:t>
      </w:r>
      <w:r w:rsidR="00B25B18">
        <w:rPr>
          <w:lang w:val="ru-RU"/>
        </w:rPr>
        <w:t xml:space="preserve"> (2022–2027 гг.) и представить его на следующем собрании </w:t>
      </w:r>
      <w:r w:rsidR="00B25B18" w:rsidRPr="00C22779">
        <w:rPr>
          <w:szCs w:val="22"/>
          <w:lang w:val="ru-RU"/>
        </w:rPr>
        <w:t>РГС-ФЛР</w:t>
      </w:r>
      <w:r w:rsidR="00B25B18">
        <w:rPr>
          <w:szCs w:val="22"/>
          <w:lang w:val="ru-RU"/>
        </w:rPr>
        <w:t xml:space="preserve"> в январе 2022 года. </w:t>
      </w:r>
    </w:p>
    <w:p w14:paraId="3C641C3B" w14:textId="5BDBE295" w:rsidR="006A7CC0" w:rsidRPr="004A2E56" w:rsidRDefault="004A2E56" w:rsidP="001C3FAF">
      <w:pPr>
        <w:pStyle w:val="Heading1"/>
        <w:rPr>
          <w:lang w:val="ru-RU"/>
        </w:rPr>
      </w:pPr>
      <w:r>
        <w:rPr>
          <w:lang w:val="ru-RU"/>
        </w:rPr>
        <w:t>4</w:t>
      </w:r>
      <w:r>
        <w:rPr>
          <w:lang w:val="ru-RU"/>
        </w:rPr>
        <w:tab/>
      </w:r>
      <w:r w:rsidR="001C3FAF" w:rsidRPr="001C3FAF">
        <w:rPr>
          <w:lang w:val="ru-RU"/>
        </w:rPr>
        <w:t>Отчет о ходе выполнения СП ЛР за период 2019−2020 годов</w:t>
      </w:r>
      <w:r w:rsidR="001C3FAF">
        <w:rPr>
          <w:lang w:val="ru-RU"/>
        </w:rPr>
        <w:t xml:space="preserve"> </w:t>
      </w:r>
      <w:r w:rsidRPr="004A2E56">
        <w:rPr>
          <w:bCs/>
          <w:lang w:val="ru-RU"/>
        </w:rPr>
        <w:t>(</w:t>
      </w:r>
      <w:r>
        <w:rPr>
          <w:bCs/>
          <w:lang w:val="ru-RU"/>
        </w:rPr>
        <w:t>Документ</w:t>
      </w:r>
      <w:r w:rsidRPr="004A2E56">
        <w:rPr>
          <w:bCs/>
          <w:lang w:val="en-US"/>
        </w:rPr>
        <w:t> </w:t>
      </w:r>
      <w:hyperlink r:id="rId14" w:history="1">
        <w:r w:rsidRPr="004A2E56">
          <w:rPr>
            <w:rStyle w:val="Hyperlink"/>
            <w:bCs/>
            <w:lang w:val="en-US"/>
          </w:rPr>
          <w:t>C</w:t>
        </w:r>
        <w:r w:rsidRPr="004A2E56">
          <w:rPr>
            <w:rStyle w:val="Hyperlink"/>
            <w:bCs/>
            <w:lang w:val="ru-RU"/>
          </w:rPr>
          <w:t>21/54</w:t>
        </w:r>
      </w:hyperlink>
      <w:r w:rsidR="002B6316" w:rsidRPr="00A105F3">
        <w:rPr>
          <w:rFonts w:eastAsiaTheme="minorHAnsi"/>
          <w:lang w:val="ru-RU"/>
        </w:rPr>
        <w:t>)</w:t>
      </w:r>
    </w:p>
    <w:p w14:paraId="679BE849" w14:textId="4E813F5C" w:rsidR="00492D5F" w:rsidRPr="00AC5B37" w:rsidRDefault="00492D5F" w:rsidP="00492D5F">
      <w:pPr>
        <w:rPr>
          <w:lang w:val="ru-RU"/>
        </w:rPr>
      </w:pPr>
      <w:r w:rsidRPr="00521B2F">
        <w:rPr>
          <w:lang w:val="ru-RU"/>
        </w:rPr>
        <w:t>4.1</w:t>
      </w:r>
      <w:r w:rsidRPr="00521B2F">
        <w:rPr>
          <w:lang w:val="ru-RU"/>
        </w:rPr>
        <w:tab/>
      </w:r>
      <w:r w:rsidR="00521B2F">
        <w:rPr>
          <w:lang w:val="ru-RU"/>
        </w:rPr>
        <w:t>Замечаний</w:t>
      </w:r>
      <w:r w:rsidR="00521B2F" w:rsidRPr="00521B2F">
        <w:rPr>
          <w:lang w:val="ru-RU"/>
        </w:rPr>
        <w:t xml:space="preserve"> </w:t>
      </w:r>
      <w:r w:rsidR="00521B2F">
        <w:rPr>
          <w:lang w:val="ru-RU"/>
        </w:rPr>
        <w:t>в</w:t>
      </w:r>
      <w:r w:rsidR="00521B2F" w:rsidRPr="00521B2F">
        <w:rPr>
          <w:lang w:val="ru-RU"/>
        </w:rPr>
        <w:t xml:space="preserve"> </w:t>
      </w:r>
      <w:r w:rsidR="00521B2F">
        <w:rPr>
          <w:lang w:val="ru-RU"/>
        </w:rPr>
        <w:t>отношении</w:t>
      </w:r>
      <w:r w:rsidR="00521B2F" w:rsidRPr="00521B2F">
        <w:rPr>
          <w:lang w:val="ru-RU"/>
        </w:rPr>
        <w:t xml:space="preserve"> </w:t>
      </w:r>
      <w:r w:rsidR="00521B2F">
        <w:rPr>
          <w:lang w:val="ru-RU"/>
        </w:rPr>
        <w:t>представленного</w:t>
      </w:r>
      <w:r w:rsidR="00521B2F" w:rsidRPr="00521B2F">
        <w:rPr>
          <w:lang w:val="ru-RU"/>
        </w:rPr>
        <w:t xml:space="preserve"> </w:t>
      </w:r>
      <w:r w:rsidR="00991450">
        <w:rPr>
          <w:lang w:val="ru-RU"/>
        </w:rPr>
        <w:t>Секретариатом</w:t>
      </w:r>
      <w:r w:rsidR="00991450" w:rsidRPr="00521B2F">
        <w:rPr>
          <w:lang w:val="ru-RU"/>
        </w:rPr>
        <w:t xml:space="preserve"> </w:t>
      </w:r>
      <w:r w:rsidR="00521B2F">
        <w:rPr>
          <w:lang w:val="ru-RU"/>
        </w:rPr>
        <w:t xml:space="preserve">отчета не последовало. </w:t>
      </w:r>
    </w:p>
    <w:p w14:paraId="11158D8A" w14:textId="4D7CB871" w:rsidR="00DD238F" w:rsidRPr="00DD238F" w:rsidRDefault="00492D5F" w:rsidP="00492D5F">
      <w:pPr>
        <w:pStyle w:val="Heading1"/>
        <w:rPr>
          <w:lang w:val="ru-RU"/>
        </w:rPr>
      </w:pPr>
      <w:r w:rsidRPr="00DD238F">
        <w:rPr>
          <w:lang w:val="ru-RU"/>
        </w:rPr>
        <w:t>5</w:t>
      </w:r>
      <w:r w:rsidRPr="00DD238F">
        <w:rPr>
          <w:lang w:val="ru-RU"/>
        </w:rPr>
        <w:tab/>
      </w:r>
      <w:r w:rsidR="00DD238F">
        <w:rPr>
          <w:lang w:val="ru-RU"/>
        </w:rPr>
        <w:t>Представление проектов уставов</w:t>
      </w:r>
      <w:r w:rsidR="00DD238F" w:rsidRPr="00DD238F">
        <w:rPr>
          <w:lang w:val="ru-RU"/>
        </w:rPr>
        <w:t xml:space="preserve"> </w:t>
      </w:r>
      <w:r w:rsidR="00A10AB8">
        <w:rPr>
          <w:lang w:val="ru-RU"/>
        </w:rPr>
        <w:t>по вопросам</w:t>
      </w:r>
      <w:r w:rsidR="00DD238F" w:rsidRPr="00DD238F">
        <w:rPr>
          <w:lang w:val="ru-RU"/>
        </w:rPr>
        <w:t xml:space="preserve"> аудита, расследований и </w:t>
      </w:r>
      <w:r w:rsidR="00DD238F">
        <w:rPr>
          <w:lang w:val="ru-RU"/>
        </w:rPr>
        <w:t>этики</w:t>
      </w:r>
    </w:p>
    <w:p w14:paraId="030C9139" w14:textId="4505F466" w:rsidR="00A10AB8" w:rsidRPr="00F12F11" w:rsidRDefault="00492D5F" w:rsidP="00492D5F">
      <w:pPr>
        <w:rPr>
          <w:lang w:val="ru-RU"/>
        </w:rPr>
      </w:pPr>
      <w:r w:rsidRPr="00A10AB8">
        <w:rPr>
          <w:lang w:val="ru-RU"/>
        </w:rPr>
        <w:t>5.1</w:t>
      </w:r>
      <w:r w:rsidRPr="00A10AB8">
        <w:rPr>
          <w:lang w:val="ru-RU"/>
        </w:rPr>
        <w:tab/>
      </w:r>
      <w:r w:rsidR="00A10AB8">
        <w:rPr>
          <w:lang w:val="ru-RU"/>
        </w:rPr>
        <w:t>Секретариат пояснил, что проекты устава службы аудита и устава</w:t>
      </w:r>
      <w:r w:rsidR="00F12F11">
        <w:rPr>
          <w:lang w:val="ru-RU"/>
        </w:rPr>
        <w:t xml:space="preserve"> </w:t>
      </w:r>
      <w:r w:rsidR="003E0B07">
        <w:rPr>
          <w:lang w:val="ru-RU"/>
        </w:rPr>
        <w:t xml:space="preserve">по этике </w:t>
      </w:r>
      <w:r w:rsidR="00B43E79">
        <w:rPr>
          <w:lang w:val="ru-RU"/>
        </w:rPr>
        <w:t xml:space="preserve">готовы и </w:t>
      </w:r>
      <w:r w:rsidR="00B43E79" w:rsidRPr="00ED1F0E">
        <w:rPr>
          <w:lang w:val="ru-RU"/>
        </w:rPr>
        <w:t>что устав</w:t>
      </w:r>
      <w:r w:rsidR="00B43E79">
        <w:rPr>
          <w:lang w:val="ru-RU"/>
        </w:rPr>
        <w:t xml:space="preserve"> </w:t>
      </w:r>
      <w:r w:rsidR="00F12F11">
        <w:rPr>
          <w:lang w:val="ru-RU"/>
        </w:rPr>
        <w:t>по расследованиям будет представлен</w:t>
      </w:r>
      <w:r w:rsidR="003E0B07">
        <w:rPr>
          <w:lang w:val="ru-RU"/>
        </w:rPr>
        <w:t xml:space="preserve"> после того</w:t>
      </w:r>
      <w:r w:rsidR="00F12F11">
        <w:rPr>
          <w:lang w:val="ru-RU"/>
        </w:rPr>
        <w:t>, к</w:t>
      </w:r>
      <w:r w:rsidR="003E0B07">
        <w:rPr>
          <w:lang w:val="ru-RU"/>
        </w:rPr>
        <w:t>ак</w:t>
      </w:r>
      <w:r w:rsidR="00F12F11">
        <w:rPr>
          <w:lang w:val="ru-RU"/>
        </w:rPr>
        <w:t xml:space="preserve"> вступит в должность новый руководитель подразделения расследований. Процесс приема заявок и отбора заверш</w:t>
      </w:r>
      <w:r w:rsidR="00B43E79">
        <w:rPr>
          <w:lang w:val="ru-RU"/>
        </w:rPr>
        <w:t>ился</w:t>
      </w:r>
      <w:r w:rsidR="00F12F11">
        <w:rPr>
          <w:lang w:val="ru-RU"/>
        </w:rPr>
        <w:t xml:space="preserve">, и по его итогам был выбран кандидат для замещения </w:t>
      </w:r>
      <w:r w:rsidR="00B43E79">
        <w:rPr>
          <w:lang w:val="ru-RU"/>
        </w:rPr>
        <w:t>данной</w:t>
      </w:r>
      <w:r w:rsidR="00F12F11">
        <w:rPr>
          <w:lang w:val="ru-RU"/>
        </w:rPr>
        <w:t xml:space="preserve"> должности. Делегаты приняли эту информацию к сведению. </w:t>
      </w:r>
    </w:p>
    <w:p w14:paraId="2E9B4BC6" w14:textId="53EF02C8" w:rsidR="00492D5F" w:rsidRPr="00446B62" w:rsidRDefault="00492D5F" w:rsidP="00492D5F">
      <w:pPr>
        <w:pStyle w:val="Heading1"/>
        <w:rPr>
          <w:lang w:val="ru-RU"/>
        </w:rPr>
      </w:pPr>
      <w:r w:rsidRPr="00446B62">
        <w:rPr>
          <w:lang w:val="ru-RU"/>
        </w:rPr>
        <w:t>6</w:t>
      </w:r>
      <w:r w:rsidRPr="00446B62">
        <w:rPr>
          <w:lang w:val="ru-RU"/>
        </w:rPr>
        <w:tab/>
      </w:r>
      <w:r w:rsidR="00D93679" w:rsidRPr="00D93679">
        <w:rPr>
          <w:lang w:val="ru-RU"/>
        </w:rPr>
        <w:t>Отчет</w:t>
      </w:r>
      <w:r w:rsidR="00D93679" w:rsidRPr="00446B62">
        <w:rPr>
          <w:lang w:val="ru-RU"/>
        </w:rPr>
        <w:t xml:space="preserve"> </w:t>
      </w:r>
      <w:r w:rsidR="00D93679" w:rsidRPr="00D93679">
        <w:rPr>
          <w:lang w:val="ru-RU"/>
        </w:rPr>
        <w:t>о</w:t>
      </w:r>
      <w:r w:rsidR="00D93679" w:rsidRPr="00446B62">
        <w:rPr>
          <w:lang w:val="ru-RU"/>
        </w:rPr>
        <w:t xml:space="preserve"> </w:t>
      </w:r>
      <w:r w:rsidR="00D93679" w:rsidRPr="00D93679">
        <w:rPr>
          <w:lang w:val="ru-RU"/>
        </w:rPr>
        <w:t>ходе</w:t>
      </w:r>
      <w:r w:rsidR="00D93679" w:rsidRPr="00446B62">
        <w:rPr>
          <w:lang w:val="ru-RU"/>
        </w:rPr>
        <w:t xml:space="preserve"> </w:t>
      </w:r>
      <w:r w:rsidR="00D93679" w:rsidRPr="00D93679">
        <w:rPr>
          <w:lang w:val="ru-RU"/>
        </w:rPr>
        <w:t>выполнения</w:t>
      </w:r>
      <w:r w:rsidR="00D93679" w:rsidRPr="00446B62">
        <w:rPr>
          <w:lang w:val="ru-RU"/>
        </w:rPr>
        <w:t xml:space="preserve"> </w:t>
      </w:r>
      <w:r w:rsidR="00D93679" w:rsidRPr="00D93679">
        <w:rPr>
          <w:lang w:val="ru-RU"/>
        </w:rPr>
        <w:t>Решений</w:t>
      </w:r>
      <w:r w:rsidR="00D93679" w:rsidRPr="00446B62">
        <w:rPr>
          <w:lang w:val="ru-RU"/>
        </w:rPr>
        <w:t xml:space="preserve"> 600 </w:t>
      </w:r>
      <w:r w:rsidR="00D93679" w:rsidRPr="00D93679">
        <w:rPr>
          <w:lang w:val="ru-RU"/>
        </w:rPr>
        <w:t>и</w:t>
      </w:r>
      <w:r w:rsidR="00D93679" w:rsidRPr="00446B62">
        <w:rPr>
          <w:lang w:val="ru-RU"/>
        </w:rPr>
        <w:t xml:space="preserve"> 601 </w:t>
      </w:r>
      <w:r w:rsidR="00D93679" w:rsidRPr="00D93679">
        <w:rPr>
          <w:lang w:val="ru-RU"/>
        </w:rPr>
        <w:t>Совета</w:t>
      </w:r>
      <w:r w:rsidR="00D93679" w:rsidRPr="00446B62">
        <w:rPr>
          <w:lang w:val="ru-RU"/>
        </w:rPr>
        <w:t xml:space="preserve"> (</w:t>
      </w:r>
      <w:r w:rsidR="00D93679" w:rsidRPr="00D93679">
        <w:rPr>
          <w:lang w:val="en-US"/>
        </w:rPr>
        <w:t>UIFN</w:t>
      </w:r>
      <w:r w:rsidR="00D93679" w:rsidRPr="00446B62">
        <w:rPr>
          <w:lang w:val="ru-RU"/>
        </w:rPr>
        <w:t xml:space="preserve">, </w:t>
      </w:r>
      <w:r w:rsidR="00D93679" w:rsidRPr="00D93679">
        <w:rPr>
          <w:lang w:val="en-US"/>
        </w:rPr>
        <w:t>IIN</w:t>
      </w:r>
      <w:r w:rsidR="00D93679" w:rsidRPr="00446B62">
        <w:rPr>
          <w:lang w:val="ru-RU"/>
        </w:rPr>
        <w:t>)</w:t>
      </w:r>
      <w:r w:rsidRPr="00446B62">
        <w:rPr>
          <w:lang w:val="ru-RU"/>
        </w:rPr>
        <w:br/>
        <w:t>(</w:t>
      </w:r>
      <w:r>
        <w:rPr>
          <w:lang w:val="ru-RU"/>
        </w:rPr>
        <w:t>Документ</w:t>
      </w:r>
      <w:r w:rsidRPr="00446B62">
        <w:rPr>
          <w:lang w:val="ru-RU"/>
        </w:rPr>
        <w:t xml:space="preserve"> </w:t>
      </w:r>
      <w:hyperlink r:id="rId15" w:history="1">
        <w:r w:rsidRPr="00492D5F">
          <w:rPr>
            <w:rStyle w:val="Hyperlink"/>
            <w:bCs/>
            <w:lang w:val="en-US"/>
          </w:rPr>
          <w:t>CWG</w:t>
        </w:r>
        <w:r w:rsidRPr="00446B62">
          <w:rPr>
            <w:rStyle w:val="Hyperlink"/>
            <w:bCs/>
            <w:lang w:val="ru-RU"/>
          </w:rPr>
          <w:t>-</w:t>
        </w:r>
        <w:r w:rsidRPr="00492D5F">
          <w:rPr>
            <w:rStyle w:val="Hyperlink"/>
            <w:bCs/>
            <w:lang w:val="en-US"/>
          </w:rPr>
          <w:t>FHR</w:t>
        </w:r>
        <w:r w:rsidRPr="00446B62">
          <w:rPr>
            <w:rStyle w:val="Hyperlink"/>
            <w:bCs/>
            <w:lang w:val="ru-RU"/>
          </w:rPr>
          <w:t>-14/6</w:t>
        </w:r>
      </w:hyperlink>
      <w:r w:rsidR="002B6316" w:rsidRPr="00446B62">
        <w:rPr>
          <w:rFonts w:eastAsiaTheme="minorHAnsi"/>
          <w:lang w:val="ru-RU"/>
        </w:rPr>
        <w:t xml:space="preserve">) </w:t>
      </w:r>
      <w:r w:rsidR="00446B62">
        <w:rPr>
          <w:rFonts w:eastAsiaTheme="minorHAnsi"/>
          <w:lang w:val="ru-RU"/>
        </w:rPr>
        <w:t xml:space="preserve">и </w:t>
      </w:r>
      <w:r w:rsidR="00302AA3">
        <w:rPr>
          <w:rFonts w:eastAsiaTheme="minorHAnsi"/>
          <w:lang w:val="ru-RU"/>
        </w:rPr>
        <w:t xml:space="preserve">Сбор </w:t>
      </w:r>
      <w:r w:rsidR="006600C3">
        <w:rPr>
          <w:rFonts w:eastAsiaTheme="minorHAnsi"/>
          <w:lang w:val="ru-RU"/>
        </w:rPr>
        <w:t xml:space="preserve">доходов по линии </w:t>
      </w:r>
      <w:r w:rsidR="006600C3" w:rsidRPr="006600C3">
        <w:rPr>
          <w:rFonts w:eastAsiaTheme="minorHAnsi"/>
          <w:lang w:val="ru-RU"/>
        </w:rPr>
        <w:t xml:space="preserve">международных ресурсов нумерации </w:t>
      </w:r>
      <w:r w:rsidRPr="00446B62">
        <w:rPr>
          <w:lang w:val="ru-RU"/>
        </w:rPr>
        <w:t>(</w:t>
      </w:r>
      <w:r>
        <w:rPr>
          <w:lang w:val="ru-RU"/>
        </w:rPr>
        <w:t>Документ</w:t>
      </w:r>
      <w:r w:rsidRPr="00492D5F">
        <w:rPr>
          <w:lang w:val="en-US"/>
        </w:rPr>
        <w:t> </w:t>
      </w:r>
      <w:hyperlink r:id="rId16" w:history="1">
        <w:r w:rsidRPr="00492D5F">
          <w:rPr>
            <w:rStyle w:val="Hyperlink"/>
            <w:bCs/>
            <w:lang w:val="en-US"/>
          </w:rPr>
          <w:t>CWG</w:t>
        </w:r>
        <w:r w:rsidRPr="00446B62">
          <w:rPr>
            <w:rStyle w:val="Hyperlink"/>
            <w:bCs/>
            <w:lang w:val="ru-RU"/>
          </w:rPr>
          <w:t>-</w:t>
        </w:r>
        <w:r w:rsidRPr="00492D5F">
          <w:rPr>
            <w:rStyle w:val="Hyperlink"/>
            <w:bCs/>
            <w:lang w:val="en-US"/>
          </w:rPr>
          <w:t>FHR</w:t>
        </w:r>
        <w:r w:rsidRPr="00446B62">
          <w:rPr>
            <w:rStyle w:val="Hyperlink"/>
            <w:bCs/>
            <w:lang w:val="ru-RU"/>
          </w:rPr>
          <w:t>-14/7</w:t>
        </w:r>
      </w:hyperlink>
      <w:r w:rsidRPr="00446B62">
        <w:rPr>
          <w:lang w:val="ru-RU"/>
        </w:rPr>
        <w:t>)</w:t>
      </w:r>
    </w:p>
    <w:p w14:paraId="16B6CA17" w14:textId="349B43F8" w:rsidR="00492D5F" w:rsidRPr="007058BC" w:rsidRDefault="00492D5F" w:rsidP="00492D5F">
      <w:pPr>
        <w:rPr>
          <w:lang w:val="ru-RU"/>
        </w:rPr>
      </w:pPr>
      <w:r w:rsidRPr="007058BC">
        <w:rPr>
          <w:lang w:val="ru-RU"/>
        </w:rPr>
        <w:t>6.1</w:t>
      </w:r>
      <w:r w:rsidRPr="007058BC">
        <w:rPr>
          <w:lang w:val="ru-RU"/>
        </w:rPr>
        <w:tab/>
      </w:r>
      <w:r w:rsidR="001E73F5">
        <w:rPr>
          <w:lang w:val="ru-RU"/>
        </w:rPr>
        <w:t xml:space="preserve">Секретариат представил Документ </w:t>
      </w:r>
      <w:r w:rsidRPr="00492D5F">
        <w:rPr>
          <w:lang w:val="en-US"/>
        </w:rPr>
        <w:t>CWG</w:t>
      </w:r>
      <w:r w:rsidRPr="007058BC">
        <w:rPr>
          <w:lang w:val="ru-RU"/>
        </w:rPr>
        <w:t>-</w:t>
      </w:r>
      <w:r w:rsidRPr="00492D5F">
        <w:rPr>
          <w:lang w:val="en-US"/>
        </w:rPr>
        <w:t>FHR</w:t>
      </w:r>
      <w:r w:rsidRPr="007058BC">
        <w:rPr>
          <w:lang w:val="ru-RU"/>
        </w:rPr>
        <w:t>-14/6.</w:t>
      </w:r>
    </w:p>
    <w:p w14:paraId="59757D58" w14:textId="3FEA93EF" w:rsidR="007058BC" w:rsidRPr="00164C6C" w:rsidRDefault="00492D5F" w:rsidP="00492D5F">
      <w:pPr>
        <w:rPr>
          <w:lang w:val="ru-RU"/>
        </w:rPr>
      </w:pPr>
      <w:r w:rsidRPr="00164C6C">
        <w:rPr>
          <w:lang w:val="ru-RU"/>
        </w:rPr>
        <w:t>6.2</w:t>
      </w:r>
      <w:r w:rsidRPr="00164C6C">
        <w:rPr>
          <w:lang w:val="ru-RU"/>
        </w:rPr>
        <w:tab/>
      </w:r>
      <w:r w:rsidR="004A2092">
        <w:rPr>
          <w:u w:val="single"/>
          <w:lang w:val="ru-RU"/>
        </w:rPr>
        <w:t>По</w:t>
      </w:r>
      <w:r w:rsidR="009A3F4E" w:rsidRPr="00597B26">
        <w:rPr>
          <w:u w:val="single"/>
          <w:lang w:val="ru-RU"/>
        </w:rPr>
        <w:t xml:space="preserve"> </w:t>
      </w:r>
      <w:r w:rsidR="00101F58" w:rsidRPr="00101F58">
        <w:rPr>
          <w:u w:val="single"/>
          <w:lang w:val="en-US"/>
        </w:rPr>
        <w:t>U</w:t>
      </w:r>
      <w:r w:rsidR="00101F58" w:rsidRPr="00492D5F">
        <w:rPr>
          <w:u w:val="single"/>
          <w:lang w:val="en-US"/>
        </w:rPr>
        <w:t>IFN</w:t>
      </w:r>
      <w:r w:rsidR="00101F58" w:rsidRPr="00164C6C">
        <w:rPr>
          <w:u w:val="single"/>
          <w:lang w:val="ru-RU"/>
        </w:rPr>
        <w:t xml:space="preserve"> (</w:t>
      </w:r>
      <w:r w:rsidR="00101F58">
        <w:rPr>
          <w:u w:val="single"/>
          <w:lang w:val="ru-RU"/>
        </w:rPr>
        <w:t>Решение</w:t>
      </w:r>
      <w:r w:rsidR="00101F58" w:rsidRPr="00164C6C">
        <w:rPr>
          <w:u w:val="single"/>
          <w:lang w:val="ru-RU"/>
        </w:rPr>
        <w:t xml:space="preserve"> 600</w:t>
      </w:r>
      <w:r w:rsidR="00101F58" w:rsidRPr="00164C6C">
        <w:rPr>
          <w:lang w:val="ru-RU"/>
        </w:rPr>
        <w:t>):</w:t>
      </w:r>
      <w:r w:rsidR="00164C6C">
        <w:rPr>
          <w:lang w:val="ru-RU"/>
        </w:rPr>
        <w:t xml:space="preserve"> на сегодняшний день платеж</w:t>
      </w:r>
      <w:r w:rsidR="009A3F4E">
        <w:rPr>
          <w:lang w:val="ru-RU"/>
        </w:rPr>
        <w:t xml:space="preserve">и </w:t>
      </w:r>
      <w:r w:rsidR="00164C6C">
        <w:rPr>
          <w:lang w:val="ru-RU"/>
        </w:rPr>
        <w:t>по счетам, выставл</w:t>
      </w:r>
      <w:r w:rsidR="009A3F4E">
        <w:rPr>
          <w:lang w:val="ru-RU"/>
        </w:rPr>
        <w:t xml:space="preserve">енным в 2018, 2019 и 2020 годах, находятся на уровне 94, 99 и 99 процентов соответственно и, таким образом, общий </w:t>
      </w:r>
      <w:r w:rsidR="009A3F4E">
        <w:rPr>
          <w:lang w:val="ru-RU"/>
        </w:rPr>
        <w:lastRenderedPageBreak/>
        <w:t xml:space="preserve">доход МСЭ на данный момент составляет 708 267 швейцарских франков. Это хорошие новости для Союза, и </w:t>
      </w:r>
      <w:r w:rsidR="00FF1F9F">
        <w:rPr>
          <w:lang w:val="ru-RU"/>
        </w:rPr>
        <w:t xml:space="preserve">Секретариат </w:t>
      </w:r>
      <w:r w:rsidR="009A3F4E">
        <w:rPr>
          <w:lang w:val="ru-RU"/>
        </w:rPr>
        <w:t>выразил признательность операторам за выплаты</w:t>
      </w:r>
      <w:r w:rsidR="00FE577D">
        <w:rPr>
          <w:lang w:val="ru-RU"/>
        </w:rPr>
        <w:t>, а также</w:t>
      </w:r>
      <w:r w:rsidR="009A3F4E">
        <w:rPr>
          <w:lang w:val="ru-RU"/>
        </w:rPr>
        <w:t xml:space="preserve"> Государствам-Членам за содействие в обновлении контактной информации и побуждени</w:t>
      </w:r>
      <w:r w:rsidR="00FF1F9F">
        <w:rPr>
          <w:lang w:val="ru-RU"/>
        </w:rPr>
        <w:t>и</w:t>
      </w:r>
      <w:r w:rsidR="009A3F4E">
        <w:rPr>
          <w:lang w:val="ru-RU"/>
        </w:rPr>
        <w:t xml:space="preserve"> операторов к оплате счетов.</w:t>
      </w:r>
    </w:p>
    <w:p w14:paraId="581CDAC9" w14:textId="786D16DD" w:rsidR="00492D5F" w:rsidRPr="00D93679" w:rsidRDefault="00492D5F" w:rsidP="00492D5F">
      <w:pPr>
        <w:rPr>
          <w:lang w:val="ru-RU"/>
        </w:rPr>
      </w:pPr>
      <w:r w:rsidRPr="00FE577D">
        <w:rPr>
          <w:lang w:val="ru-RU"/>
        </w:rPr>
        <w:t>6.3</w:t>
      </w:r>
      <w:r w:rsidRPr="00FE577D">
        <w:rPr>
          <w:lang w:val="ru-RU"/>
        </w:rPr>
        <w:tab/>
      </w:r>
      <w:r w:rsidR="00FE577D">
        <w:rPr>
          <w:lang w:val="ru-RU"/>
        </w:rPr>
        <w:t xml:space="preserve">Тем не менее по состоянию на сегодняшний день </w:t>
      </w:r>
      <w:r w:rsidR="00FD6077">
        <w:rPr>
          <w:lang w:val="ru-RU"/>
        </w:rPr>
        <w:t xml:space="preserve">уплате все еще подлежит </w:t>
      </w:r>
      <w:r w:rsidR="00FF1F9F">
        <w:rPr>
          <w:lang w:val="ru-RU"/>
        </w:rPr>
        <w:t xml:space="preserve">сумма в </w:t>
      </w:r>
      <w:r w:rsidR="00FE577D">
        <w:rPr>
          <w:lang w:val="ru-RU"/>
        </w:rPr>
        <w:t>21 600</w:t>
      </w:r>
      <w:r w:rsidR="001474C2">
        <w:rPr>
          <w:lang w:val="ru-RU"/>
        </w:rPr>
        <w:t> </w:t>
      </w:r>
      <w:r w:rsidR="00FE577D">
        <w:rPr>
          <w:lang w:val="ru-RU"/>
        </w:rPr>
        <w:t xml:space="preserve">швейцарских франков. </w:t>
      </w:r>
      <w:r w:rsidR="00FF1F9F">
        <w:rPr>
          <w:b/>
          <w:lang w:val="ru-RU"/>
        </w:rPr>
        <w:t>Приложение</w:t>
      </w:r>
      <w:r w:rsidR="00D93679" w:rsidRPr="00D93679">
        <w:rPr>
          <w:b/>
          <w:lang w:val="ru-RU"/>
        </w:rPr>
        <w:t xml:space="preserve"> В</w:t>
      </w:r>
      <w:r w:rsidR="00D93679" w:rsidRPr="00D93679">
        <w:rPr>
          <w:lang w:val="ru-RU"/>
        </w:rPr>
        <w:t xml:space="preserve"> </w:t>
      </w:r>
      <w:r w:rsidR="009A6BFD">
        <w:rPr>
          <w:lang w:val="ru-RU"/>
        </w:rPr>
        <w:t xml:space="preserve">к Документу </w:t>
      </w:r>
      <w:r w:rsidR="009A6BFD" w:rsidRPr="009A6BFD">
        <w:rPr>
          <w:lang w:val="ru-RU"/>
        </w:rPr>
        <w:t xml:space="preserve">CWG-FHR-14/6 </w:t>
      </w:r>
      <w:r w:rsidR="00FF1F9F">
        <w:rPr>
          <w:lang w:val="ru-RU"/>
        </w:rPr>
        <w:t>содержит</w:t>
      </w:r>
      <w:r w:rsidR="00D93679" w:rsidRPr="00D93679">
        <w:rPr>
          <w:lang w:val="ru-RU"/>
        </w:rPr>
        <w:t xml:space="preserve"> перечень организаций, по которым БСЭ имеет подтвержденные контактные данные и которым в 2018, 2019 и/или 2020 году были выставлены счета, до сих пор подлежащие оплате. Секретариат обращается к Государствам-Членам за помощью в погашении этой задолженности.</w:t>
      </w:r>
      <w:r w:rsidR="009A6BFD">
        <w:rPr>
          <w:lang w:val="ru-RU"/>
        </w:rPr>
        <w:t xml:space="preserve"> </w:t>
      </w:r>
    </w:p>
    <w:p w14:paraId="1F1E80EF" w14:textId="56673A3F" w:rsidR="00BC7147" w:rsidRPr="00503F34" w:rsidRDefault="00492D5F" w:rsidP="00492D5F">
      <w:pPr>
        <w:rPr>
          <w:lang w:val="ru-RU"/>
        </w:rPr>
      </w:pPr>
      <w:r w:rsidRPr="00BC7147">
        <w:rPr>
          <w:lang w:val="ru-RU"/>
        </w:rPr>
        <w:t>6.4</w:t>
      </w:r>
      <w:r w:rsidRPr="00BC7147">
        <w:rPr>
          <w:lang w:val="ru-RU"/>
        </w:rPr>
        <w:tab/>
      </w:r>
      <w:r w:rsidR="004A2092">
        <w:rPr>
          <w:u w:val="single"/>
          <w:lang w:val="ru-RU"/>
        </w:rPr>
        <w:t>По</w:t>
      </w:r>
      <w:r w:rsidRPr="00BC7147">
        <w:rPr>
          <w:u w:val="single"/>
          <w:lang w:val="ru-RU"/>
        </w:rPr>
        <w:t xml:space="preserve"> </w:t>
      </w:r>
      <w:r w:rsidRPr="00492D5F">
        <w:rPr>
          <w:u w:val="single"/>
        </w:rPr>
        <w:t>IIN</w:t>
      </w:r>
      <w:r w:rsidRPr="00BC7147">
        <w:rPr>
          <w:u w:val="single"/>
          <w:lang w:val="ru-RU"/>
        </w:rPr>
        <w:t xml:space="preserve"> (</w:t>
      </w:r>
      <w:r w:rsidR="009A6BFD">
        <w:rPr>
          <w:u w:val="single"/>
          <w:lang w:val="ru-RU"/>
        </w:rPr>
        <w:t>Решение</w:t>
      </w:r>
      <w:r w:rsidRPr="00BC7147">
        <w:rPr>
          <w:u w:val="single"/>
          <w:lang w:val="ru-RU"/>
        </w:rPr>
        <w:t xml:space="preserve"> 601)</w:t>
      </w:r>
      <w:r w:rsidR="00BC7147" w:rsidRPr="00BC7147">
        <w:rPr>
          <w:lang w:val="ru-RU"/>
        </w:rPr>
        <w:t xml:space="preserve">: </w:t>
      </w:r>
      <w:r w:rsidR="00597B26" w:rsidRPr="00BC7147">
        <w:rPr>
          <w:lang w:val="ru-RU"/>
        </w:rPr>
        <w:t>перв</w:t>
      </w:r>
      <w:r w:rsidR="00597B26">
        <w:rPr>
          <w:lang w:val="ru-RU"/>
        </w:rPr>
        <w:t xml:space="preserve">ая партия счетов будет выставлена </w:t>
      </w:r>
      <w:r w:rsidR="00BC7147">
        <w:rPr>
          <w:lang w:val="ru-RU"/>
        </w:rPr>
        <w:t xml:space="preserve">в этом году, </w:t>
      </w:r>
      <w:r w:rsidR="00597B26">
        <w:rPr>
          <w:lang w:val="ru-RU"/>
        </w:rPr>
        <w:t xml:space="preserve">поскольку </w:t>
      </w:r>
      <w:r w:rsidR="00FF1F9F">
        <w:rPr>
          <w:lang w:val="ru-RU"/>
        </w:rPr>
        <w:t xml:space="preserve">Секретариат </w:t>
      </w:r>
      <w:r w:rsidR="00597B26">
        <w:rPr>
          <w:lang w:val="ru-RU"/>
        </w:rPr>
        <w:t>занимается обновлением</w:t>
      </w:r>
      <w:r w:rsidR="00BC7147">
        <w:rPr>
          <w:lang w:val="ru-RU"/>
        </w:rPr>
        <w:t xml:space="preserve"> контактн</w:t>
      </w:r>
      <w:r w:rsidR="00597B26">
        <w:rPr>
          <w:lang w:val="ru-RU"/>
        </w:rPr>
        <w:t>ой</w:t>
      </w:r>
      <w:r w:rsidR="00BC7147">
        <w:rPr>
          <w:lang w:val="ru-RU"/>
        </w:rPr>
        <w:t xml:space="preserve"> информа</w:t>
      </w:r>
      <w:r w:rsidR="00597B26">
        <w:rPr>
          <w:lang w:val="ru-RU"/>
        </w:rPr>
        <w:t xml:space="preserve">ции порядка 850 организаций, которые зарегистрировали </w:t>
      </w:r>
      <w:r w:rsidR="00597B26" w:rsidRPr="00597B26">
        <w:rPr>
          <w:lang w:val="ru-RU"/>
        </w:rPr>
        <w:t>IIN</w:t>
      </w:r>
      <w:r w:rsidR="00597B26">
        <w:rPr>
          <w:lang w:val="ru-RU"/>
        </w:rPr>
        <w:t xml:space="preserve"> в МСЭ </w:t>
      </w:r>
      <w:r w:rsidR="00BE705F">
        <w:rPr>
          <w:lang w:val="ru-RU"/>
        </w:rPr>
        <w:t>на протяжении</w:t>
      </w:r>
      <w:r w:rsidR="00597B26">
        <w:rPr>
          <w:lang w:val="ru-RU"/>
        </w:rPr>
        <w:t xml:space="preserve"> многих лет до того, как Решение 601 Совета вступило в силу. В </w:t>
      </w:r>
      <w:r w:rsidR="00597B26" w:rsidRPr="00BE705F">
        <w:rPr>
          <w:b/>
          <w:lang w:val="ru-RU"/>
        </w:rPr>
        <w:t>разделе 3.2</w:t>
      </w:r>
      <w:r w:rsidR="00597B26">
        <w:rPr>
          <w:lang w:val="ru-RU"/>
        </w:rPr>
        <w:t xml:space="preserve"> Документа </w:t>
      </w:r>
      <w:r w:rsidR="00597B26" w:rsidRPr="00492D5F">
        <w:t>CWG</w:t>
      </w:r>
      <w:r w:rsidR="00597B26" w:rsidRPr="00503F34">
        <w:rPr>
          <w:lang w:val="ru-RU"/>
        </w:rPr>
        <w:t>-</w:t>
      </w:r>
      <w:r w:rsidR="00597B26" w:rsidRPr="00492D5F">
        <w:t>FHR</w:t>
      </w:r>
      <w:r w:rsidR="00597B26" w:rsidRPr="00503F34">
        <w:rPr>
          <w:lang w:val="ru-RU"/>
        </w:rPr>
        <w:t>-14/6</w:t>
      </w:r>
      <w:r w:rsidR="00597B26">
        <w:rPr>
          <w:lang w:val="ru-RU"/>
        </w:rPr>
        <w:t xml:space="preserve"> </w:t>
      </w:r>
      <w:r w:rsidR="00503F34">
        <w:rPr>
          <w:lang w:val="ru-RU"/>
        </w:rPr>
        <w:t>представлен</w:t>
      </w:r>
      <w:r w:rsidR="00597B26">
        <w:rPr>
          <w:lang w:val="ru-RU"/>
        </w:rPr>
        <w:t xml:space="preserve"> краткий обзор </w:t>
      </w:r>
      <w:r w:rsidR="00503F34">
        <w:rPr>
          <w:lang w:val="ru-RU"/>
        </w:rPr>
        <w:t>процесса обно</w:t>
      </w:r>
      <w:r w:rsidR="00BE705F">
        <w:rPr>
          <w:lang w:val="ru-RU"/>
        </w:rPr>
        <w:t>вления контактных данных</w:t>
      </w:r>
      <w:r w:rsidR="00503F34">
        <w:rPr>
          <w:lang w:val="ru-RU"/>
        </w:rPr>
        <w:t xml:space="preserve"> по </w:t>
      </w:r>
      <w:r w:rsidR="00503F34" w:rsidRPr="00492D5F">
        <w:t>IIN</w:t>
      </w:r>
      <w:r w:rsidR="00503F34">
        <w:rPr>
          <w:lang w:val="ru-RU"/>
        </w:rPr>
        <w:t>.</w:t>
      </w:r>
    </w:p>
    <w:p w14:paraId="66EE5AE9" w14:textId="01356A69" w:rsidR="00BE705F" w:rsidRPr="00BE705F" w:rsidRDefault="00492D5F" w:rsidP="00492D5F">
      <w:pPr>
        <w:rPr>
          <w:lang w:val="ru-RU"/>
        </w:rPr>
      </w:pPr>
      <w:r w:rsidRPr="00BE705F">
        <w:rPr>
          <w:lang w:val="ru-RU"/>
        </w:rPr>
        <w:t>6.5</w:t>
      </w:r>
      <w:r w:rsidRPr="00BE705F">
        <w:rPr>
          <w:lang w:val="ru-RU"/>
        </w:rPr>
        <w:tab/>
      </w:r>
      <w:r w:rsidR="00BE705F">
        <w:rPr>
          <w:lang w:val="ru-RU"/>
        </w:rPr>
        <w:t xml:space="preserve">В соответствии с объявлением, опубликованным в </w:t>
      </w:r>
      <w:r w:rsidR="00BE705F" w:rsidRPr="00BE705F">
        <w:rPr>
          <w:lang w:val="ru-RU"/>
        </w:rPr>
        <w:t>Оперативно</w:t>
      </w:r>
      <w:r w:rsidR="00BE705F">
        <w:rPr>
          <w:lang w:val="ru-RU"/>
        </w:rPr>
        <w:t>м</w:t>
      </w:r>
      <w:r w:rsidR="00BE705F" w:rsidRPr="00BE705F">
        <w:rPr>
          <w:lang w:val="ru-RU"/>
        </w:rPr>
        <w:t xml:space="preserve"> бюллетен</w:t>
      </w:r>
      <w:r w:rsidR="00BE705F">
        <w:rPr>
          <w:lang w:val="ru-RU"/>
        </w:rPr>
        <w:t>е МСЭ</w:t>
      </w:r>
      <w:r w:rsidR="00BE705F" w:rsidRPr="00BE705F">
        <w:rPr>
          <w:lang w:val="ru-RU"/>
        </w:rPr>
        <w:t xml:space="preserve"> №</w:t>
      </w:r>
      <w:r w:rsidR="00BE705F">
        <w:rPr>
          <w:lang w:val="ru-RU"/>
        </w:rPr>
        <w:t xml:space="preserve"> 1222 </w:t>
      </w:r>
      <w:r w:rsidR="00BE705F" w:rsidRPr="00BE705F">
        <w:rPr>
          <w:lang w:val="ru-RU"/>
        </w:rPr>
        <w:t>(15.</w:t>
      </w:r>
      <w:r w:rsidR="00BE705F" w:rsidRPr="00492D5F">
        <w:t>VI</w:t>
      </w:r>
      <w:r w:rsidR="00BE705F" w:rsidRPr="00BE705F">
        <w:rPr>
          <w:lang w:val="ru-RU"/>
        </w:rPr>
        <w:t>.2021</w:t>
      </w:r>
      <w:r w:rsidR="009248A4">
        <w:rPr>
          <w:lang w:val="ru-RU"/>
        </w:rPr>
        <w:t xml:space="preserve"> г.</w:t>
      </w:r>
      <w:r w:rsidR="00BE705F" w:rsidRPr="00BE705F">
        <w:rPr>
          <w:lang w:val="ru-RU"/>
        </w:rPr>
        <w:t>)</w:t>
      </w:r>
      <w:r w:rsidR="00BE705F">
        <w:rPr>
          <w:lang w:val="ru-RU"/>
        </w:rPr>
        <w:t xml:space="preserve">, список </w:t>
      </w:r>
      <w:r w:rsidR="00BE705F" w:rsidRPr="00BE705F">
        <w:rPr>
          <w:lang w:val="ru-RU"/>
        </w:rPr>
        <w:t>IIN МСЭ-T E.118</w:t>
      </w:r>
      <w:r w:rsidR="00BE705F">
        <w:rPr>
          <w:lang w:val="ru-RU"/>
        </w:rPr>
        <w:t xml:space="preserve">, по которым контактные данные получателей ресурсов до сих пор неизвестны, представлен </w:t>
      </w:r>
      <w:r w:rsidR="00FF1F9F">
        <w:rPr>
          <w:lang w:val="ru-RU"/>
        </w:rPr>
        <w:t xml:space="preserve">в </w:t>
      </w:r>
      <w:r w:rsidR="00FF1F9F" w:rsidRPr="00BE705F">
        <w:rPr>
          <w:b/>
          <w:lang w:val="ru-RU"/>
        </w:rPr>
        <w:t>разделе 3.1.4</w:t>
      </w:r>
      <w:r w:rsidR="00FF1F9F">
        <w:rPr>
          <w:b/>
          <w:lang w:val="ru-RU"/>
        </w:rPr>
        <w:t xml:space="preserve"> </w:t>
      </w:r>
      <w:r w:rsidR="00BE705F">
        <w:rPr>
          <w:lang w:val="ru-RU"/>
        </w:rPr>
        <w:t xml:space="preserve">на веб-странице МСЭ </w:t>
      </w:r>
      <w:r w:rsidR="00D46136">
        <w:fldChar w:fldCharType="begin"/>
      </w:r>
      <w:r w:rsidR="00D46136" w:rsidRPr="00D46136">
        <w:rPr>
          <w:lang w:val="ru-RU"/>
        </w:rPr>
        <w:instrText xml:space="preserve"> </w:instrText>
      </w:r>
      <w:r w:rsidR="00D46136">
        <w:instrText>HYPERLINK</w:instrText>
      </w:r>
      <w:r w:rsidR="00D46136" w:rsidRPr="00D46136">
        <w:rPr>
          <w:lang w:val="ru-RU"/>
        </w:rPr>
        <w:instrText xml:space="preserve"> "</w:instrText>
      </w:r>
      <w:r w:rsidR="00D46136">
        <w:instrText>https</w:instrText>
      </w:r>
      <w:r w:rsidR="00D46136" w:rsidRPr="00D46136">
        <w:rPr>
          <w:lang w:val="ru-RU"/>
        </w:rPr>
        <w:instrText>://</w:instrText>
      </w:r>
      <w:r w:rsidR="00D46136">
        <w:instrText>www</w:instrText>
      </w:r>
      <w:r w:rsidR="00D46136" w:rsidRPr="00D46136">
        <w:rPr>
          <w:lang w:val="ru-RU"/>
        </w:rPr>
        <w:instrText>.</w:instrText>
      </w:r>
      <w:r w:rsidR="00D46136">
        <w:instrText>itu</w:instrText>
      </w:r>
      <w:r w:rsidR="00D46136" w:rsidRPr="00D46136">
        <w:rPr>
          <w:lang w:val="ru-RU"/>
        </w:rPr>
        <w:instrText>.</w:instrText>
      </w:r>
      <w:r w:rsidR="00D46136">
        <w:instrText>int</w:instrText>
      </w:r>
      <w:r w:rsidR="00D46136" w:rsidRPr="00D46136">
        <w:rPr>
          <w:lang w:val="ru-RU"/>
        </w:rPr>
        <w:instrText>/</w:instrText>
      </w:r>
      <w:r w:rsidR="00D46136">
        <w:instrText>en</w:instrText>
      </w:r>
      <w:r w:rsidR="00D46136" w:rsidRPr="00D46136">
        <w:rPr>
          <w:lang w:val="ru-RU"/>
        </w:rPr>
        <w:instrText>/</w:instrText>
      </w:r>
      <w:r w:rsidR="00D46136">
        <w:instrText>ITU</w:instrText>
      </w:r>
      <w:r w:rsidR="00D46136" w:rsidRPr="00D46136">
        <w:rPr>
          <w:lang w:val="ru-RU"/>
        </w:rPr>
        <w:instrText>-</w:instrText>
      </w:r>
      <w:r w:rsidR="00D46136">
        <w:instrText>T</w:instrText>
      </w:r>
      <w:r w:rsidR="00D46136" w:rsidRPr="00D46136">
        <w:rPr>
          <w:lang w:val="ru-RU"/>
        </w:rPr>
        <w:instrText>/</w:instrText>
      </w:r>
      <w:r w:rsidR="00D46136">
        <w:instrText>inr</w:instrText>
      </w:r>
      <w:r w:rsidR="00D46136" w:rsidRPr="00D46136">
        <w:rPr>
          <w:lang w:val="ru-RU"/>
        </w:rPr>
        <w:instrText>/</w:instrText>
      </w:r>
      <w:r w:rsidR="00D46136">
        <w:instrText>forms</w:instrText>
      </w:r>
      <w:r w:rsidR="00D46136" w:rsidRPr="00D46136">
        <w:rPr>
          <w:lang w:val="ru-RU"/>
        </w:rPr>
        <w:instrText>/</w:instrText>
      </w:r>
      <w:r w:rsidR="00D46136">
        <w:instrText>Pages</w:instrText>
      </w:r>
      <w:r w:rsidR="00D46136" w:rsidRPr="00D46136">
        <w:rPr>
          <w:lang w:val="ru-RU"/>
        </w:rPr>
        <w:instrText>/</w:instrText>
      </w:r>
      <w:r w:rsidR="00D46136">
        <w:instrText>iin</w:instrText>
      </w:r>
      <w:r w:rsidR="00D46136" w:rsidRPr="00D46136">
        <w:rPr>
          <w:lang w:val="ru-RU"/>
        </w:rPr>
        <w:instrText>.</w:instrText>
      </w:r>
      <w:r w:rsidR="00D46136">
        <w:instrText>aspx</w:instrText>
      </w:r>
      <w:r w:rsidR="00D46136" w:rsidRPr="00D46136">
        <w:rPr>
          <w:lang w:val="ru-RU"/>
        </w:rPr>
        <w:instrText>" \</w:instrText>
      </w:r>
      <w:r w:rsidR="00D46136">
        <w:instrText>l</w:instrText>
      </w:r>
      <w:r w:rsidR="00D46136" w:rsidRPr="00D46136">
        <w:rPr>
          <w:lang w:val="ru-RU"/>
        </w:rPr>
        <w:instrText xml:space="preserve"> "</w:instrText>
      </w:r>
      <w:r w:rsidR="00D46136">
        <w:instrText>assignee</w:instrText>
      </w:r>
      <w:r w:rsidR="00D46136" w:rsidRPr="00D46136">
        <w:rPr>
          <w:lang w:val="ru-RU"/>
        </w:rPr>
        <w:instrText>-</w:instrText>
      </w:r>
      <w:r w:rsidR="00D46136">
        <w:instrText>contact</w:instrText>
      </w:r>
      <w:r w:rsidR="00D46136" w:rsidRPr="00D46136">
        <w:rPr>
          <w:lang w:val="ru-RU"/>
        </w:rPr>
        <w:instrText>-</w:instrText>
      </w:r>
      <w:r w:rsidR="00D46136">
        <w:instrText>not</w:instrText>
      </w:r>
      <w:r w:rsidR="00D46136" w:rsidRPr="00D46136">
        <w:rPr>
          <w:lang w:val="ru-RU"/>
        </w:rPr>
        <w:instrText>-</w:instrText>
      </w:r>
      <w:r w:rsidR="00D46136">
        <w:instrText>reachable</w:instrText>
      </w:r>
      <w:r w:rsidR="00D46136" w:rsidRPr="00D46136">
        <w:rPr>
          <w:lang w:val="ru-RU"/>
        </w:rPr>
        <w:instrText xml:space="preserve">" </w:instrText>
      </w:r>
      <w:r w:rsidR="00D46136">
        <w:fldChar w:fldCharType="separate"/>
      </w:r>
      <w:r w:rsidR="00BE705F" w:rsidRPr="00492D5F">
        <w:rPr>
          <w:rStyle w:val="Hyperlink"/>
        </w:rPr>
        <w:t>https</w:t>
      </w:r>
      <w:r w:rsidR="00BE705F" w:rsidRPr="00BE705F">
        <w:rPr>
          <w:rStyle w:val="Hyperlink"/>
          <w:lang w:val="ru-RU"/>
        </w:rPr>
        <w:t>://</w:t>
      </w:r>
      <w:r w:rsidR="00BE705F" w:rsidRPr="00492D5F">
        <w:rPr>
          <w:rStyle w:val="Hyperlink"/>
        </w:rPr>
        <w:t>www</w:t>
      </w:r>
      <w:r w:rsidR="00BE705F" w:rsidRPr="00BE705F">
        <w:rPr>
          <w:rStyle w:val="Hyperlink"/>
          <w:lang w:val="ru-RU"/>
        </w:rPr>
        <w:t>.</w:t>
      </w:r>
      <w:proofErr w:type="spellStart"/>
      <w:r w:rsidR="00BE705F" w:rsidRPr="00492D5F">
        <w:rPr>
          <w:rStyle w:val="Hyperlink"/>
        </w:rPr>
        <w:t>itu</w:t>
      </w:r>
      <w:proofErr w:type="spellEnd"/>
      <w:r w:rsidR="00BE705F" w:rsidRPr="00BE705F">
        <w:rPr>
          <w:rStyle w:val="Hyperlink"/>
          <w:lang w:val="ru-RU"/>
        </w:rPr>
        <w:t>.</w:t>
      </w:r>
      <w:r w:rsidR="00BE705F" w:rsidRPr="00492D5F">
        <w:rPr>
          <w:rStyle w:val="Hyperlink"/>
        </w:rPr>
        <w:t>int</w:t>
      </w:r>
      <w:r w:rsidR="00BE705F" w:rsidRPr="00BE705F">
        <w:rPr>
          <w:rStyle w:val="Hyperlink"/>
          <w:lang w:val="ru-RU"/>
        </w:rPr>
        <w:t>/</w:t>
      </w:r>
      <w:proofErr w:type="spellStart"/>
      <w:r w:rsidR="00BE705F" w:rsidRPr="00492D5F">
        <w:rPr>
          <w:rStyle w:val="Hyperlink"/>
        </w:rPr>
        <w:t>en</w:t>
      </w:r>
      <w:proofErr w:type="spellEnd"/>
      <w:r w:rsidR="00BE705F" w:rsidRPr="00BE705F">
        <w:rPr>
          <w:rStyle w:val="Hyperlink"/>
          <w:lang w:val="ru-RU"/>
        </w:rPr>
        <w:t>/</w:t>
      </w:r>
      <w:r w:rsidR="00BE705F" w:rsidRPr="00492D5F">
        <w:rPr>
          <w:rStyle w:val="Hyperlink"/>
        </w:rPr>
        <w:t>ITU</w:t>
      </w:r>
      <w:r w:rsidR="00BE705F" w:rsidRPr="00BE705F">
        <w:rPr>
          <w:rStyle w:val="Hyperlink"/>
          <w:lang w:val="ru-RU"/>
        </w:rPr>
        <w:t>-</w:t>
      </w:r>
      <w:r w:rsidR="00BE705F" w:rsidRPr="00492D5F">
        <w:rPr>
          <w:rStyle w:val="Hyperlink"/>
        </w:rPr>
        <w:t>T</w:t>
      </w:r>
      <w:r w:rsidR="00BE705F" w:rsidRPr="00BE705F">
        <w:rPr>
          <w:rStyle w:val="Hyperlink"/>
          <w:lang w:val="ru-RU"/>
        </w:rPr>
        <w:t>/</w:t>
      </w:r>
      <w:proofErr w:type="spellStart"/>
      <w:r w:rsidR="00BE705F" w:rsidRPr="00492D5F">
        <w:rPr>
          <w:rStyle w:val="Hyperlink"/>
        </w:rPr>
        <w:t>inr</w:t>
      </w:r>
      <w:proofErr w:type="spellEnd"/>
      <w:r w:rsidR="00BE705F" w:rsidRPr="00BE705F">
        <w:rPr>
          <w:rStyle w:val="Hyperlink"/>
          <w:lang w:val="ru-RU"/>
        </w:rPr>
        <w:t>/</w:t>
      </w:r>
      <w:r w:rsidR="00BE705F" w:rsidRPr="00492D5F">
        <w:rPr>
          <w:rStyle w:val="Hyperlink"/>
        </w:rPr>
        <w:t>forms</w:t>
      </w:r>
      <w:r w:rsidR="00BE705F" w:rsidRPr="00BE705F">
        <w:rPr>
          <w:rStyle w:val="Hyperlink"/>
          <w:lang w:val="ru-RU"/>
        </w:rPr>
        <w:t>/</w:t>
      </w:r>
      <w:r w:rsidR="00BE705F" w:rsidRPr="00492D5F">
        <w:rPr>
          <w:rStyle w:val="Hyperlink"/>
        </w:rPr>
        <w:t>Pages</w:t>
      </w:r>
      <w:r w:rsidR="00BE705F" w:rsidRPr="00BE705F">
        <w:rPr>
          <w:rStyle w:val="Hyperlink"/>
          <w:lang w:val="ru-RU"/>
        </w:rPr>
        <w:t>/</w:t>
      </w:r>
      <w:proofErr w:type="spellStart"/>
      <w:r w:rsidR="00BE705F" w:rsidRPr="00492D5F">
        <w:rPr>
          <w:rStyle w:val="Hyperlink"/>
        </w:rPr>
        <w:t>iin</w:t>
      </w:r>
      <w:proofErr w:type="spellEnd"/>
      <w:r w:rsidR="00BE705F" w:rsidRPr="00BE705F">
        <w:rPr>
          <w:rStyle w:val="Hyperlink"/>
          <w:lang w:val="ru-RU"/>
        </w:rPr>
        <w:t>.</w:t>
      </w:r>
      <w:proofErr w:type="spellStart"/>
      <w:r w:rsidR="00BE705F" w:rsidRPr="00492D5F">
        <w:rPr>
          <w:rStyle w:val="Hyperlink"/>
        </w:rPr>
        <w:t>aspx</w:t>
      </w:r>
      <w:proofErr w:type="spellEnd"/>
      <w:r w:rsidR="00BE705F" w:rsidRPr="00BE705F">
        <w:rPr>
          <w:rStyle w:val="Hyperlink"/>
          <w:lang w:val="ru-RU"/>
        </w:rPr>
        <w:t>#</w:t>
      </w:r>
      <w:r w:rsidR="00BE705F" w:rsidRPr="00492D5F">
        <w:rPr>
          <w:rStyle w:val="Hyperlink"/>
        </w:rPr>
        <w:t>assignee</w:t>
      </w:r>
      <w:r w:rsidR="00BE705F" w:rsidRPr="00BE705F">
        <w:rPr>
          <w:rStyle w:val="Hyperlink"/>
          <w:lang w:val="ru-RU"/>
        </w:rPr>
        <w:t>-</w:t>
      </w:r>
      <w:r w:rsidR="00BE705F" w:rsidRPr="00492D5F">
        <w:rPr>
          <w:rStyle w:val="Hyperlink"/>
        </w:rPr>
        <w:t>contact</w:t>
      </w:r>
      <w:r w:rsidR="00BE705F" w:rsidRPr="00BE705F">
        <w:rPr>
          <w:rStyle w:val="Hyperlink"/>
          <w:lang w:val="ru-RU"/>
        </w:rPr>
        <w:t>-</w:t>
      </w:r>
      <w:r w:rsidR="00BE705F" w:rsidRPr="00492D5F">
        <w:rPr>
          <w:rStyle w:val="Hyperlink"/>
        </w:rPr>
        <w:t>not</w:t>
      </w:r>
      <w:r w:rsidR="00BE705F" w:rsidRPr="00BE705F">
        <w:rPr>
          <w:rStyle w:val="Hyperlink"/>
          <w:lang w:val="ru-RU"/>
        </w:rPr>
        <w:t>-</w:t>
      </w:r>
      <w:r w:rsidR="00BE705F" w:rsidRPr="00492D5F">
        <w:rPr>
          <w:rStyle w:val="Hyperlink"/>
        </w:rPr>
        <w:t>reachable</w:t>
      </w:r>
      <w:r w:rsidR="00D46136">
        <w:rPr>
          <w:rStyle w:val="Hyperlink"/>
        </w:rPr>
        <w:fldChar w:fldCharType="end"/>
      </w:r>
      <w:r w:rsidR="00BE705F" w:rsidRPr="00BE705F">
        <w:rPr>
          <w:rStyle w:val="Hyperlink"/>
          <w:color w:val="auto"/>
          <w:u w:val="none"/>
          <w:lang w:val="ru-RU"/>
        </w:rPr>
        <w:t>.</w:t>
      </w:r>
    </w:p>
    <w:p w14:paraId="745359BD" w14:textId="77777777" w:rsidR="00492D5F" w:rsidRPr="00EB54CB" w:rsidRDefault="00492D5F" w:rsidP="00492D5F">
      <w:pPr>
        <w:rPr>
          <w:lang w:val="ru-RU"/>
        </w:rPr>
      </w:pPr>
      <w:r w:rsidRPr="00EB54CB">
        <w:rPr>
          <w:lang w:val="ru-RU"/>
        </w:rPr>
        <w:t>6.6</w:t>
      </w:r>
      <w:r w:rsidRPr="00EB54CB">
        <w:rPr>
          <w:lang w:val="ru-RU"/>
        </w:rPr>
        <w:tab/>
      </w:r>
      <w:r w:rsidR="00EB54CB" w:rsidRPr="00EB54CB">
        <w:rPr>
          <w:lang w:val="ru-RU"/>
        </w:rPr>
        <w:t>Национальным администрациям/регуляторным органам или уполномоченным организациям предлагается оказывать содействие в уточнении их актуального статуса и/или контактных данных.</w:t>
      </w:r>
    </w:p>
    <w:p w14:paraId="3CA69A87" w14:textId="77777777" w:rsidR="00492D5F" w:rsidRPr="002B6316" w:rsidRDefault="005225DD" w:rsidP="00492D5F">
      <w:pPr>
        <w:rPr>
          <w:u w:val="single"/>
          <w:lang w:val="ru-RU"/>
        </w:rPr>
      </w:pPr>
      <w:r w:rsidRPr="005225DD">
        <w:rPr>
          <w:u w:val="single"/>
          <w:lang w:val="ru-RU"/>
        </w:rPr>
        <w:t>Заключение</w:t>
      </w:r>
    </w:p>
    <w:p w14:paraId="5E82F20D" w14:textId="77777777" w:rsidR="00492D5F" w:rsidRPr="00BF1C19" w:rsidRDefault="00492D5F" w:rsidP="00492D5F">
      <w:pPr>
        <w:rPr>
          <w:lang w:val="ru-RU"/>
        </w:rPr>
      </w:pPr>
      <w:r w:rsidRPr="00BF1C19">
        <w:rPr>
          <w:lang w:val="ru-RU"/>
        </w:rPr>
        <w:t>6.7</w:t>
      </w:r>
      <w:r w:rsidRPr="00BF1C19">
        <w:rPr>
          <w:lang w:val="ru-RU"/>
        </w:rPr>
        <w:tab/>
      </w:r>
      <w:r w:rsidR="00BF1C19" w:rsidRPr="00BF1C19">
        <w:rPr>
          <w:lang w:val="ru-RU"/>
        </w:rPr>
        <w:t xml:space="preserve">Секретариат просит Государства-Члены оказывать постоянную помощь в погашении задолженности, указанной в </w:t>
      </w:r>
      <w:r w:rsidR="00BF1C19" w:rsidRPr="00BF1C19">
        <w:rPr>
          <w:b/>
          <w:bCs/>
          <w:lang w:val="ru-RU"/>
        </w:rPr>
        <w:t>Приложении B</w:t>
      </w:r>
      <w:r w:rsidR="00BF1C19" w:rsidRPr="00BF1C19">
        <w:rPr>
          <w:lang w:val="ru-RU"/>
        </w:rPr>
        <w:t>.</w:t>
      </w:r>
    </w:p>
    <w:p w14:paraId="608CC1B9" w14:textId="23D69F2D" w:rsidR="00492D5F" w:rsidRPr="00BF1C19" w:rsidRDefault="00492D5F" w:rsidP="00492D5F">
      <w:pPr>
        <w:rPr>
          <w:lang w:val="ru-RU"/>
        </w:rPr>
      </w:pPr>
      <w:r w:rsidRPr="00BF1C19">
        <w:rPr>
          <w:lang w:val="ru-RU"/>
        </w:rPr>
        <w:t>6.8</w:t>
      </w:r>
      <w:r w:rsidRPr="00BF1C19">
        <w:rPr>
          <w:lang w:val="ru-RU"/>
        </w:rPr>
        <w:tab/>
      </w:r>
      <w:r w:rsidR="00BF1C19" w:rsidRPr="00BF1C19">
        <w:rPr>
          <w:lang w:val="ru-RU"/>
        </w:rPr>
        <w:t xml:space="preserve">Национальным администрациям/регуляторным органам или уполномоченным организациям предлагается оказывать содействие </w:t>
      </w:r>
      <w:r w:rsidR="00FF1F9F" w:rsidRPr="00BF1C19">
        <w:rPr>
          <w:lang w:val="ru-RU"/>
        </w:rPr>
        <w:t xml:space="preserve">Секретариату </w:t>
      </w:r>
      <w:r w:rsidR="00BF1C19" w:rsidRPr="00BF1C19">
        <w:rPr>
          <w:lang w:val="ru-RU"/>
        </w:rPr>
        <w:t xml:space="preserve">в уточнении актуального статуса и/или </w:t>
      </w:r>
      <w:r w:rsidR="00BF1C19" w:rsidRPr="00150CC0">
        <w:rPr>
          <w:b/>
          <w:lang w:val="ru-RU"/>
        </w:rPr>
        <w:t>контактных данных</w:t>
      </w:r>
      <w:r w:rsidR="00BF1C19" w:rsidRPr="00BF1C19">
        <w:rPr>
          <w:lang w:val="ru-RU"/>
        </w:rPr>
        <w:t xml:space="preserve"> поставщиков услуг UIFN, перечисленных в </w:t>
      </w:r>
      <w:r w:rsidR="00BF1C19" w:rsidRPr="00BF1C19">
        <w:rPr>
          <w:b/>
          <w:bCs/>
          <w:lang w:val="ru-RU"/>
        </w:rPr>
        <w:t>Приложении C</w:t>
      </w:r>
      <w:r w:rsidR="00BF1C19" w:rsidRPr="00BF1C19">
        <w:rPr>
          <w:lang w:val="ru-RU"/>
        </w:rPr>
        <w:t xml:space="preserve">, и </w:t>
      </w:r>
      <w:r w:rsidR="00BF1C19" w:rsidRPr="00BF1C19">
        <w:rPr>
          <w:b/>
          <w:bCs/>
          <w:lang w:val="ru-RU"/>
        </w:rPr>
        <w:t>контактных данных получателей ресурсов IIN</w:t>
      </w:r>
      <w:r w:rsidR="00150CC0" w:rsidRPr="00943488">
        <w:rPr>
          <w:bCs/>
          <w:lang w:val="ru-RU"/>
        </w:rPr>
        <w:t xml:space="preserve">, указанных </w:t>
      </w:r>
      <w:r w:rsidR="00150CC0" w:rsidRPr="00150CC0">
        <w:rPr>
          <w:bCs/>
          <w:lang w:val="ru-RU"/>
        </w:rPr>
        <w:t xml:space="preserve">в разделе </w:t>
      </w:r>
      <w:r w:rsidR="00150CC0" w:rsidRPr="00150CC0">
        <w:rPr>
          <w:lang w:val="ru-RU"/>
        </w:rPr>
        <w:t>3.1.4</w:t>
      </w:r>
      <w:r w:rsidR="00150CC0" w:rsidRPr="00150CC0">
        <w:rPr>
          <w:rStyle w:val="Hyperlink"/>
          <w:color w:val="auto"/>
          <w:u w:val="none"/>
          <w:lang w:val="ru-RU"/>
        </w:rPr>
        <w:t>.</w:t>
      </w:r>
    </w:p>
    <w:p w14:paraId="6F1DAB39" w14:textId="3AB0AB69" w:rsidR="00AC5B37" w:rsidRPr="006536C4" w:rsidRDefault="00492D5F" w:rsidP="00492D5F">
      <w:pPr>
        <w:rPr>
          <w:lang w:val="ru-RU"/>
        </w:rPr>
      </w:pPr>
      <w:r w:rsidRPr="00AC5B37">
        <w:rPr>
          <w:lang w:val="ru-RU"/>
        </w:rPr>
        <w:t>6.9</w:t>
      </w:r>
      <w:r w:rsidRPr="00AC5B37">
        <w:rPr>
          <w:lang w:val="ru-RU"/>
        </w:rPr>
        <w:tab/>
      </w:r>
      <w:r w:rsidR="00AC5B37">
        <w:rPr>
          <w:lang w:val="ru-RU"/>
        </w:rPr>
        <w:t xml:space="preserve">Один из делегатов спросил, покрывают ли собранные на настоящий момент доходы затраты на содержание регистратора </w:t>
      </w:r>
      <w:r w:rsidR="00AC5B37" w:rsidRPr="00492D5F">
        <w:t>UIFN</w:t>
      </w:r>
      <w:r w:rsidR="00AC5B37" w:rsidRPr="00AC5B37">
        <w:rPr>
          <w:lang w:val="ru-RU"/>
        </w:rPr>
        <w:t xml:space="preserve"> </w:t>
      </w:r>
      <w:r w:rsidR="00AC5B37">
        <w:rPr>
          <w:lang w:val="ru-RU"/>
        </w:rPr>
        <w:t xml:space="preserve">и </w:t>
      </w:r>
      <w:r w:rsidR="00AC5B37" w:rsidRPr="00492D5F">
        <w:t>IIN</w:t>
      </w:r>
      <w:r w:rsidR="00AC5B37">
        <w:rPr>
          <w:lang w:val="ru-RU"/>
        </w:rPr>
        <w:t xml:space="preserve">. </w:t>
      </w:r>
      <w:r w:rsidR="00720924">
        <w:rPr>
          <w:lang w:val="ru-RU"/>
        </w:rPr>
        <w:t xml:space="preserve">Секретариат </w:t>
      </w:r>
      <w:r w:rsidR="00AC5B37">
        <w:rPr>
          <w:lang w:val="ru-RU"/>
        </w:rPr>
        <w:t xml:space="preserve">ответил, что на данный момент полученного дохода недостаточно для покрытия расходов на эту деятельность, и предложил подготовить к следующему собранию </w:t>
      </w:r>
      <w:r w:rsidR="00AC5B37" w:rsidRPr="00C22779">
        <w:rPr>
          <w:szCs w:val="22"/>
          <w:lang w:val="ru-RU"/>
        </w:rPr>
        <w:t>РГС-ФЛР</w:t>
      </w:r>
      <w:r w:rsidR="00AC5B37">
        <w:rPr>
          <w:lang w:val="ru-RU"/>
        </w:rPr>
        <w:t xml:space="preserve"> документ, содержащий более обстоятельный ответ на этот вопрос с учетом всех </w:t>
      </w:r>
      <w:r w:rsidR="00720924">
        <w:rPr>
          <w:lang w:val="ru-RU"/>
        </w:rPr>
        <w:t>полученных поступлений</w:t>
      </w:r>
      <w:r w:rsidR="00AC5B37">
        <w:rPr>
          <w:lang w:val="ru-RU"/>
        </w:rPr>
        <w:t xml:space="preserve">, </w:t>
      </w:r>
      <w:r w:rsidR="00AC5B37" w:rsidRPr="00720924">
        <w:rPr>
          <w:lang w:val="ru-RU"/>
        </w:rPr>
        <w:t xml:space="preserve">включая </w:t>
      </w:r>
      <w:r w:rsidR="004F2717" w:rsidRPr="00720924">
        <w:rPr>
          <w:lang w:val="ru-RU"/>
        </w:rPr>
        <w:t xml:space="preserve">счета за </w:t>
      </w:r>
      <w:r w:rsidR="004F2717" w:rsidRPr="00720924">
        <w:t>IIN</w:t>
      </w:r>
      <w:r w:rsidR="004F2717" w:rsidRPr="00720924">
        <w:rPr>
          <w:lang w:val="ru-RU"/>
        </w:rPr>
        <w:t>,</w:t>
      </w:r>
      <w:r w:rsidR="00AC5B37" w:rsidRPr="00720924">
        <w:rPr>
          <w:lang w:val="ru-RU"/>
        </w:rPr>
        <w:t xml:space="preserve"> выставленны</w:t>
      </w:r>
      <w:r w:rsidR="002B400C" w:rsidRPr="00720924">
        <w:rPr>
          <w:lang w:val="ru-RU"/>
        </w:rPr>
        <w:t>е</w:t>
      </w:r>
      <w:r w:rsidR="00AC5B37" w:rsidRPr="00720924">
        <w:rPr>
          <w:lang w:val="ru-RU"/>
        </w:rPr>
        <w:t xml:space="preserve"> </w:t>
      </w:r>
      <w:r w:rsidR="004F2717">
        <w:rPr>
          <w:lang w:val="ru-RU"/>
        </w:rPr>
        <w:t xml:space="preserve">за последнее время, </w:t>
      </w:r>
      <w:r w:rsidR="002B400C" w:rsidRPr="00720924">
        <w:rPr>
          <w:lang w:val="ru-RU"/>
        </w:rPr>
        <w:t>а также счета, выставленные новым</w:t>
      </w:r>
      <w:r w:rsidR="006536C4" w:rsidRPr="00720924">
        <w:rPr>
          <w:lang w:val="ru-RU"/>
        </w:rPr>
        <w:t xml:space="preserve"> Член</w:t>
      </w:r>
      <w:r w:rsidR="002B400C" w:rsidRPr="00720924">
        <w:rPr>
          <w:lang w:val="ru-RU"/>
        </w:rPr>
        <w:t>ам</w:t>
      </w:r>
      <w:r w:rsidR="006536C4" w:rsidRPr="00720924">
        <w:rPr>
          <w:lang w:val="ru-RU"/>
        </w:rPr>
        <w:t xml:space="preserve"> Сектор</w:t>
      </w:r>
      <w:r w:rsidR="009D2D34" w:rsidRPr="00720924">
        <w:rPr>
          <w:lang w:val="ru-RU"/>
        </w:rPr>
        <w:t>ов</w:t>
      </w:r>
      <w:r w:rsidR="006536C4" w:rsidRPr="00720924">
        <w:rPr>
          <w:lang w:val="ru-RU"/>
        </w:rPr>
        <w:t>, п</w:t>
      </w:r>
      <w:r w:rsidR="006536C4">
        <w:rPr>
          <w:lang w:val="ru-RU"/>
        </w:rPr>
        <w:t>рисоединивши</w:t>
      </w:r>
      <w:r w:rsidR="002B400C">
        <w:rPr>
          <w:lang w:val="ru-RU"/>
        </w:rPr>
        <w:t>м</w:t>
      </w:r>
      <w:r w:rsidR="006536C4">
        <w:rPr>
          <w:lang w:val="ru-RU"/>
        </w:rPr>
        <w:t>ся к МСЭ-Т или МСЭ-</w:t>
      </w:r>
      <w:r w:rsidR="006536C4" w:rsidRPr="00492D5F">
        <w:t>R</w:t>
      </w:r>
      <w:r w:rsidR="006536C4">
        <w:rPr>
          <w:lang w:val="ru-RU"/>
        </w:rPr>
        <w:t xml:space="preserve"> в связи с </w:t>
      </w:r>
      <w:r w:rsidR="004F2717">
        <w:rPr>
          <w:lang w:val="ru-RU"/>
        </w:rPr>
        <w:t>Решениями</w:t>
      </w:r>
      <w:r w:rsidR="006536C4">
        <w:rPr>
          <w:lang w:val="ru-RU"/>
        </w:rPr>
        <w:t xml:space="preserve"> </w:t>
      </w:r>
      <w:r w:rsidR="006536C4" w:rsidRPr="006536C4">
        <w:rPr>
          <w:lang w:val="ru-RU"/>
        </w:rPr>
        <w:t xml:space="preserve">600 </w:t>
      </w:r>
      <w:r w:rsidR="006536C4">
        <w:rPr>
          <w:lang w:val="ru-RU"/>
        </w:rPr>
        <w:t>и</w:t>
      </w:r>
      <w:r w:rsidR="006536C4" w:rsidRPr="006536C4">
        <w:rPr>
          <w:lang w:val="ru-RU"/>
        </w:rPr>
        <w:t xml:space="preserve"> 601.</w:t>
      </w:r>
    </w:p>
    <w:p w14:paraId="3B83D5A5" w14:textId="09B6D928" w:rsidR="00492D5F" w:rsidRPr="00B1303A" w:rsidRDefault="00492D5F" w:rsidP="00492D5F">
      <w:pPr>
        <w:rPr>
          <w:lang w:val="ru-RU"/>
        </w:rPr>
      </w:pPr>
      <w:r w:rsidRPr="00B1303A">
        <w:rPr>
          <w:lang w:val="ru-RU"/>
        </w:rPr>
        <w:t>6.10</w:t>
      </w:r>
      <w:r w:rsidRPr="00B1303A">
        <w:rPr>
          <w:lang w:val="ru-RU"/>
        </w:rPr>
        <w:tab/>
      </w:r>
      <w:r w:rsidR="002B400C">
        <w:rPr>
          <w:lang w:val="ru-RU"/>
        </w:rPr>
        <w:t xml:space="preserve">Секретариат представил Документ </w:t>
      </w:r>
      <w:r w:rsidRPr="00492D5F">
        <w:t>CWG</w:t>
      </w:r>
      <w:r w:rsidRPr="00B1303A">
        <w:rPr>
          <w:lang w:val="ru-RU"/>
        </w:rPr>
        <w:t>-</w:t>
      </w:r>
      <w:r w:rsidRPr="00492D5F">
        <w:t>FHR</w:t>
      </w:r>
      <w:r w:rsidRPr="00B1303A">
        <w:rPr>
          <w:lang w:val="ru-RU"/>
        </w:rPr>
        <w:t>-14/7.</w:t>
      </w:r>
    </w:p>
    <w:p w14:paraId="1089DF68" w14:textId="4C7D862A" w:rsidR="00B1303A" w:rsidRPr="00B1303A" w:rsidRDefault="00492D5F" w:rsidP="00492D5F">
      <w:pPr>
        <w:rPr>
          <w:lang w:val="ru-RU"/>
        </w:rPr>
      </w:pPr>
      <w:r w:rsidRPr="00B1303A">
        <w:rPr>
          <w:lang w:val="ru-RU"/>
        </w:rPr>
        <w:t>6.11</w:t>
      </w:r>
      <w:r w:rsidRPr="00B1303A">
        <w:rPr>
          <w:lang w:val="ru-RU"/>
        </w:rPr>
        <w:tab/>
      </w:r>
      <w:r w:rsidR="00B1303A">
        <w:rPr>
          <w:lang w:val="ru-RU"/>
        </w:rPr>
        <w:t xml:space="preserve">В документе кратко изложены </w:t>
      </w:r>
      <w:r w:rsidR="000745D0">
        <w:rPr>
          <w:lang w:val="ru-RU"/>
        </w:rPr>
        <w:t>рекомендации</w:t>
      </w:r>
      <w:r w:rsidR="00B1303A">
        <w:rPr>
          <w:lang w:val="ru-RU"/>
        </w:rPr>
        <w:t xml:space="preserve">, подготовленные на </w:t>
      </w:r>
      <w:r w:rsidR="00B1303A" w:rsidRPr="00B1303A">
        <w:rPr>
          <w:b/>
          <w:lang w:val="ru-RU"/>
        </w:rPr>
        <w:t>собрании ИК2 МСЭ-Т</w:t>
      </w:r>
      <w:r w:rsidR="00B1303A">
        <w:rPr>
          <w:lang w:val="ru-RU"/>
        </w:rPr>
        <w:t xml:space="preserve"> для </w:t>
      </w:r>
      <w:r w:rsidR="00B1303A" w:rsidRPr="00B1303A">
        <w:rPr>
          <w:b/>
          <w:lang w:val="ru-RU"/>
        </w:rPr>
        <w:t>Директора БСЭ</w:t>
      </w:r>
      <w:r w:rsidR="00B1303A">
        <w:rPr>
          <w:lang w:val="ru-RU"/>
        </w:rPr>
        <w:t xml:space="preserve">, в отношении </w:t>
      </w:r>
      <w:r w:rsidR="00B1303A" w:rsidRPr="00B1303A">
        <w:rPr>
          <w:b/>
          <w:lang w:val="ru-RU"/>
        </w:rPr>
        <w:t>сбора</w:t>
      </w:r>
      <w:r w:rsidR="00B1303A">
        <w:rPr>
          <w:lang w:val="ru-RU"/>
        </w:rPr>
        <w:t xml:space="preserve"> доходов по линии </w:t>
      </w:r>
      <w:r w:rsidR="00B1303A" w:rsidRPr="006600C3">
        <w:rPr>
          <w:rFonts w:eastAsiaTheme="minorHAnsi"/>
          <w:lang w:val="ru-RU"/>
        </w:rPr>
        <w:t>международных ресурсов нумерации</w:t>
      </w:r>
      <w:r w:rsidR="00B1303A">
        <w:rPr>
          <w:rFonts w:eastAsiaTheme="minorHAnsi"/>
          <w:lang w:val="ru-RU"/>
        </w:rPr>
        <w:t xml:space="preserve"> и возможности </w:t>
      </w:r>
      <w:r w:rsidR="00B1303A" w:rsidRPr="00B1303A">
        <w:rPr>
          <w:rFonts w:eastAsiaTheme="minorHAnsi"/>
          <w:b/>
          <w:lang w:val="ru-RU"/>
        </w:rPr>
        <w:t>отзыва</w:t>
      </w:r>
      <w:r w:rsidR="00B1303A">
        <w:rPr>
          <w:rFonts w:eastAsiaTheme="minorHAnsi"/>
          <w:lang w:val="ru-RU"/>
        </w:rPr>
        <w:t xml:space="preserve"> международного ресурса нумерации в случае</w:t>
      </w:r>
      <w:r w:rsidR="00B1303A" w:rsidRPr="00B1303A">
        <w:rPr>
          <w:rFonts w:eastAsiaTheme="minorHAnsi"/>
          <w:lang w:val="ru-RU"/>
        </w:rPr>
        <w:t xml:space="preserve"> </w:t>
      </w:r>
      <w:r w:rsidR="00EF0848">
        <w:rPr>
          <w:rFonts w:eastAsiaTheme="minorHAnsi"/>
          <w:lang w:val="ru-RU"/>
        </w:rPr>
        <w:t>наличия задолженности перед</w:t>
      </w:r>
      <w:r w:rsidR="00B1303A">
        <w:rPr>
          <w:rFonts w:eastAsiaTheme="minorHAnsi"/>
          <w:lang w:val="ru-RU"/>
        </w:rPr>
        <w:t xml:space="preserve"> МСЭ.</w:t>
      </w:r>
    </w:p>
    <w:p w14:paraId="39991400" w14:textId="37E04A25" w:rsidR="00B1303A" w:rsidRPr="0067583D" w:rsidRDefault="00492D5F" w:rsidP="00492D5F">
      <w:pPr>
        <w:rPr>
          <w:lang w:val="ru-RU"/>
        </w:rPr>
      </w:pPr>
      <w:r w:rsidRPr="00F96E87">
        <w:rPr>
          <w:lang w:val="ru-RU"/>
        </w:rPr>
        <w:t>6.12</w:t>
      </w:r>
      <w:r w:rsidRPr="00F96E87">
        <w:rPr>
          <w:lang w:val="ru-RU"/>
        </w:rPr>
        <w:tab/>
      </w:r>
      <w:r w:rsidR="00B1303A">
        <w:rPr>
          <w:lang w:val="ru-RU"/>
        </w:rPr>
        <w:t xml:space="preserve">В рамках </w:t>
      </w:r>
      <w:r w:rsidR="00F96E87">
        <w:rPr>
          <w:lang w:val="ru-RU"/>
        </w:rPr>
        <w:t>этого собрания (виртуальное собрание, 31 мая – 11 июня 2021 г</w:t>
      </w:r>
      <w:r w:rsidR="009248A4">
        <w:rPr>
          <w:lang w:val="ru-RU"/>
        </w:rPr>
        <w:t>.</w:t>
      </w:r>
      <w:r w:rsidR="00F96E87">
        <w:rPr>
          <w:lang w:val="ru-RU"/>
        </w:rPr>
        <w:t xml:space="preserve">) Группа Докладчика по Вопросу 1/2 </w:t>
      </w:r>
      <w:r w:rsidR="008367BF">
        <w:rPr>
          <w:lang w:val="ru-RU"/>
        </w:rPr>
        <w:t xml:space="preserve">МСЭ-Т </w:t>
      </w:r>
      <w:r w:rsidR="00F96E87">
        <w:rPr>
          <w:lang w:val="ru-RU"/>
        </w:rPr>
        <w:t xml:space="preserve">обсудила содержание </w:t>
      </w:r>
      <w:r w:rsidR="0045032B">
        <w:rPr>
          <w:lang w:val="ru-RU"/>
        </w:rPr>
        <w:t>Д</w:t>
      </w:r>
      <w:r w:rsidR="00F96E87">
        <w:rPr>
          <w:lang w:val="ru-RU"/>
        </w:rPr>
        <w:t>окумента</w:t>
      </w:r>
      <w:r w:rsidR="00F96E87" w:rsidRPr="00F96E87">
        <w:rPr>
          <w:lang w:val="ru-RU"/>
        </w:rPr>
        <w:t xml:space="preserve"> </w:t>
      </w:r>
      <w:r w:rsidR="00F96E87" w:rsidRPr="00492D5F">
        <w:t>CWG</w:t>
      </w:r>
      <w:r w:rsidR="00F96E87" w:rsidRPr="00F96E87">
        <w:rPr>
          <w:lang w:val="ru-RU"/>
        </w:rPr>
        <w:t>-</w:t>
      </w:r>
      <w:r w:rsidR="00F96E87" w:rsidRPr="00492D5F">
        <w:t>FHR</w:t>
      </w:r>
      <w:r w:rsidR="00F96E87" w:rsidRPr="00F96E87">
        <w:rPr>
          <w:lang w:val="ru-RU"/>
        </w:rPr>
        <w:t>-14/6</w:t>
      </w:r>
      <w:r w:rsidR="00F96E87">
        <w:rPr>
          <w:lang w:val="ru-RU"/>
        </w:rPr>
        <w:t>. Было решено подготовить рекомендации для Директора БСЭ</w:t>
      </w:r>
      <w:r w:rsidR="0067583D">
        <w:rPr>
          <w:lang w:val="ru-RU"/>
        </w:rPr>
        <w:t xml:space="preserve"> в целях предоставления дополнительной информации </w:t>
      </w:r>
      <w:r w:rsidR="00FF7976">
        <w:rPr>
          <w:lang w:val="ru-RU"/>
        </w:rPr>
        <w:t xml:space="preserve">Совету </w:t>
      </w:r>
      <w:r w:rsidR="0067583D">
        <w:rPr>
          <w:lang w:val="ru-RU"/>
        </w:rPr>
        <w:t xml:space="preserve">о сборе доходов от </w:t>
      </w:r>
      <w:r w:rsidR="0067583D" w:rsidRPr="00492D5F">
        <w:t>INR</w:t>
      </w:r>
      <w:r w:rsidR="0067583D">
        <w:rPr>
          <w:lang w:val="ru-RU"/>
        </w:rPr>
        <w:t xml:space="preserve">. </w:t>
      </w:r>
    </w:p>
    <w:p w14:paraId="1EBF6E66" w14:textId="319ED956" w:rsidR="0067583D" w:rsidRPr="000B23BF" w:rsidRDefault="00492D5F" w:rsidP="00492D5F">
      <w:pPr>
        <w:rPr>
          <w:lang w:val="ru-RU"/>
        </w:rPr>
      </w:pPr>
      <w:r w:rsidRPr="0067583D">
        <w:rPr>
          <w:lang w:val="ru-RU"/>
        </w:rPr>
        <w:lastRenderedPageBreak/>
        <w:t>6.13</w:t>
      </w:r>
      <w:r w:rsidRPr="0067583D">
        <w:rPr>
          <w:lang w:val="ru-RU"/>
        </w:rPr>
        <w:tab/>
      </w:r>
      <w:r w:rsidR="0067583D">
        <w:rPr>
          <w:lang w:val="ru-RU"/>
        </w:rPr>
        <w:t>В соответствии с Рекомендацией МСЭ</w:t>
      </w:r>
      <w:r w:rsidR="0067583D" w:rsidRPr="0067583D">
        <w:rPr>
          <w:lang w:val="ru-RU"/>
        </w:rPr>
        <w:t>-</w:t>
      </w:r>
      <w:r w:rsidR="0067583D" w:rsidRPr="00492D5F">
        <w:t>T</w:t>
      </w:r>
      <w:r w:rsidR="0067583D" w:rsidRPr="0067583D">
        <w:rPr>
          <w:lang w:val="ru-RU"/>
        </w:rPr>
        <w:t xml:space="preserve"> </w:t>
      </w:r>
      <w:r w:rsidR="0067583D" w:rsidRPr="00492D5F">
        <w:t>E</w:t>
      </w:r>
      <w:r w:rsidR="0067583D" w:rsidRPr="0067583D">
        <w:rPr>
          <w:lang w:val="ru-RU"/>
        </w:rPr>
        <w:t>.169.1</w:t>
      </w:r>
      <w:r w:rsidR="00005038">
        <w:rPr>
          <w:lang w:val="ru-RU"/>
        </w:rPr>
        <w:t xml:space="preserve"> получатели ресурсов несут ответственность за обеспечение уплаты </w:t>
      </w:r>
      <w:r w:rsidR="00005038" w:rsidRPr="00005038">
        <w:rPr>
          <w:lang w:val="ru-RU"/>
        </w:rPr>
        <w:t>ежегодного сбора за обслуживание</w:t>
      </w:r>
      <w:r w:rsidR="00005038">
        <w:rPr>
          <w:lang w:val="ru-RU"/>
        </w:rPr>
        <w:t>. Кроме того, в соответствии с Рекомендацией</w:t>
      </w:r>
      <w:r w:rsidR="00005038" w:rsidRPr="00005038">
        <w:rPr>
          <w:lang w:val="ru-RU"/>
        </w:rPr>
        <w:t xml:space="preserve"> </w:t>
      </w:r>
      <w:r w:rsidR="00005038">
        <w:rPr>
          <w:lang w:val="ru-RU"/>
        </w:rPr>
        <w:t>МСЭ</w:t>
      </w:r>
      <w:r w:rsidR="00005038" w:rsidRPr="00121601">
        <w:rPr>
          <w:lang w:val="ru-RU"/>
        </w:rPr>
        <w:t>-</w:t>
      </w:r>
      <w:r w:rsidR="00005038" w:rsidRPr="00492D5F">
        <w:t>T</w:t>
      </w:r>
      <w:r w:rsidR="00005038" w:rsidRPr="00121601">
        <w:rPr>
          <w:lang w:val="ru-RU"/>
        </w:rPr>
        <w:t xml:space="preserve"> </w:t>
      </w:r>
      <w:r w:rsidR="00005038" w:rsidRPr="00492D5F">
        <w:t>E</w:t>
      </w:r>
      <w:r w:rsidR="00005038" w:rsidRPr="00121601">
        <w:rPr>
          <w:lang w:val="ru-RU"/>
        </w:rPr>
        <w:t>.190</w:t>
      </w:r>
      <w:r w:rsidR="000B23BF">
        <w:rPr>
          <w:lang w:val="ru-RU"/>
        </w:rPr>
        <w:t xml:space="preserve"> </w:t>
      </w:r>
      <w:r w:rsidR="00121601">
        <w:rPr>
          <w:lang w:val="ru-RU"/>
        </w:rPr>
        <w:t xml:space="preserve">заявители должны соответствовать критериям присвоения, которые включают в себя соблюдение всех Рекомендаций МСЭ-Т, относящихся к конкретной службе. </w:t>
      </w:r>
    </w:p>
    <w:p w14:paraId="26877C39" w14:textId="136D4485" w:rsidR="00121601" w:rsidRPr="00121601" w:rsidRDefault="00492D5F" w:rsidP="00492D5F">
      <w:pPr>
        <w:rPr>
          <w:lang w:val="ru-RU"/>
        </w:rPr>
      </w:pPr>
      <w:r w:rsidRPr="00121601">
        <w:rPr>
          <w:lang w:val="ru-RU"/>
        </w:rPr>
        <w:t>6.14</w:t>
      </w:r>
      <w:r w:rsidRPr="00121601">
        <w:rPr>
          <w:lang w:val="ru-RU"/>
        </w:rPr>
        <w:tab/>
      </w:r>
      <w:r w:rsidR="00121601">
        <w:rPr>
          <w:lang w:val="ru-RU"/>
        </w:rPr>
        <w:t xml:space="preserve">ИК2 рекомендует Директору БСЭ </w:t>
      </w:r>
      <w:r w:rsidR="00634C36">
        <w:rPr>
          <w:lang w:val="ru-RU"/>
        </w:rPr>
        <w:t>представить</w:t>
      </w:r>
      <w:r w:rsidR="00634C36" w:rsidRPr="00121601">
        <w:rPr>
          <w:lang w:val="ru-RU"/>
        </w:rPr>
        <w:t xml:space="preserve"> </w:t>
      </w:r>
      <w:r w:rsidR="00634C36">
        <w:rPr>
          <w:lang w:val="ru-RU"/>
        </w:rPr>
        <w:t xml:space="preserve">для информации </w:t>
      </w:r>
      <w:r w:rsidR="00121601">
        <w:rPr>
          <w:lang w:val="ru-RU"/>
        </w:rPr>
        <w:t>Совет</w:t>
      </w:r>
      <w:r w:rsidR="00634C36">
        <w:rPr>
          <w:lang w:val="ru-RU"/>
        </w:rPr>
        <w:t xml:space="preserve">а </w:t>
      </w:r>
      <w:r w:rsidR="00121601">
        <w:rPr>
          <w:lang w:val="ru-RU"/>
        </w:rPr>
        <w:t>этот документ, в разделе 2 которого содерж</w:t>
      </w:r>
      <w:r w:rsidR="00317167">
        <w:rPr>
          <w:lang w:val="ru-RU"/>
        </w:rPr>
        <w:t>а</w:t>
      </w:r>
      <w:r w:rsidR="00121601">
        <w:rPr>
          <w:lang w:val="ru-RU"/>
        </w:rPr>
        <w:t>тся подробн</w:t>
      </w:r>
      <w:r w:rsidR="00317167">
        <w:rPr>
          <w:lang w:val="ru-RU"/>
        </w:rPr>
        <w:t>ые</w:t>
      </w:r>
      <w:r w:rsidR="00121601">
        <w:rPr>
          <w:lang w:val="ru-RU"/>
        </w:rPr>
        <w:t xml:space="preserve"> </w:t>
      </w:r>
      <w:r w:rsidR="00317167">
        <w:rPr>
          <w:lang w:val="ru-RU"/>
        </w:rPr>
        <w:t>сведения</w:t>
      </w:r>
      <w:r w:rsidR="00121601">
        <w:rPr>
          <w:lang w:val="ru-RU"/>
        </w:rPr>
        <w:t xml:space="preserve"> о положениях, касающихся </w:t>
      </w:r>
      <w:r w:rsidR="00121601" w:rsidRPr="00317167">
        <w:rPr>
          <w:b/>
          <w:lang w:val="ru-RU"/>
        </w:rPr>
        <w:t>отзыва</w:t>
      </w:r>
      <w:r w:rsidR="00121601">
        <w:rPr>
          <w:lang w:val="ru-RU"/>
        </w:rPr>
        <w:t xml:space="preserve"> в случае неуплаты сборов.</w:t>
      </w:r>
    </w:p>
    <w:p w14:paraId="4BA04B63" w14:textId="2AE7CD29" w:rsidR="00634C36" w:rsidRPr="00634C36" w:rsidRDefault="00492D5F" w:rsidP="00492D5F">
      <w:pPr>
        <w:rPr>
          <w:lang w:val="ru-RU"/>
        </w:rPr>
      </w:pPr>
      <w:r w:rsidRPr="00634C36">
        <w:rPr>
          <w:lang w:val="ru-RU"/>
        </w:rPr>
        <w:t>6.15</w:t>
      </w:r>
      <w:r w:rsidRPr="00634C36">
        <w:rPr>
          <w:lang w:val="ru-RU"/>
        </w:rPr>
        <w:tab/>
      </w:r>
      <w:r w:rsidR="00634C36">
        <w:rPr>
          <w:lang w:val="ru-RU"/>
        </w:rPr>
        <w:t xml:space="preserve">Кроме того, ИК2 рекомендует Директору БСЭ предложить Совету поручить ему </w:t>
      </w:r>
      <w:r w:rsidR="007D5B06">
        <w:rPr>
          <w:lang w:val="ru-RU"/>
        </w:rPr>
        <w:t xml:space="preserve">в случае неуплаты сборов за ресурсы нумерации </w:t>
      </w:r>
      <w:r w:rsidR="00634C36">
        <w:rPr>
          <w:lang w:val="ru-RU"/>
        </w:rPr>
        <w:t xml:space="preserve">действовать следующим образом: </w:t>
      </w:r>
    </w:p>
    <w:p w14:paraId="077DF9CD" w14:textId="0D9E103D" w:rsidR="007D5B06" w:rsidRPr="00FA61F3" w:rsidRDefault="009265C0" w:rsidP="009265C0">
      <w:pPr>
        <w:pStyle w:val="enumlev1"/>
        <w:rPr>
          <w:lang w:val="ru-RU"/>
        </w:rPr>
      </w:pPr>
      <w:r>
        <w:rPr>
          <w:lang w:val="en-US"/>
        </w:rPr>
        <w:t>a</w:t>
      </w:r>
      <w:r w:rsidRPr="00F75658">
        <w:rPr>
          <w:lang w:val="ru-RU"/>
        </w:rPr>
        <w:t>)</w:t>
      </w:r>
      <w:r w:rsidRPr="00F75658">
        <w:rPr>
          <w:lang w:val="ru-RU"/>
        </w:rPr>
        <w:tab/>
      </w:r>
      <w:r w:rsidR="007D5B06">
        <w:rPr>
          <w:lang w:val="ru-RU"/>
        </w:rPr>
        <w:t>направить</w:t>
      </w:r>
      <w:r w:rsidR="00F75658">
        <w:rPr>
          <w:lang w:val="ru-RU"/>
        </w:rPr>
        <w:t xml:space="preserve"> </w:t>
      </w:r>
      <w:r w:rsidR="009F3273">
        <w:rPr>
          <w:lang w:val="ru-RU"/>
        </w:rPr>
        <w:t>платежное требование, подлежащее оплате</w:t>
      </w:r>
      <w:r w:rsidR="00F75658">
        <w:rPr>
          <w:lang w:val="ru-RU"/>
        </w:rPr>
        <w:t xml:space="preserve"> в течение 90 дней (если содержащаяся в базе данных МСЭ контактная информация неверна, направить соответствую</w:t>
      </w:r>
      <w:r w:rsidR="00FA61F3">
        <w:rPr>
          <w:lang w:val="ru-RU"/>
        </w:rPr>
        <w:t>щему Государству-Члену просьбу о</w:t>
      </w:r>
      <w:r w:rsidR="00F75658">
        <w:rPr>
          <w:lang w:val="ru-RU"/>
        </w:rPr>
        <w:t xml:space="preserve"> помощи в получении актуальной контактной информации; если получить актуальную контактную информацию нет возможности, то направить </w:t>
      </w:r>
      <w:r w:rsidR="00FA61F3">
        <w:rPr>
          <w:lang w:val="ru-RU"/>
        </w:rPr>
        <w:t xml:space="preserve">на адрес, указанный в базе данных, </w:t>
      </w:r>
      <w:r w:rsidR="00F75658">
        <w:rPr>
          <w:lang w:val="ru-RU"/>
        </w:rPr>
        <w:t xml:space="preserve">уведомление о планируемом отзыве в соответствии с </w:t>
      </w:r>
      <w:r w:rsidR="00D110A3">
        <w:rPr>
          <w:lang w:val="ru-RU"/>
        </w:rPr>
        <w:t>шагом</w:t>
      </w:r>
      <w:r w:rsidR="00F75658">
        <w:rPr>
          <w:lang w:val="ru-RU"/>
        </w:rPr>
        <w:t xml:space="preserve"> с) ниже</w:t>
      </w:r>
      <w:r w:rsidR="009F3273">
        <w:rPr>
          <w:lang w:val="ru-RU"/>
        </w:rPr>
        <w:t>, а</w:t>
      </w:r>
      <w:r w:rsidR="00F75658">
        <w:rPr>
          <w:lang w:val="ru-RU"/>
        </w:rPr>
        <w:t xml:space="preserve"> </w:t>
      </w:r>
      <w:r w:rsidR="00FA61F3">
        <w:rPr>
          <w:lang w:val="ru-RU"/>
        </w:rPr>
        <w:t xml:space="preserve">затем перейти к выполнению </w:t>
      </w:r>
      <w:r w:rsidR="00D110A3">
        <w:rPr>
          <w:lang w:val="ru-RU"/>
        </w:rPr>
        <w:t>шага</w:t>
      </w:r>
      <w:r w:rsidR="00FA61F3">
        <w:rPr>
          <w:lang w:val="ru-RU"/>
        </w:rPr>
        <w:t xml:space="preserve"> </w:t>
      </w:r>
      <w:r w:rsidR="00FA61F3">
        <w:rPr>
          <w:lang w:val="en-US"/>
        </w:rPr>
        <w:t>d</w:t>
      </w:r>
      <w:r w:rsidR="00FA61F3">
        <w:rPr>
          <w:lang w:val="ru-RU"/>
        </w:rPr>
        <w:t xml:space="preserve">), ниже); </w:t>
      </w:r>
    </w:p>
    <w:p w14:paraId="5E8BD110" w14:textId="0A4DB6B0" w:rsidR="009F3273" w:rsidRPr="009F3273" w:rsidRDefault="009265C0" w:rsidP="009265C0">
      <w:pPr>
        <w:pStyle w:val="enumlev1"/>
        <w:rPr>
          <w:lang w:val="ru-RU"/>
        </w:rPr>
      </w:pPr>
      <w:r>
        <w:t>b</w:t>
      </w:r>
      <w:r w:rsidRPr="009F3273">
        <w:rPr>
          <w:lang w:val="ru-RU"/>
        </w:rPr>
        <w:t>)</w:t>
      </w:r>
      <w:r w:rsidRPr="009F3273">
        <w:rPr>
          <w:lang w:val="ru-RU"/>
        </w:rPr>
        <w:tab/>
      </w:r>
      <w:r w:rsidR="009F3273">
        <w:rPr>
          <w:lang w:val="ru-RU"/>
        </w:rPr>
        <w:t xml:space="preserve">в случае непоступления платежа по истечении 90 дней направить второе платежное требование, подлежащее оплате в течение 60 дней; </w:t>
      </w:r>
    </w:p>
    <w:p w14:paraId="64E9E539" w14:textId="6DD4DF27" w:rsidR="009F3273" w:rsidRPr="00204F1E" w:rsidRDefault="009265C0" w:rsidP="009265C0">
      <w:pPr>
        <w:pStyle w:val="enumlev1"/>
        <w:rPr>
          <w:lang w:val="ru-RU"/>
        </w:rPr>
      </w:pPr>
      <w:r>
        <w:t>c</w:t>
      </w:r>
      <w:r w:rsidRPr="009F3273">
        <w:rPr>
          <w:lang w:val="ru-RU"/>
        </w:rPr>
        <w:t>)</w:t>
      </w:r>
      <w:r w:rsidRPr="009F3273">
        <w:rPr>
          <w:lang w:val="ru-RU"/>
        </w:rPr>
        <w:tab/>
      </w:r>
      <w:r w:rsidR="009F3273">
        <w:rPr>
          <w:lang w:val="ru-RU"/>
        </w:rPr>
        <w:t>в случае непоступления платежа по истечении 60 дней направить уведом</w:t>
      </w:r>
      <w:r w:rsidR="00D110A3">
        <w:rPr>
          <w:lang w:val="ru-RU"/>
        </w:rPr>
        <w:t xml:space="preserve">ление о планируемом отзыве при непоступлении платежа в течение 30 дней; </w:t>
      </w:r>
    </w:p>
    <w:p w14:paraId="53EA603B" w14:textId="0BC647BA" w:rsidR="00D110A3" w:rsidRPr="00D110A3" w:rsidRDefault="009265C0" w:rsidP="009265C0">
      <w:pPr>
        <w:pStyle w:val="enumlev1"/>
        <w:rPr>
          <w:lang w:val="ru-RU"/>
        </w:rPr>
      </w:pPr>
      <w:r>
        <w:t>d</w:t>
      </w:r>
      <w:r w:rsidRPr="00D110A3">
        <w:rPr>
          <w:lang w:val="ru-RU"/>
        </w:rPr>
        <w:t>)</w:t>
      </w:r>
      <w:r w:rsidRPr="00D110A3">
        <w:rPr>
          <w:lang w:val="ru-RU"/>
        </w:rPr>
        <w:tab/>
      </w:r>
      <w:r w:rsidR="00D110A3">
        <w:rPr>
          <w:lang w:val="ru-RU"/>
        </w:rPr>
        <w:t xml:space="preserve">в случае непоступления платежа по истечении 30 дней отозвать ресурс (получателю ресурса направляется уведомление об отзыве, и </w:t>
      </w:r>
      <w:r w:rsidR="00ED4E80">
        <w:rPr>
          <w:lang w:val="ru-RU"/>
        </w:rPr>
        <w:t>информация об</w:t>
      </w:r>
      <w:r w:rsidR="00D110A3">
        <w:rPr>
          <w:lang w:val="ru-RU"/>
        </w:rPr>
        <w:t xml:space="preserve"> отзыв</w:t>
      </w:r>
      <w:r w:rsidR="00ED4E80">
        <w:rPr>
          <w:lang w:val="ru-RU"/>
        </w:rPr>
        <w:t>е</w:t>
      </w:r>
      <w:r w:rsidR="00D110A3">
        <w:rPr>
          <w:lang w:val="ru-RU"/>
        </w:rPr>
        <w:t xml:space="preserve"> публикуется в Оперативном бюллетене). </w:t>
      </w:r>
    </w:p>
    <w:p w14:paraId="564E514E" w14:textId="77777777" w:rsidR="00492D5F" w:rsidRPr="000745D0" w:rsidRDefault="00D6641E" w:rsidP="00492D5F">
      <w:pPr>
        <w:rPr>
          <w:u w:val="single"/>
          <w:lang w:val="ru-RU"/>
        </w:rPr>
      </w:pPr>
      <w:r w:rsidRPr="005225DD">
        <w:rPr>
          <w:u w:val="single"/>
          <w:lang w:val="ru-RU"/>
        </w:rPr>
        <w:t>Заключение</w:t>
      </w:r>
    </w:p>
    <w:p w14:paraId="6F6A163C" w14:textId="4EB86723" w:rsidR="000745D0" w:rsidRPr="000745D0" w:rsidRDefault="00492D5F" w:rsidP="00492D5F">
      <w:pPr>
        <w:rPr>
          <w:lang w:val="ru-RU"/>
        </w:rPr>
      </w:pPr>
      <w:r w:rsidRPr="000745D0">
        <w:rPr>
          <w:lang w:val="ru-RU"/>
        </w:rPr>
        <w:t>6.16</w:t>
      </w:r>
      <w:r w:rsidRPr="000745D0">
        <w:rPr>
          <w:lang w:val="ru-RU"/>
        </w:rPr>
        <w:tab/>
      </w:r>
      <w:r w:rsidR="000745D0">
        <w:rPr>
          <w:lang w:val="ru-RU"/>
        </w:rPr>
        <w:t>Директор БСЭ проконсультировался с внутренними департаментами МСЭ, включая Департамент</w:t>
      </w:r>
      <w:r w:rsidR="000745D0" w:rsidRPr="000745D0">
        <w:rPr>
          <w:lang w:val="ru-RU"/>
        </w:rPr>
        <w:t xml:space="preserve"> управления финансовыми ресурсами</w:t>
      </w:r>
      <w:r w:rsidR="000745D0">
        <w:rPr>
          <w:lang w:val="ru-RU"/>
        </w:rPr>
        <w:t xml:space="preserve">. Предлагаемые рекомендации и </w:t>
      </w:r>
      <w:r w:rsidR="00B1766F">
        <w:rPr>
          <w:lang w:val="ru-RU"/>
        </w:rPr>
        <w:t>сведения</w:t>
      </w:r>
      <w:r w:rsidR="000745D0">
        <w:rPr>
          <w:lang w:val="ru-RU"/>
        </w:rPr>
        <w:t xml:space="preserve"> в разделе 2 данного документа</w:t>
      </w:r>
      <w:r w:rsidR="004B5C79">
        <w:rPr>
          <w:lang w:val="ru-RU"/>
        </w:rPr>
        <w:t xml:space="preserve"> были сочтены полезными, поскольку они предоставляют четкую основу для решения проблем неуплаты </w:t>
      </w:r>
      <w:r w:rsidR="00D3271D">
        <w:rPr>
          <w:lang w:val="ru-RU"/>
        </w:rPr>
        <w:t>сборов</w:t>
      </w:r>
      <w:r w:rsidR="004B5C79">
        <w:rPr>
          <w:lang w:val="ru-RU"/>
        </w:rPr>
        <w:t xml:space="preserve">, связанных с ресурсами нумерации. </w:t>
      </w:r>
    </w:p>
    <w:p w14:paraId="0A23D01E" w14:textId="1B52A0D6" w:rsidR="00D3271D" w:rsidRPr="009932E2" w:rsidRDefault="00492D5F" w:rsidP="00492D5F">
      <w:pPr>
        <w:rPr>
          <w:lang w:val="ru-RU"/>
        </w:rPr>
      </w:pPr>
      <w:r w:rsidRPr="00D3271D">
        <w:rPr>
          <w:lang w:val="ru-RU"/>
        </w:rPr>
        <w:t>6.17</w:t>
      </w:r>
      <w:r w:rsidRPr="00D3271D">
        <w:rPr>
          <w:lang w:val="ru-RU"/>
        </w:rPr>
        <w:tab/>
      </w:r>
      <w:r w:rsidR="00D3271D">
        <w:rPr>
          <w:lang w:val="ru-RU"/>
        </w:rPr>
        <w:t>Департамент</w:t>
      </w:r>
      <w:r w:rsidR="00D3271D" w:rsidRPr="000745D0">
        <w:rPr>
          <w:lang w:val="ru-RU"/>
        </w:rPr>
        <w:t xml:space="preserve"> управления финансовыми ресурсами</w:t>
      </w:r>
      <w:r w:rsidR="00D3271D">
        <w:rPr>
          <w:lang w:val="ru-RU"/>
        </w:rPr>
        <w:t xml:space="preserve"> будет </w:t>
      </w:r>
      <w:r w:rsidR="00AE2F8A">
        <w:rPr>
          <w:lang w:val="ru-RU"/>
        </w:rPr>
        <w:t>применять</w:t>
      </w:r>
      <w:r w:rsidR="00D3271D">
        <w:rPr>
          <w:lang w:val="ru-RU"/>
        </w:rPr>
        <w:t xml:space="preserve"> упомянутые выше </w:t>
      </w:r>
      <w:r w:rsidR="009932E2">
        <w:rPr>
          <w:lang w:val="ru-RU"/>
        </w:rPr>
        <w:t xml:space="preserve">временные рамки в своей системе выставления счетов при сборе доходов от </w:t>
      </w:r>
      <w:r w:rsidR="009932E2">
        <w:rPr>
          <w:lang w:val="en-US"/>
        </w:rPr>
        <w:t>INR</w:t>
      </w:r>
      <w:r w:rsidR="009932E2" w:rsidRPr="009932E2">
        <w:rPr>
          <w:lang w:val="ru-RU"/>
        </w:rPr>
        <w:t xml:space="preserve">. </w:t>
      </w:r>
      <w:r w:rsidR="009932E2">
        <w:rPr>
          <w:lang w:val="ru-RU"/>
        </w:rPr>
        <w:t xml:space="preserve">Такой подход позволит обеспечить последовательную и эффективную реализацию. </w:t>
      </w:r>
    </w:p>
    <w:p w14:paraId="59910512" w14:textId="2BCDF654" w:rsidR="008F5C60" w:rsidRPr="008F5C60" w:rsidRDefault="00492D5F" w:rsidP="00492D5F">
      <w:pPr>
        <w:rPr>
          <w:lang w:val="ru-RU"/>
        </w:rPr>
      </w:pPr>
      <w:r w:rsidRPr="008F5C60">
        <w:rPr>
          <w:lang w:val="ru-RU"/>
        </w:rPr>
        <w:t>6.18</w:t>
      </w:r>
      <w:r w:rsidRPr="008F5C60">
        <w:rPr>
          <w:lang w:val="ru-RU"/>
        </w:rPr>
        <w:tab/>
      </w:r>
      <w:r w:rsidR="008F5C60">
        <w:rPr>
          <w:lang w:val="ru-RU"/>
        </w:rPr>
        <w:t xml:space="preserve">Один из делегатов просил пояснить, </w:t>
      </w:r>
      <w:r w:rsidR="000E0A0F">
        <w:rPr>
          <w:lang w:val="ru-RU"/>
        </w:rPr>
        <w:t xml:space="preserve">какая процедура применяется </w:t>
      </w:r>
      <w:r w:rsidR="00603744">
        <w:rPr>
          <w:lang w:val="ru-RU"/>
        </w:rPr>
        <w:t xml:space="preserve">в случае неуплаты </w:t>
      </w:r>
      <w:r w:rsidR="000E0A0F">
        <w:rPr>
          <w:lang w:val="ru-RU"/>
        </w:rPr>
        <w:t xml:space="preserve">в </w:t>
      </w:r>
      <w:r w:rsidR="00204F1E">
        <w:rPr>
          <w:lang w:val="ru-RU"/>
        </w:rPr>
        <w:t>настоящее время</w:t>
      </w:r>
      <w:r w:rsidR="000E0A0F">
        <w:rPr>
          <w:lang w:val="ru-RU"/>
        </w:rPr>
        <w:t xml:space="preserve"> и как </w:t>
      </w:r>
      <w:r w:rsidR="00810D01">
        <w:rPr>
          <w:lang w:val="ru-RU"/>
        </w:rPr>
        <w:t>рекомендации</w:t>
      </w:r>
      <w:r w:rsidR="000E0A0F">
        <w:rPr>
          <w:lang w:val="ru-RU"/>
        </w:rPr>
        <w:t xml:space="preserve"> экспертов ИК2 помогут решению проблемы в будущем.</w:t>
      </w:r>
    </w:p>
    <w:p w14:paraId="6DECB152" w14:textId="0860A567" w:rsidR="000E0A0F" w:rsidRPr="00810D01" w:rsidRDefault="00492D5F" w:rsidP="00492D5F">
      <w:pPr>
        <w:rPr>
          <w:lang w:val="ru-RU"/>
        </w:rPr>
      </w:pPr>
      <w:r w:rsidRPr="000E0A0F">
        <w:rPr>
          <w:lang w:val="ru-RU"/>
        </w:rPr>
        <w:t>6.19</w:t>
      </w:r>
      <w:r w:rsidRPr="000E0A0F">
        <w:rPr>
          <w:lang w:val="ru-RU"/>
        </w:rPr>
        <w:tab/>
      </w:r>
      <w:r w:rsidR="00B1766F">
        <w:rPr>
          <w:lang w:val="ru-RU"/>
        </w:rPr>
        <w:t xml:space="preserve">Секретариат </w:t>
      </w:r>
      <w:r w:rsidR="000E0A0F">
        <w:rPr>
          <w:lang w:val="ru-RU"/>
        </w:rPr>
        <w:t>пояснил, что действующ</w:t>
      </w:r>
      <w:r w:rsidR="00603744">
        <w:rPr>
          <w:lang w:val="ru-RU"/>
        </w:rPr>
        <w:t>ая</w:t>
      </w:r>
      <w:r w:rsidR="000E0A0F">
        <w:rPr>
          <w:lang w:val="ru-RU"/>
        </w:rPr>
        <w:t xml:space="preserve"> </w:t>
      </w:r>
      <w:r w:rsidR="00BB1FAC">
        <w:rPr>
          <w:lang w:val="ru-RU"/>
        </w:rPr>
        <w:t>на данный момент</w:t>
      </w:r>
      <w:r w:rsidR="000E0A0F">
        <w:rPr>
          <w:lang w:val="ru-RU"/>
        </w:rPr>
        <w:t xml:space="preserve"> процедура предполагает взаимодействие с Государствами-Членами в целях </w:t>
      </w:r>
      <w:r w:rsidR="00027046">
        <w:rPr>
          <w:lang w:val="ru-RU"/>
        </w:rPr>
        <w:t xml:space="preserve">побуждения операторов к уплате сборов (Приложение </w:t>
      </w:r>
      <w:r w:rsidR="00027046">
        <w:rPr>
          <w:lang w:val="en-US"/>
        </w:rPr>
        <w:t>B</w:t>
      </w:r>
      <w:r w:rsidR="00027046" w:rsidRPr="00027046">
        <w:rPr>
          <w:lang w:val="ru-RU"/>
        </w:rPr>
        <w:t xml:space="preserve"> </w:t>
      </w:r>
      <w:r w:rsidR="00027046">
        <w:rPr>
          <w:lang w:val="ru-RU"/>
        </w:rPr>
        <w:t xml:space="preserve">к Документу </w:t>
      </w:r>
      <w:r w:rsidR="00027046" w:rsidRPr="00492D5F">
        <w:t>CWG</w:t>
      </w:r>
      <w:r w:rsidR="00027046" w:rsidRPr="00027046">
        <w:rPr>
          <w:lang w:val="ru-RU"/>
        </w:rPr>
        <w:t>-</w:t>
      </w:r>
      <w:r w:rsidR="00027046" w:rsidRPr="00492D5F">
        <w:t>FHR</w:t>
      </w:r>
      <w:r w:rsidR="00027046" w:rsidRPr="00027046">
        <w:rPr>
          <w:lang w:val="ru-RU"/>
        </w:rPr>
        <w:t>-14/6).</w:t>
      </w:r>
      <w:r w:rsidR="00810D01">
        <w:rPr>
          <w:lang w:val="ru-RU"/>
        </w:rPr>
        <w:t xml:space="preserve"> Секретариат приветствует рекомендации, подготовленные ИК2 МСЭ-Т для Директора БСЭ, поскольку они предоставляют БСЭ и </w:t>
      </w:r>
      <w:r w:rsidR="00810D01" w:rsidRPr="00810D01">
        <w:rPr>
          <w:lang w:val="ru-RU"/>
        </w:rPr>
        <w:t>Департамент</w:t>
      </w:r>
      <w:r w:rsidR="00810D01">
        <w:rPr>
          <w:lang w:val="ru-RU"/>
        </w:rPr>
        <w:t>у</w:t>
      </w:r>
      <w:r w:rsidR="00810D01" w:rsidRPr="00810D01">
        <w:rPr>
          <w:lang w:val="ru-RU"/>
        </w:rPr>
        <w:t xml:space="preserve"> управления финансовыми ресурсами </w:t>
      </w:r>
      <w:r w:rsidR="00810D01">
        <w:rPr>
          <w:lang w:val="ru-RU"/>
        </w:rPr>
        <w:t>четкую процедуру, позволяющую напоминать организациям о необходимости опл</w:t>
      </w:r>
      <w:r w:rsidR="00603744">
        <w:rPr>
          <w:lang w:val="ru-RU"/>
        </w:rPr>
        <w:t>аты счетов и в случае неуплаты</w:t>
      </w:r>
      <w:r w:rsidR="00810D01">
        <w:rPr>
          <w:lang w:val="ru-RU"/>
        </w:rPr>
        <w:t xml:space="preserve"> отзывать </w:t>
      </w:r>
      <w:r w:rsidR="00810D01">
        <w:rPr>
          <w:lang w:val="en-US"/>
        </w:rPr>
        <w:t>INR</w:t>
      </w:r>
      <w:r w:rsidR="00810D01" w:rsidRPr="00810D01">
        <w:rPr>
          <w:lang w:val="ru-RU"/>
        </w:rPr>
        <w:t xml:space="preserve">. </w:t>
      </w:r>
    </w:p>
    <w:p w14:paraId="4EC88679" w14:textId="4E9BF44F" w:rsidR="00603744" w:rsidRPr="00603744" w:rsidRDefault="00492D5F" w:rsidP="00492D5F">
      <w:pPr>
        <w:rPr>
          <w:lang w:val="ru-RU"/>
        </w:rPr>
      </w:pPr>
      <w:r w:rsidRPr="00603744">
        <w:rPr>
          <w:lang w:val="ru-RU"/>
        </w:rPr>
        <w:t>6.20</w:t>
      </w:r>
      <w:r w:rsidRPr="00603744">
        <w:rPr>
          <w:lang w:val="ru-RU"/>
        </w:rPr>
        <w:tab/>
      </w:r>
      <w:r w:rsidR="00603744">
        <w:rPr>
          <w:lang w:val="ru-RU"/>
        </w:rPr>
        <w:t xml:space="preserve">Один из делегатов предложил представить рекомендации, подготовленные ИК2 МСЭ-Т для Директора БСЭ, Совету для принятия решения. Соответствующее решение послужило бы </w:t>
      </w:r>
      <w:r w:rsidR="00A0553E">
        <w:rPr>
          <w:lang w:val="ru-RU"/>
        </w:rPr>
        <w:t xml:space="preserve">Секретариату </w:t>
      </w:r>
      <w:r w:rsidR="00603744">
        <w:rPr>
          <w:lang w:val="ru-RU"/>
        </w:rPr>
        <w:t xml:space="preserve">подспорьем в более эффективном выполнении Решений 600 и 601. </w:t>
      </w:r>
    </w:p>
    <w:p w14:paraId="26FE671B" w14:textId="5D8E1D5D" w:rsidR="009265C0" w:rsidRPr="00E75DFF" w:rsidRDefault="009265C0" w:rsidP="009265C0">
      <w:pPr>
        <w:pStyle w:val="Heading1"/>
        <w:rPr>
          <w:u w:val="single"/>
          <w:lang w:val="ru-RU"/>
        </w:rPr>
      </w:pPr>
      <w:r w:rsidRPr="00E75DFF">
        <w:rPr>
          <w:lang w:val="ru-RU"/>
        </w:rPr>
        <w:lastRenderedPageBreak/>
        <w:t>7</w:t>
      </w:r>
      <w:r w:rsidRPr="00E75DFF">
        <w:rPr>
          <w:lang w:val="ru-RU"/>
        </w:rPr>
        <w:tab/>
      </w:r>
      <w:r w:rsidR="00970FB6">
        <w:rPr>
          <w:lang w:val="ru-RU"/>
        </w:rPr>
        <w:t>Процесс</w:t>
      </w:r>
      <w:r w:rsidR="00E75DFF" w:rsidRPr="00E75DFF">
        <w:rPr>
          <w:lang w:val="ru-RU"/>
        </w:rPr>
        <w:t xml:space="preserve"> набора персонала – сокращение периода размещения объявлений о вакансиях</w:t>
      </w:r>
      <w:r w:rsidR="00E75DFF">
        <w:rPr>
          <w:lang w:val="ru-RU"/>
        </w:rPr>
        <w:t xml:space="preserve"> </w:t>
      </w:r>
      <w:r w:rsidRPr="00E75DFF">
        <w:rPr>
          <w:lang w:val="ru-RU"/>
        </w:rPr>
        <w:t>(</w:t>
      </w:r>
      <w:r>
        <w:rPr>
          <w:lang w:val="ru-RU"/>
        </w:rPr>
        <w:t>Документ</w:t>
      </w:r>
      <w:r w:rsidRPr="00E75DFF">
        <w:rPr>
          <w:lang w:val="ru-RU"/>
        </w:rPr>
        <w:t xml:space="preserve"> </w:t>
      </w:r>
      <w:hyperlink r:id="rId17" w:history="1">
        <w:r w:rsidRPr="009265C0">
          <w:rPr>
            <w:rStyle w:val="Hyperlink"/>
            <w:bCs/>
            <w:lang w:val="en-US"/>
          </w:rPr>
          <w:t>CWG</w:t>
        </w:r>
        <w:r w:rsidRPr="00E75DFF">
          <w:rPr>
            <w:rStyle w:val="Hyperlink"/>
            <w:bCs/>
            <w:lang w:val="ru-RU"/>
          </w:rPr>
          <w:t>-</w:t>
        </w:r>
        <w:r w:rsidRPr="009265C0">
          <w:rPr>
            <w:rStyle w:val="Hyperlink"/>
            <w:bCs/>
            <w:lang w:val="en-US"/>
          </w:rPr>
          <w:t>FHR</w:t>
        </w:r>
        <w:r w:rsidRPr="00E75DFF">
          <w:rPr>
            <w:rStyle w:val="Hyperlink"/>
            <w:bCs/>
            <w:lang w:val="ru-RU"/>
          </w:rPr>
          <w:t>-</w:t>
        </w:r>
        <w:r w:rsidRPr="00E75DFF">
          <w:rPr>
            <w:rStyle w:val="Hyperlink"/>
            <w:lang w:val="ru-RU"/>
          </w:rPr>
          <w:t>15/9</w:t>
        </w:r>
      </w:hyperlink>
      <w:r w:rsidR="002B6316" w:rsidRPr="00A105F3">
        <w:rPr>
          <w:rFonts w:eastAsiaTheme="minorHAnsi"/>
          <w:lang w:val="ru-RU"/>
        </w:rPr>
        <w:t>)</w:t>
      </w:r>
    </w:p>
    <w:p w14:paraId="56C423BF" w14:textId="2CC5E040" w:rsidR="006B26B6" w:rsidRPr="006B26B6" w:rsidRDefault="009265C0" w:rsidP="009265C0">
      <w:pPr>
        <w:rPr>
          <w:lang w:val="ru-RU"/>
        </w:rPr>
      </w:pPr>
      <w:r w:rsidRPr="006B26B6">
        <w:rPr>
          <w:lang w:val="ru-RU"/>
        </w:rPr>
        <w:t>7.1</w:t>
      </w:r>
      <w:r w:rsidRPr="006B26B6">
        <w:rPr>
          <w:lang w:val="ru-RU"/>
        </w:rPr>
        <w:tab/>
      </w:r>
      <w:r w:rsidR="006B26B6">
        <w:rPr>
          <w:lang w:val="ru-RU"/>
        </w:rPr>
        <w:t xml:space="preserve">Секретариат представил Документ </w:t>
      </w:r>
      <w:r w:rsidR="006B26B6" w:rsidRPr="009265C0">
        <w:rPr>
          <w:lang w:val="en-US"/>
        </w:rPr>
        <w:t>CWG</w:t>
      </w:r>
      <w:r w:rsidR="006B26B6" w:rsidRPr="006B26B6">
        <w:rPr>
          <w:lang w:val="ru-RU"/>
        </w:rPr>
        <w:t>-</w:t>
      </w:r>
      <w:r w:rsidR="006B26B6" w:rsidRPr="009265C0">
        <w:rPr>
          <w:lang w:val="en-US"/>
        </w:rPr>
        <w:t>FHR</w:t>
      </w:r>
      <w:r w:rsidR="006B26B6" w:rsidRPr="006B26B6">
        <w:rPr>
          <w:lang w:val="ru-RU"/>
        </w:rPr>
        <w:t>-15/9</w:t>
      </w:r>
      <w:r w:rsidR="00483324">
        <w:rPr>
          <w:lang w:val="ru-RU"/>
        </w:rPr>
        <w:t>,</w:t>
      </w:r>
      <w:r w:rsidR="006B26B6" w:rsidRPr="006B26B6">
        <w:rPr>
          <w:lang w:val="ru-RU"/>
        </w:rPr>
        <w:t xml:space="preserve"> </w:t>
      </w:r>
      <w:r w:rsidR="00483324">
        <w:rPr>
          <w:lang w:val="ru-RU"/>
        </w:rPr>
        <w:t>содержащий</w:t>
      </w:r>
      <w:r w:rsidR="006B26B6">
        <w:rPr>
          <w:lang w:val="ru-RU"/>
        </w:rPr>
        <w:t xml:space="preserve"> предложение о </w:t>
      </w:r>
      <w:r w:rsidR="006B26B6" w:rsidRPr="006B26B6">
        <w:rPr>
          <w:lang w:val="ru-RU"/>
        </w:rPr>
        <w:t>сокра</w:t>
      </w:r>
      <w:r w:rsidR="006B26B6">
        <w:rPr>
          <w:lang w:val="ru-RU"/>
        </w:rPr>
        <w:t>щении</w:t>
      </w:r>
      <w:r w:rsidR="006B26B6" w:rsidRPr="006B26B6">
        <w:rPr>
          <w:lang w:val="ru-RU"/>
        </w:rPr>
        <w:t xml:space="preserve"> период</w:t>
      </w:r>
      <w:r w:rsidR="006B26B6">
        <w:rPr>
          <w:lang w:val="ru-RU"/>
        </w:rPr>
        <w:t>а</w:t>
      </w:r>
      <w:r w:rsidR="006B26B6" w:rsidRPr="006B26B6">
        <w:rPr>
          <w:lang w:val="ru-RU"/>
        </w:rPr>
        <w:t xml:space="preserve"> размещения объявлений о вакансиях</w:t>
      </w:r>
      <w:r w:rsidR="008F71A8">
        <w:rPr>
          <w:lang w:val="ru-RU"/>
        </w:rPr>
        <w:t xml:space="preserve"> в категории специалистов (от </w:t>
      </w:r>
      <w:r w:rsidR="008F71A8">
        <w:rPr>
          <w:lang w:val="en-US"/>
        </w:rPr>
        <w:t>P</w:t>
      </w:r>
      <w:r w:rsidR="008F71A8" w:rsidRPr="008F71A8">
        <w:rPr>
          <w:lang w:val="ru-RU"/>
        </w:rPr>
        <w:t xml:space="preserve">1 </w:t>
      </w:r>
      <w:r w:rsidR="008F71A8">
        <w:rPr>
          <w:lang w:val="ru-RU"/>
        </w:rPr>
        <w:t xml:space="preserve">до </w:t>
      </w:r>
      <w:r w:rsidR="008F71A8">
        <w:rPr>
          <w:lang w:val="en-US"/>
        </w:rPr>
        <w:t>D</w:t>
      </w:r>
      <w:r w:rsidR="008F71A8" w:rsidRPr="008F71A8">
        <w:rPr>
          <w:lang w:val="ru-RU"/>
        </w:rPr>
        <w:t>2)</w:t>
      </w:r>
      <w:r w:rsidR="006B26B6" w:rsidRPr="006B26B6">
        <w:rPr>
          <w:lang w:val="ru-RU"/>
        </w:rPr>
        <w:t xml:space="preserve">, определенных для заполнения путем внешнего найма на основе международного конкурса, с двух </w:t>
      </w:r>
      <w:r w:rsidR="008F71A8">
        <w:rPr>
          <w:lang w:val="ru-RU"/>
        </w:rPr>
        <w:t>месяцев до одного</w:t>
      </w:r>
      <w:r w:rsidR="006B26B6" w:rsidRPr="006B26B6">
        <w:rPr>
          <w:lang w:val="ru-RU"/>
        </w:rPr>
        <w:t>.</w:t>
      </w:r>
      <w:r w:rsidR="00724528">
        <w:rPr>
          <w:lang w:val="ru-RU"/>
        </w:rPr>
        <w:t xml:space="preserve"> Для этого потребуется </w:t>
      </w:r>
      <w:r w:rsidR="00724528" w:rsidRPr="00724528">
        <w:rPr>
          <w:lang w:val="ru-RU"/>
        </w:rPr>
        <w:t>внесени</w:t>
      </w:r>
      <w:r w:rsidR="00724528">
        <w:rPr>
          <w:lang w:val="ru-RU"/>
        </w:rPr>
        <w:t>е</w:t>
      </w:r>
      <w:r w:rsidR="00724528" w:rsidRPr="00724528">
        <w:rPr>
          <w:lang w:val="ru-RU"/>
        </w:rPr>
        <w:t xml:space="preserve"> изменений в Положения о персонале</w:t>
      </w:r>
      <w:r w:rsidR="00724528">
        <w:rPr>
          <w:lang w:val="ru-RU"/>
        </w:rPr>
        <w:t xml:space="preserve">, а также утверждение Совета. </w:t>
      </w:r>
      <w:r w:rsidR="00724528" w:rsidRPr="00724528">
        <w:rPr>
          <w:lang w:val="ru-RU"/>
        </w:rPr>
        <w:t>РГС-ФЛР</w:t>
      </w:r>
      <w:r w:rsidR="00724528">
        <w:rPr>
          <w:lang w:val="ru-RU"/>
        </w:rPr>
        <w:t xml:space="preserve"> </w:t>
      </w:r>
      <w:r w:rsidR="00483324">
        <w:rPr>
          <w:lang w:val="ru-RU"/>
        </w:rPr>
        <w:t xml:space="preserve">было </w:t>
      </w:r>
      <w:r w:rsidR="00724528">
        <w:rPr>
          <w:lang w:val="ru-RU"/>
        </w:rPr>
        <w:t>предл</w:t>
      </w:r>
      <w:r w:rsidR="00483324">
        <w:rPr>
          <w:lang w:val="ru-RU"/>
        </w:rPr>
        <w:t>ожено</w:t>
      </w:r>
      <w:r w:rsidR="00724528">
        <w:rPr>
          <w:lang w:val="ru-RU"/>
        </w:rPr>
        <w:t xml:space="preserve"> рекомендовать Совету </w:t>
      </w:r>
      <w:r w:rsidR="00483324">
        <w:rPr>
          <w:lang w:val="ru-RU"/>
        </w:rPr>
        <w:t>поправки к</w:t>
      </w:r>
      <w:r w:rsidR="00724528">
        <w:rPr>
          <w:lang w:val="ru-RU"/>
        </w:rPr>
        <w:t xml:space="preserve"> Положения</w:t>
      </w:r>
      <w:r w:rsidR="00483324">
        <w:rPr>
          <w:lang w:val="ru-RU"/>
        </w:rPr>
        <w:t>м</w:t>
      </w:r>
      <w:r w:rsidR="00724528">
        <w:rPr>
          <w:lang w:val="ru-RU"/>
        </w:rPr>
        <w:t xml:space="preserve"> о персонале, </w:t>
      </w:r>
      <w:r w:rsidR="00483324">
        <w:rPr>
          <w:lang w:val="ru-RU"/>
        </w:rPr>
        <w:t xml:space="preserve">представленные в документе. </w:t>
      </w:r>
    </w:p>
    <w:p w14:paraId="62B3138C" w14:textId="3B8C4471" w:rsidR="000710E8" w:rsidRPr="00AD1AFB" w:rsidRDefault="009265C0" w:rsidP="009265C0">
      <w:pPr>
        <w:rPr>
          <w:lang w:val="ru-RU"/>
        </w:rPr>
      </w:pPr>
      <w:r w:rsidRPr="000710E8">
        <w:rPr>
          <w:lang w:val="ru-RU"/>
        </w:rPr>
        <w:t>7.2</w:t>
      </w:r>
      <w:r w:rsidRPr="000710E8">
        <w:rPr>
          <w:lang w:val="ru-RU"/>
        </w:rPr>
        <w:tab/>
      </w:r>
      <w:r w:rsidR="000710E8">
        <w:rPr>
          <w:lang w:val="ru-RU"/>
        </w:rPr>
        <w:t xml:space="preserve">Секретариат представил статистику по количеству </w:t>
      </w:r>
      <w:r w:rsidR="0017698B">
        <w:rPr>
          <w:lang w:val="ru-RU"/>
        </w:rPr>
        <w:t xml:space="preserve">заявителей, откликнувшихся на вакансию в течение отведенного для этого периода, а также соответствующие данные по другим организациям для сопоставления. Делегаты просили </w:t>
      </w:r>
      <w:r w:rsidR="0017698B" w:rsidRPr="0017698B">
        <w:rPr>
          <w:lang w:val="ru-RU"/>
        </w:rPr>
        <w:t>Департамент управления людскими ресурсами</w:t>
      </w:r>
      <w:r w:rsidR="0017698B">
        <w:rPr>
          <w:lang w:val="ru-RU"/>
        </w:rPr>
        <w:t xml:space="preserve"> представить к следующему собранию дополнительную информацию о </w:t>
      </w:r>
      <w:r w:rsidR="00390DEA">
        <w:rPr>
          <w:lang w:val="ru-RU"/>
        </w:rPr>
        <w:t xml:space="preserve">полном </w:t>
      </w:r>
      <w:r w:rsidR="00AD1AFB">
        <w:rPr>
          <w:lang w:val="ru-RU"/>
        </w:rPr>
        <w:t xml:space="preserve">цикле </w:t>
      </w:r>
      <w:r w:rsidR="00390DEA">
        <w:rPr>
          <w:lang w:val="ru-RU"/>
        </w:rPr>
        <w:t xml:space="preserve">процесса набора, чтобы можно </w:t>
      </w:r>
      <w:r w:rsidR="002C587D">
        <w:rPr>
          <w:lang w:val="ru-RU"/>
        </w:rPr>
        <w:t xml:space="preserve">было </w:t>
      </w:r>
      <w:r w:rsidR="00390DEA">
        <w:rPr>
          <w:lang w:val="ru-RU"/>
        </w:rPr>
        <w:t>проанализировать запрос более подробно.</w:t>
      </w:r>
    </w:p>
    <w:p w14:paraId="1B379284" w14:textId="037722B5" w:rsidR="009265C0" w:rsidRPr="008E3524" w:rsidRDefault="002C587D" w:rsidP="00D377E5">
      <w:pPr>
        <w:pStyle w:val="Headingb"/>
        <w:rPr>
          <w:lang w:val="ru-RU"/>
        </w:rPr>
      </w:pPr>
      <w:r>
        <w:rPr>
          <w:lang w:val="ru-RU"/>
        </w:rPr>
        <w:t xml:space="preserve">Вклад Австралии и Канады "Процесс набора </w:t>
      </w:r>
      <w:r w:rsidR="008E3524">
        <w:rPr>
          <w:lang w:val="ru-RU"/>
        </w:rPr>
        <w:t>–</w:t>
      </w:r>
      <w:r>
        <w:rPr>
          <w:lang w:val="ru-RU"/>
        </w:rPr>
        <w:t xml:space="preserve"> Предложение о сокращении периода размещения объявлений о вакансиях МСЭ"</w:t>
      </w:r>
      <w:r w:rsidR="009265C0" w:rsidRPr="008E3524">
        <w:rPr>
          <w:lang w:val="ru-RU"/>
        </w:rPr>
        <w:t xml:space="preserve"> (</w:t>
      </w:r>
      <w:r w:rsidR="009265C0">
        <w:rPr>
          <w:lang w:val="ru-RU"/>
        </w:rPr>
        <w:t>Документ</w:t>
      </w:r>
      <w:r w:rsidR="009265C0" w:rsidRPr="008E3524">
        <w:rPr>
          <w:lang w:val="ru-RU"/>
        </w:rPr>
        <w:t xml:space="preserve"> </w:t>
      </w:r>
      <w:hyperlink r:id="rId18" w:history="1">
        <w:r w:rsidR="009265C0" w:rsidRPr="009265C0">
          <w:rPr>
            <w:rStyle w:val="Hyperlink"/>
            <w:bCs/>
            <w:lang w:val="en-US"/>
          </w:rPr>
          <w:t>CWG</w:t>
        </w:r>
        <w:r w:rsidR="009265C0" w:rsidRPr="008E3524">
          <w:rPr>
            <w:rStyle w:val="Hyperlink"/>
            <w:bCs/>
            <w:lang w:val="ru-RU"/>
          </w:rPr>
          <w:t>-</w:t>
        </w:r>
        <w:r w:rsidR="009265C0" w:rsidRPr="009265C0">
          <w:rPr>
            <w:rStyle w:val="Hyperlink"/>
            <w:bCs/>
            <w:lang w:val="en-US"/>
          </w:rPr>
          <w:t>FHR</w:t>
        </w:r>
        <w:r w:rsidR="009265C0" w:rsidRPr="008E3524">
          <w:rPr>
            <w:rStyle w:val="Hyperlink"/>
            <w:bCs/>
            <w:lang w:val="ru-RU"/>
          </w:rPr>
          <w:t>-</w:t>
        </w:r>
        <w:r w:rsidR="009265C0" w:rsidRPr="008E3524">
          <w:rPr>
            <w:rStyle w:val="Hyperlink"/>
            <w:lang w:val="ru-RU"/>
          </w:rPr>
          <w:t>15/16</w:t>
        </w:r>
      </w:hyperlink>
      <w:r w:rsidR="002B6316" w:rsidRPr="008E3524">
        <w:rPr>
          <w:rFonts w:eastAsiaTheme="minorHAnsi"/>
          <w:lang w:val="ru-RU"/>
        </w:rPr>
        <w:t>)</w:t>
      </w:r>
    </w:p>
    <w:p w14:paraId="4EABA1AA" w14:textId="6E3C51D7" w:rsidR="00000D8F" w:rsidRPr="00000D8F" w:rsidRDefault="009265C0" w:rsidP="009265C0">
      <w:pPr>
        <w:rPr>
          <w:lang w:val="ru-RU"/>
        </w:rPr>
      </w:pPr>
      <w:r w:rsidRPr="00000D8F">
        <w:rPr>
          <w:lang w:val="ru-RU"/>
        </w:rPr>
        <w:t>7.3</w:t>
      </w:r>
      <w:r w:rsidRPr="00000D8F">
        <w:rPr>
          <w:lang w:val="ru-RU"/>
        </w:rPr>
        <w:tab/>
      </w:r>
      <w:r w:rsidR="00000D8F">
        <w:rPr>
          <w:lang w:val="ru-RU"/>
        </w:rPr>
        <w:t>Австралия и Канада представили Документ</w:t>
      </w:r>
      <w:r w:rsidR="00000D8F" w:rsidRPr="00000D8F">
        <w:rPr>
          <w:lang w:val="ru-RU"/>
        </w:rPr>
        <w:t xml:space="preserve"> </w:t>
      </w:r>
      <w:r w:rsidR="00000D8F" w:rsidRPr="009265C0">
        <w:rPr>
          <w:lang w:val="en-US"/>
        </w:rPr>
        <w:t>CWG</w:t>
      </w:r>
      <w:r w:rsidR="00000D8F" w:rsidRPr="00000D8F">
        <w:rPr>
          <w:lang w:val="ru-RU"/>
        </w:rPr>
        <w:t>-</w:t>
      </w:r>
      <w:r w:rsidR="00000D8F" w:rsidRPr="009265C0">
        <w:rPr>
          <w:lang w:val="en-US"/>
        </w:rPr>
        <w:t>FHR</w:t>
      </w:r>
      <w:r w:rsidR="00000D8F" w:rsidRPr="00000D8F">
        <w:rPr>
          <w:lang w:val="ru-RU"/>
        </w:rPr>
        <w:t>-15/16</w:t>
      </w:r>
      <w:r w:rsidR="00000D8F">
        <w:rPr>
          <w:lang w:val="ru-RU"/>
        </w:rPr>
        <w:t xml:space="preserve">, содержащий предложение в поддержку предложения </w:t>
      </w:r>
      <w:r w:rsidR="00AD1AFB">
        <w:rPr>
          <w:lang w:val="ru-RU"/>
        </w:rPr>
        <w:t>Секретариата</w:t>
      </w:r>
      <w:r w:rsidR="00000D8F">
        <w:rPr>
          <w:lang w:val="ru-RU"/>
        </w:rPr>
        <w:t xml:space="preserve">, представленного в Документе </w:t>
      </w:r>
      <w:r w:rsidR="00000D8F" w:rsidRPr="009265C0">
        <w:rPr>
          <w:lang w:val="en-US"/>
        </w:rPr>
        <w:t>CWG</w:t>
      </w:r>
      <w:r w:rsidR="00000D8F" w:rsidRPr="00000D8F">
        <w:rPr>
          <w:lang w:val="ru-RU"/>
        </w:rPr>
        <w:t>-</w:t>
      </w:r>
      <w:r w:rsidR="00000D8F" w:rsidRPr="009265C0">
        <w:rPr>
          <w:lang w:val="en-US"/>
        </w:rPr>
        <w:t>FHR</w:t>
      </w:r>
      <w:r w:rsidR="00000D8F" w:rsidRPr="00000D8F">
        <w:rPr>
          <w:lang w:val="ru-RU"/>
        </w:rPr>
        <w:t>-15/9</w:t>
      </w:r>
      <w:r w:rsidR="00843239">
        <w:rPr>
          <w:lang w:val="ru-RU"/>
        </w:rPr>
        <w:t>, о сокращении периода размещения объявлени</w:t>
      </w:r>
      <w:r w:rsidR="008E7859">
        <w:rPr>
          <w:lang w:val="ru-RU"/>
        </w:rPr>
        <w:t>й</w:t>
      </w:r>
      <w:r w:rsidR="00AD1AFB">
        <w:rPr>
          <w:lang w:val="ru-RU"/>
        </w:rPr>
        <w:t xml:space="preserve"> о вакансиях</w:t>
      </w:r>
      <w:r w:rsidR="008E7859">
        <w:rPr>
          <w:lang w:val="ru-RU"/>
        </w:rPr>
        <w:t xml:space="preserve"> с двух месяцев до одного и внедрении в МСЭ практики, используемой в других организациях системы ООН, с тем чтобы сделать МСЭ привлекательным местом для трудоустройства и </w:t>
      </w:r>
      <w:r w:rsidR="008E7859" w:rsidRPr="005A2878">
        <w:rPr>
          <w:lang w:val="ru-RU"/>
        </w:rPr>
        <w:t xml:space="preserve">устранить </w:t>
      </w:r>
      <w:r w:rsidR="005A2878" w:rsidRPr="005A2878">
        <w:rPr>
          <w:lang w:val="ru-RU"/>
        </w:rPr>
        <w:t>лишние узкие места</w:t>
      </w:r>
      <w:r w:rsidR="005A2878">
        <w:rPr>
          <w:lang w:val="ru-RU"/>
        </w:rPr>
        <w:t xml:space="preserve">, имеющиеся в процессе </w:t>
      </w:r>
      <w:r w:rsidR="00AD1AFB">
        <w:rPr>
          <w:lang w:val="ru-RU"/>
        </w:rPr>
        <w:t>набора</w:t>
      </w:r>
      <w:r w:rsidR="005A2878">
        <w:rPr>
          <w:lang w:val="ru-RU"/>
        </w:rPr>
        <w:t>.</w:t>
      </w:r>
    </w:p>
    <w:p w14:paraId="1C0D7955" w14:textId="676C1409" w:rsidR="009265C0" w:rsidRPr="009265C0" w:rsidRDefault="00AD1AFB" w:rsidP="00D377E5">
      <w:pPr>
        <w:pStyle w:val="Headingb"/>
        <w:rPr>
          <w:lang w:val="ru-RU"/>
        </w:rPr>
      </w:pPr>
      <w:r w:rsidRPr="00AD1AFB">
        <w:rPr>
          <w:lang w:val="ru-RU"/>
        </w:rPr>
        <w:t>Продвижение по службе в рамках того или иного класса для категорий специалистов и выше</w:t>
      </w:r>
      <w:r w:rsidR="002B6316">
        <w:rPr>
          <w:lang w:val="ru-RU"/>
        </w:rPr>
        <w:br/>
      </w:r>
      <w:r w:rsidR="009265C0" w:rsidRPr="009265C0">
        <w:rPr>
          <w:lang w:val="ru-RU"/>
        </w:rPr>
        <w:t>(</w:t>
      </w:r>
      <w:r w:rsidR="00D377E5">
        <w:rPr>
          <w:lang w:val="ru-RU"/>
        </w:rPr>
        <w:t>Документ</w:t>
      </w:r>
      <w:r w:rsidR="009265C0" w:rsidRPr="009265C0">
        <w:rPr>
          <w:lang w:val="ru-RU"/>
        </w:rPr>
        <w:t xml:space="preserve"> </w:t>
      </w:r>
      <w:hyperlink r:id="rId19" w:history="1">
        <w:r w:rsidR="009265C0" w:rsidRPr="009265C0">
          <w:rPr>
            <w:rStyle w:val="Hyperlink"/>
            <w:lang w:val="en-US"/>
          </w:rPr>
          <w:t>CWG</w:t>
        </w:r>
        <w:r w:rsidR="009265C0" w:rsidRPr="009265C0">
          <w:rPr>
            <w:rStyle w:val="Hyperlink"/>
            <w:lang w:val="ru-RU"/>
          </w:rPr>
          <w:t>-</w:t>
        </w:r>
        <w:r w:rsidR="009265C0" w:rsidRPr="009265C0">
          <w:rPr>
            <w:rStyle w:val="Hyperlink"/>
            <w:lang w:val="en-US"/>
          </w:rPr>
          <w:t>FHR</w:t>
        </w:r>
        <w:r w:rsidR="009265C0" w:rsidRPr="009265C0">
          <w:rPr>
            <w:rStyle w:val="Hyperlink"/>
            <w:lang w:val="ru-RU"/>
          </w:rPr>
          <w:t>-15/8(</w:t>
        </w:r>
        <w:r w:rsidR="009265C0" w:rsidRPr="009265C0">
          <w:rPr>
            <w:rStyle w:val="Hyperlink"/>
            <w:lang w:val="en-US"/>
          </w:rPr>
          <w:t>Rev</w:t>
        </w:r>
        <w:r w:rsidR="009265C0" w:rsidRPr="009265C0">
          <w:rPr>
            <w:rStyle w:val="Hyperlink"/>
            <w:lang w:val="ru-RU"/>
          </w:rPr>
          <w:t>.1)</w:t>
        </w:r>
      </w:hyperlink>
      <w:r w:rsidR="002B6316" w:rsidRPr="00A105F3">
        <w:rPr>
          <w:rFonts w:eastAsiaTheme="minorHAnsi"/>
          <w:lang w:val="ru-RU"/>
        </w:rPr>
        <w:t>)</w:t>
      </w:r>
    </w:p>
    <w:p w14:paraId="2496A650" w14:textId="3C4CCFEE" w:rsidR="009B6817" w:rsidRPr="00E2597F" w:rsidRDefault="009265C0" w:rsidP="009265C0">
      <w:pPr>
        <w:rPr>
          <w:lang w:val="ru-RU"/>
        </w:rPr>
      </w:pPr>
      <w:r w:rsidRPr="00DA0079">
        <w:rPr>
          <w:lang w:val="ru-RU"/>
        </w:rPr>
        <w:t>7.4</w:t>
      </w:r>
      <w:r w:rsidRPr="00DA0079">
        <w:rPr>
          <w:lang w:val="ru-RU"/>
        </w:rPr>
        <w:tab/>
      </w:r>
      <w:r w:rsidR="00DA0079">
        <w:rPr>
          <w:lang w:val="ru-RU"/>
        </w:rPr>
        <w:t>Секретариат</w:t>
      </w:r>
      <w:r w:rsidR="00DA0079" w:rsidRPr="00DA0079">
        <w:rPr>
          <w:lang w:val="ru-RU"/>
        </w:rPr>
        <w:t xml:space="preserve"> </w:t>
      </w:r>
      <w:r w:rsidR="00DA0079">
        <w:rPr>
          <w:lang w:val="ru-RU"/>
        </w:rPr>
        <w:t>представил</w:t>
      </w:r>
      <w:r w:rsidR="00DA0079" w:rsidRPr="00DA0079">
        <w:rPr>
          <w:lang w:val="ru-RU"/>
        </w:rPr>
        <w:t xml:space="preserve"> </w:t>
      </w:r>
      <w:r w:rsidR="00DA0079">
        <w:rPr>
          <w:lang w:val="ru-RU"/>
        </w:rPr>
        <w:t>Документ</w:t>
      </w:r>
      <w:r w:rsidR="00DA0079" w:rsidRPr="00DA0079">
        <w:rPr>
          <w:lang w:val="ru-RU"/>
        </w:rPr>
        <w:t xml:space="preserve"> </w:t>
      </w:r>
      <w:r w:rsidR="00DA0079" w:rsidRPr="009265C0">
        <w:t>CWG</w:t>
      </w:r>
      <w:r w:rsidR="00DA0079" w:rsidRPr="00DA0079">
        <w:rPr>
          <w:lang w:val="ru-RU"/>
        </w:rPr>
        <w:t>-</w:t>
      </w:r>
      <w:r w:rsidR="00DA0079" w:rsidRPr="009265C0">
        <w:t>FHR</w:t>
      </w:r>
      <w:r w:rsidR="00DA0079" w:rsidRPr="00DA0079">
        <w:rPr>
          <w:lang w:val="ru-RU"/>
        </w:rPr>
        <w:t>-15/8(</w:t>
      </w:r>
      <w:r w:rsidR="00DA0079" w:rsidRPr="009265C0">
        <w:t>Rev</w:t>
      </w:r>
      <w:r w:rsidR="00DA0079" w:rsidRPr="00DA0079">
        <w:rPr>
          <w:lang w:val="ru-RU"/>
        </w:rPr>
        <w:t>.1)</w:t>
      </w:r>
      <w:r w:rsidR="00DA0079">
        <w:rPr>
          <w:lang w:val="ru-RU"/>
        </w:rPr>
        <w:t>, содержащий</w:t>
      </w:r>
      <w:r w:rsidR="009B6817">
        <w:rPr>
          <w:lang w:val="ru-RU"/>
        </w:rPr>
        <w:t xml:space="preserve"> предложение о внесении изменений в Положения о персонале</w:t>
      </w:r>
      <w:r w:rsidR="005A2883">
        <w:rPr>
          <w:lang w:val="ru-RU"/>
        </w:rPr>
        <w:t xml:space="preserve">, призванных </w:t>
      </w:r>
      <w:r w:rsidR="009B6817">
        <w:rPr>
          <w:lang w:val="ru-RU"/>
        </w:rPr>
        <w:t>приве</w:t>
      </w:r>
      <w:r w:rsidR="005A2883">
        <w:rPr>
          <w:lang w:val="ru-RU"/>
        </w:rPr>
        <w:t xml:space="preserve">сти </w:t>
      </w:r>
      <w:r w:rsidR="009B6817">
        <w:rPr>
          <w:lang w:val="ru-RU"/>
        </w:rPr>
        <w:t>п</w:t>
      </w:r>
      <w:r w:rsidR="009B6817" w:rsidRPr="009B6817">
        <w:rPr>
          <w:lang w:val="ru-RU"/>
        </w:rPr>
        <w:t>ериодичност</w:t>
      </w:r>
      <w:r w:rsidR="005A2883">
        <w:rPr>
          <w:lang w:val="ru-RU"/>
        </w:rPr>
        <w:t>ь</w:t>
      </w:r>
      <w:r w:rsidR="009B6817">
        <w:rPr>
          <w:lang w:val="ru-RU"/>
        </w:rPr>
        <w:t xml:space="preserve"> повышения окладов в связи с переходом на новую ступень в рамках </w:t>
      </w:r>
      <w:r w:rsidR="009B6817" w:rsidRPr="009B6817">
        <w:rPr>
          <w:lang w:val="ru-RU"/>
        </w:rPr>
        <w:t xml:space="preserve">уровня D1 в МСЭ </w:t>
      </w:r>
      <w:r w:rsidR="005A2883">
        <w:rPr>
          <w:lang w:val="ru-RU"/>
        </w:rPr>
        <w:t xml:space="preserve">в соответствие </w:t>
      </w:r>
      <w:r w:rsidR="009B6817" w:rsidRPr="009B6817">
        <w:rPr>
          <w:lang w:val="ru-RU"/>
        </w:rPr>
        <w:t>с общей системой окладов, надбавок и выплат Организации Объединенных Наций, установленной Комиссией по междунар</w:t>
      </w:r>
      <w:r w:rsidR="005A2883">
        <w:rPr>
          <w:lang w:val="ru-RU"/>
        </w:rPr>
        <w:t xml:space="preserve">одной гражданской службе (КМГС). В целях упрощения будущих поправок было предложено </w:t>
      </w:r>
      <w:r w:rsidR="00D7768A">
        <w:rPr>
          <w:lang w:val="ru-RU"/>
        </w:rPr>
        <w:t xml:space="preserve">исключить </w:t>
      </w:r>
      <w:r w:rsidR="00B8581E">
        <w:rPr>
          <w:lang w:val="ru-RU"/>
        </w:rPr>
        <w:t xml:space="preserve">из Положений о персонале </w:t>
      </w:r>
      <w:r w:rsidR="00D7768A">
        <w:rPr>
          <w:lang w:val="ru-RU"/>
        </w:rPr>
        <w:t>этот уровень конкретизации</w:t>
      </w:r>
      <w:r w:rsidR="00E2597F">
        <w:rPr>
          <w:lang w:val="ru-RU"/>
        </w:rPr>
        <w:t xml:space="preserve"> и сделать прямую ссылку на</w:t>
      </w:r>
      <w:r w:rsidR="00E2597F" w:rsidRPr="00E2597F">
        <w:rPr>
          <w:lang w:val="ru-RU"/>
        </w:rPr>
        <w:t xml:space="preserve"> стандарт КМГС.</w:t>
      </w:r>
      <w:r w:rsidR="00B8581E">
        <w:rPr>
          <w:lang w:val="ru-RU"/>
        </w:rPr>
        <w:t xml:space="preserve"> </w:t>
      </w:r>
    </w:p>
    <w:p w14:paraId="007AF59F" w14:textId="13CBB90F" w:rsidR="006C60BE" w:rsidRPr="006C60BE" w:rsidRDefault="009265C0" w:rsidP="009265C0">
      <w:pPr>
        <w:rPr>
          <w:lang w:val="ru-RU"/>
        </w:rPr>
      </w:pPr>
      <w:r w:rsidRPr="006C60BE">
        <w:rPr>
          <w:lang w:val="ru-RU"/>
        </w:rPr>
        <w:t>7.5</w:t>
      </w:r>
      <w:r w:rsidRPr="006C60BE">
        <w:rPr>
          <w:lang w:val="ru-RU"/>
        </w:rPr>
        <w:tab/>
      </w:r>
      <w:r w:rsidR="00182A5F" w:rsidRPr="006C60BE">
        <w:rPr>
          <w:lang w:val="ru-RU"/>
        </w:rPr>
        <w:t>РГС-ФЛР</w:t>
      </w:r>
      <w:r w:rsidR="00182A5F">
        <w:rPr>
          <w:lang w:val="ru-RU"/>
        </w:rPr>
        <w:t xml:space="preserve"> </w:t>
      </w:r>
      <w:r w:rsidR="006C60BE">
        <w:rPr>
          <w:lang w:val="ru-RU"/>
        </w:rPr>
        <w:t xml:space="preserve">было предложено рекомендовать Совету </w:t>
      </w:r>
      <w:r w:rsidR="00EF1DB8">
        <w:rPr>
          <w:lang w:val="ru-RU"/>
        </w:rPr>
        <w:t xml:space="preserve">представленные </w:t>
      </w:r>
      <w:r w:rsidR="007F60B7">
        <w:rPr>
          <w:lang w:val="ru-RU"/>
        </w:rPr>
        <w:t xml:space="preserve">Секретариатом </w:t>
      </w:r>
      <w:r w:rsidR="006C60BE">
        <w:rPr>
          <w:lang w:val="ru-RU"/>
        </w:rPr>
        <w:t>поправки к Положениям о персонале</w:t>
      </w:r>
      <w:r w:rsidR="00EF1DB8">
        <w:rPr>
          <w:lang w:val="ru-RU"/>
        </w:rPr>
        <w:t>, применимым к</w:t>
      </w:r>
      <w:r w:rsidR="006C60BE">
        <w:rPr>
          <w:lang w:val="ru-RU"/>
        </w:rPr>
        <w:t xml:space="preserve"> </w:t>
      </w:r>
      <w:r w:rsidR="006C60BE" w:rsidRPr="006C60BE">
        <w:rPr>
          <w:lang w:val="ru-RU"/>
        </w:rPr>
        <w:t>назначаемы</w:t>
      </w:r>
      <w:r w:rsidR="00EF1DB8">
        <w:rPr>
          <w:lang w:val="ru-RU"/>
        </w:rPr>
        <w:t xml:space="preserve">м </w:t>
      </w:r>
      <w:r w:rsidR="006C60BE" w:rsidRPr="006C60BE">
        <w:rPr>
          <w:lang w:val="ru-RU"/>
        </w:rPr>
        <w:t>сотрудник</w:t>
      </w:r>
      <w:r w:rsidR="00EF1DB8">
        <w:rPr>
          <w:lang w:val="ru-RU"/>
        </w:rPr>
        <w:t xml:space="preserve">ам. </w:t>
      </w:r>
    </w:p>
    <w:p w14:paraId="23662BCD" w14:textId="63E734D0" w:rsidR="00EF1DB8" w:rsidRPr="00764A6D" w:rsidRDefault="009265C0" w:rsidP="009265C0">
      <w:pPr>
        <w:rPr>
          <w:lang w:val="ru-RU"/>
        </w:rPr>
      </w:pPr>
      <w:r w:rsidRPr="00764A6D">
        <w:rPr>
          <w:lang w:val="ru-RU"/>
        </w:rPr>
        <w:t>7.6</w:t>
      </w:r>
      <w:r w:rsidRPr="00764A6D">
        <w:rPr>
          <w:lang w:val="ru-RU"/>
        </w:rPr>
        <w:tab/>
      </w:r>
      <w:r w:rsidR="00EF1DB8">
        <w:rPr>
          <w:lang w:val="ru-RU"/>
        </w:rPr>
        <w:t>По итогам обсуждений Председатель предложил</w:t>
      </w:r>
      <w:r w:rsidR="00C07273">
        <w:rPr>
          <w:lang w:val="ru-RU"/>
        </w:rPr>
        <w:t>а</w:t>
      </w:r>
      <w:r w:rsidR="00764A6D">
        <w:rPr>
          <w:lang w:val="ru-RU"/>
        </w:rPr>
        <w:t xml:space="preserve"> в дополнение к предложению </w:t>
      </w:r>
      <w:r w:rsidR="007F60B7">
        <w:rPr>
          <w:lang w:val="ru-RU"/>
        </w:rPr>
        <w:t xml:space="preserve">Секретариата </w:t>
      </w:r>
      <w:r w:rsidR="00764A6D">
        <w:rPr>
          <w:lang w:val="ru-RU"/>
        </w:rPr>
        <w:t xml:space="preserve">добавить </w:t>
      </w:r>
      <w:r w:rsidR="007F60B7">
        <w:rPr>
          <w:lang w:val="ru-RU"/>
        </w:rPr>
        <w:t xml:space="preserve">в </w:t>
      </w:r>
      <w:r w:rsidR="00764A6D">
        <w:rPr>
          <w:lang w:val="ru-RU"/>
        </w:rPr>
        <w:t>пункт Положений о персонале</w:t>
      </w:r>
      <w:r w:rsidR="007F60B7">
        <w:rPr>
          <w:lang w:val="ru-RU"/>
        </w:rPr>
        <w:t xml:space="preserve">, подлежащий изменению, </w:t>
      </w:r>
      <w:r w:rsidR="00764A6D">
        <w:rPr>
          <w:lang w:val="ru-RU"/>
        </w:rPr>
        <w:t>следующий текст: "</w:t>
      </w:r>
      <w:r w:rsidR="00764A6D" w:rsidRPr="00764A6D">
        <w:rPr>
          <w:lang w:val="ru-RU"/>
        </w:rPr>
        <w:t>Генеральный секретарь будет ежегодно информировать сотрудников в случае изменений периодичности повышения окладов</w:t>
      </w:r>
      <w:r w:rsidR="00764A6D">
        <w:rPr>
          <w:lang w:val="ru-RU"/>
        </w:rPr>
        <w:t>"</w:t>
      </w:r>
      <w:r w:rsidR="00764A6D" w:rsidRPr="00764A6D">
        <w:rPr>
          <w:lang w:val="ru-RU"/>
        </w:rPr>
        <w:t>.</w:t>
      </w:r>
    </w:p>
    <w:p w14:paraId="6944FB01" w14:textId="1025B9F5" w:rsidR="009265C0" w:rsidRPr="00B77B8F" w:rsidRDefault="009265C0" w:rsidP="009265C0">
      <w:pPr>
        <w:pStyle w:val="Heading1"/>
        <w:rPr>
          <w:bCs/>
          <w:lang w:val="ru-RU"/>
        </w:rPr>
      </w:pPr>
      <w:r w:rsidRPr="00B77B8F">
        <w:rPr>
          <w:bCs/>
          <w:lang w:val="ru-RU"/>
        </w:rPr>
        <w:t>8</w:t>
      </w:r>
      <w:r w:rsidRPr="00B77B8F">
        <w:rPr>
          <w:bCs/>
          <w:lang w:val="ru-RU"/>
        </w:rPr>
        <w:tab/>
      </w:r>
      <w:r w:rsidR="00B77B8F">
        <w:rPr>
          <w:bCs/>
          <w:lang w:val="ru-RU"/>
        </w:rPr>
        <w:t>Краткий</w:t>
      </w:r>
      <w:r w:rsidR="00B77B8F" w:rsidRPr="00B77B8F">
        <w:rPr>
          <w:bCs/>
          <w:lang w:val="ru-RU"/>
        </w:rPr>
        <w:t xml:space="preserve"> </w:t>
      </w:r>
      <w:r w:rsidR="00A34EE5">
        <w:rPr>
          <w:bCs/>
          <w:lang w:val="ru-RU"/>
        </w:rPr>
        <w:t>обзор хода выполнения</w:t>
      </w:r>
      <w:r w:rsidR="00562492">
        <w:rPr>
          <w:bCs/>
          <w:lang w:val="ru-RU"/>
        </w:rPr>
        <w:t xml:space="preserve"> </w:t>
      </w:r>
      <w:r w:rsidR="00B77B8F">
        <w:rPr>
          <w:bCs/>
          <w:lang w:val="ru-RU"/>
        </w:rPr>
        <w:t>рекомендаций</w:t>
      </w:r>
      <w:r w:rsidR="009A61E0" w:rsidRPr="009A61E0">
        <w:rPr>
          <w:bCs/>
          <w:lang w:val="ru-RU"/>
        </w:rPr>
        <w:t xml:space="preserve"> </w:t>
      </w:r>
      <w:r w:rsidR="009A61E0" w:rsidRPr="009265C0">
        <w:rPr>
          <w:bCs/>
          <w:lang w:val="en-US"/>
        </w:rPr>
        <w:t>PwC</w:t>
      </w:r>
      <w:r w:rsidR="009A61E0">
        <w:rPr>
          <w:bCs/>
          <w:lang w:val="ru-RU"/>
        </w:rPr>
        <w:t>, представленных</w:t>
      </w:r>
      <w:r w:rsidR="00B77B8F">
        <w:rPr>
          <w:bCs/>
          <w:lang w:val="ru-RU"/>
        </w:rPr>
        <w:t xml:space="preserve"> по итогам проведения в МСЭ судебно-бухгалтерской экспертизы </w:t>
      </w:r>
      <w:r w:rsidRPr="00B77B8F">
        <w:rPr>
          <w:bCs/>
          <w:lang w:val="ru-RU"/>
        </w:rPr>
        <w:t>(</w:t>
      </w:r>
      <w:r>
        <w:rPr>
          <w:bCs/>
          <w:lang w:val="ru-RU"/>
        </w:rPr>
        <w:t>Документы</w:t>
      </w:r>
      <w:r w:rsidRPr="00B77B8F">
        <w:rPr>
          <w:bCs/>
          <w:lang w:val="ru-RU"/>
        </w:rPr>
        <w:t xml:space="preserve"> </w:t>
      </w:r>
      <w:hyperlink r:id="rId20" w:history="1">
        <w:r w:rsidRPr="009265C0">
          <w:rPr>
            <w:rStyle w:val="Hyperlink"/>
            <w:bCs/>
            <w:lang w:val="en-US"/>
          </w:rPr>
          <w:t>CWG</w:t>
        </w:r>
        <w:r w:rsidRPr="00B77B8F">
          <w:rPr>
            <w:rStyle w:val="Hyperlink"/>
            <w:bCs/>
            <w:lang w:val="ru-RU"/>
          </w:rPr>
          <w:t>-</w:t>
        </w:r>
        <w:r w:rsidRPr="009265C0">
          <w:rPr>
            <w:rStyle w:val="Hyperlink"/>
            <w:bCs/>
            <w:lang w:val="en-US"/>
          </w:rPr>
          <w:t>FHR</w:t>
        </w:r>
        <w:r w:rsidRPr="00B77B8F">
          <w:rPr>
            <w:rStyle w:val="Hyperlink"/>
            <w:bCs/>
            <w:lang w:val="ru-RU"/>
          </w:rPr>
          <w:t xml:space="preserve"> 14/9</w:t>
        </w:r>
      </w:hyperlink>
      <w:r w:rsidRPr="00B77B8F">
        <w:rPr>
          <w:bCs/>
          <w:lang w:val="ru-RU"/>
        </w:rPr>
        <w:t xml:space="preserve">, </w:t>
      </w:r>
      <w:hyperlink r:id="rId21" w:history="1">
        <w:r w:rsidRPr="009265C0">
          <w:rPr>
            <w:rStyle w:val="Hyperlink"/>
            <w:bCs/>
            <w:lang w:val="en-US"/>
          </w:rPr>
          <w:t>CWG</w:t>
        </w:r>
        <w:r w:rsidRPr="00B77B8F">
          <w:rPr>
            <w:rStyle w:val="Hyperlink"/>
            <w:bCs/>
            <w:lang w:val="ru-RU"/>
          </w:rPr>
          <w:t>-</w:t>
        </w:r>
        <w:r w:rsidRPr="009265C0">
          <w:rPr>
            <w:rStyle w:val="Hyperlink"/>
            <w:bCs/>
            <w:lang w:val="en-US"/>
          </w:rPr>
          <w:t>FHR</w:t>
        </w:r>
        <w:r w:rsidRPr="00B77B8F">
          <w:rPr>
            <w:rStyle w:val="Hyperlink"/>
            <w:bCs/>
            <w:lang w:val="ru-RU"/>
          </w:rPr>
          <w:t xml:space="preserve"> 14/11</w:t>
        </w:r>
      </w:hyperlink>
      <w:r w:rsidRPr="00B77B8F">
        <w:rPr>
          <w:bCs/>
          <w:lang w:val="ru-RU"/>
        </w:rPr>
        <w:t xml:space="preserve"> </w:t>
      </w:r>
      <w:r>
        <w:rPr>
          <w:bCs/>
          <w:lang w:val="ru-RU"/>
        </w:rPr>
        <w:t>и</w:t>
      </w:r>
      <w:r w:rsidRPr="00B77B8F">
        <w:rPr>
          <w:bCs/>
          <w:lang w:val="ru-RU"/>
        </w:rPr>
        <w:t xml:space="preserve"> </w:t>
      </w:r>
      <w:hyperlink r:id="rId22" w:history="1">
        <w:r w:rsidRPr="009265C0">
          <w:rPr>
            <w:rStyle w:val="Hyperlink"/>
            <w:bCs/>
            <w:lang w:val="en-US"/>
          </w:rPr>
          <w:t>CWG</w:t>
        </w:r>
        <w:r w:rsidRPr="00B77B8F">
          <w:rPr>
            <w:rStyle w:val="Hyperlink"/>
            <w:bCs/>
            <w:lang w:val="ru-RU"/>
          </w:rPr>
          <w:t>-</w:t>
        </w:r>
        <w:r w:rsidRPr="009265C0">
          <w:rPr>
            <w:rStyle w:val="Hyperlink"/>
            <w:bCs/>
            <w:lang w:val="en-US"/>
          </w:rPr>
          <w:t>FHR</w:t>
        </w:r>
        <w:r w:rsidRPr="00B77B8F">
          <w:rPr>
            <w:rStyle w:val="Hyperlink"/>
            <w:bCs/>
            <w:lang w:val="ru-RU"/>
          </w:rPr>
          <w:t>-15/3</w:t>
        </w:r>
      </w:hyperlink>
      <w:r w:rsidR="002B6316" w:rsidRPr="00B77B8F">
        <w:rPr>
          <w:rFonts w:eastAsiaTheme="minorHAnsi"/>
          <w:lang w:val="ru-RU"/>
        </w:rPr>
        <w:t>)</w:t>
      </w:r>
      <w:r w:rsidR="009A61E0">
        <w:rPr>
          <w:rFonts w:eastAsiaTheme="minorHAnsi"/>
          <w:lang w:val="ru-RU"/>
        </w:rPr>
        <w:t xml:space="preserve"> </w:t>
      </w:r>
    </w:p>
    <w:p w14:paraId="0A693A7C" w14:textId="42146D6E" w:rsidR="00BA71DB" w:rsidRPr="00A72A61" w:rsidRDefault="009265C0" w:rsidP="009265C0">
      <w:pPr>
        <w:rPr>
          <w:lang w:val="ru-RU"/>
        </w:rPr>
      </w:pPr>
      <w:bookmarkStart w:id="6" w:name="_Hlk92803275"/>
      <w:r w:rsidRPr="00BA71DB">
        <w:rPr>
          <w:lang w:val="ru-RU"/>
        </w:rPr>
        <w:t>8.1</w:t>
      </w:r>
      <w:r w:rsidRPr="00BA71DB">
        <w:rPr>
          <w:lang w:val="ru-RU"/>
        </w:rPr>
        <w:tab/>
      </w:r>
      <w:r w:rsidR="00BA71DB">
        <w:rPr>
          <w:lang w:val="ru-RU"/>
        </w:rPr>
        <w:t xml:space="preserve">После того как представитель консалтинговой компании </w:t>
      </w:r>
      <w:r w:rsidR="00BA71DB" w:rsidRPr="009265C0">
        <w:rPr>
          <w:lang w:val="en-US"/>
        </w:rPr>
        <w:t>PricewaterhouseCoopers</w:t>
      </w:r>
      <w:r w:rsidR="00BA71DB" w:rsidRPr="00BA71DB">
        <w:rPr>
          <w:lang w:val="ru-RU"/>
        </w:rPr>
        <w:t xml:space="preserve"> (</w:t>
      </w:r>
      <w:r w:rsidR="00BA71DB" w:rsidRPr="009265C0">
        <w:rPr>
          <w:lang w:val="en-US"/>
        </w:rPr>
        <w:t>PwC</w:t>
      </w:r>
      <w:r w:rsidR="00BA71DB" w:rsidRPr="00BA71DB">
        <w:rPr>
          <w:lang w:val="ru-RU"/>
        </w:rPr>
        <w:t>)</w:t>
      </w:r>
      <w:r w:rsidR="00BA71DB">
        <w:rPr>
          <w:lang w:val="ru-RU"/>
        </w:rPr>
        <w:t xml:space="preserve"> выступил с устной презентацией, Председатель предложил</w:t>
      </w:r>
      <w:r w:rsidR="00C07273">
        <w:rPr>
          <w:lang w:val="ru-RU"/>
        </w:rPr>
        <w:t>а</w:t>
      </w:r>
      <w:r w:rsidR="00BA71DB">
        <w:rPr>
          <w:lang w:val="ru-RU"/>
        </w:rPr>
        <w:t xml:space="preserve"> присутствующим задать вопросы. Делегаты </w:t>
      </w:r>
      <w:r w:rsidR="001E4224">
        <w:rPr>
          <w:lang w:val="ru-RU"/>
        </w:rPr>
        <w:t xml:space="preserve">отметили высокую ценность подготовленного консалтинговой компанией отчета, и один из делегатов подтвердил, что отчет удовлетворяет ожиданиям, отраженным в Решении 613 Совета. Вопросы, заданные делегатами, касались позднего представления документа, отсутствия полного </w:t>
      </w:r>
      <w:r w:rsidR="001E4224">
        <w:rPr>
          <w:lang w:val="ru-RU"/>
        </w:rPr>
        <w:lastRenderedPageBreak/>
        <w:t xml:space="preserve">перечня сокращений для тех, кто не говорит по-английски, и </w:t>
      </w:r>
      <w:r w:rsidR="00AE5BC3" w:rsidRPr="00AE5BC3">
        <w:rPr>
          <w:lang w:val="ru-RU"/>
        </w:rPr>
        <w:t xml:space="preserve">взаимосвязи с </w:t>
      </w:r>
      <w:r w:rsidR="001E4224" w:rsidRPr="00AE5BC3">
        <w:rPr>
          <w:lang w:val="ru-RU"/>
        </w:rPr>
        <w:t>возвращени</w:t>
      </w:r>
      <w:r w:rsidR="00AE5BC3" w:rsidRPr="00AE5BC3">
        <w:rPr>
          <w:lang w:val="ru-RU"/>
        </w:rPr>
        <w:t>ем</w:t>
      </w:r>
      <w:r w:rsidR="001E4224">
        <w:rPr>
          <w:lang w:val="ru-RU"/>
        </w:rPr>
        <w:t xml:space="preserve"> активов, утраченных в результате мо</w:t>
      </w:r>
      <w:r w:rsidR="0071709D">
        <w:rPr>
          <w:lang w:val="ru-RU"/>
        </w:rPr>
        <w:t xml:space="preserve">шенничества, </w:t>
      </w:r>
      <w:r w:rsidR="00FE2870">
        <w:rPr>
          <w:lang w:val="ru-RU"/>
        </w:rPr>
        <w:t>совершенного</w:t>
      </w:r>
      <w:r w:rsidR="0071709D">
        <w:rPr>
          <w:lang w:val="ru-RU"/>
        </w:rPr>
        <w:t xml:space="preserve"> </w:t>
      </w:r>
      <w:r w:rsidR="001E4224" w:rsidRPr="0071709D">
        <w:rPr>
          <w:lang w:val="ru-RU"/>
        </w:rPr>
        <w:t>в Региональном отделении МСЭ для Азиатско-Тихоокеанского региона</w:t>
      </w:r>
      <w:r w:rsidR="0071709D">
        <w:rPr>
          <w:lang w:val="ru-RU"/>
        </w:rPr>
        <w:t xml:space="preserve">. Один из делегатов отметил исключительную важность работы, ведущейся </w:t>
      </w:r>
      <w:r w:rsidR="0071709D" w:rsidRPr="0071709D">
        <w:rPr>
          <w:lang w:val="ru-RU"/>
        </w:rPr>
        <w:t>Управлением по вопросам этики и Подразделением внутреннего аудита</w:t>
      </w:r>
      <w:r w:rsidR="0071709D">
        <w:rPr>
          <w:lang w:val="ru-RU"/>
        </w:rPr>
        <w:t xml:space="preserve">. Главным предметом обеспокоенности, выраженной рядом делегатов, стали оговорки в отношении действий, предложенных </w:t>
      </w:r>
      <w:r w:rsidR="0071709D" w:rsidRPr="009265C0">
        <w:rPr>
          <w:lang w:val="en-US"/>
        </w:rPr>
        <w:t>PwC</w:t>
      </w:r>
      <w:r w:rsidR="0071709D">
        <w:rPr>
          <w:lang w:val="ru-RU"/>
        </w:rPr>
        <w:t xml:space="preserve"> </w:t>
      </w:r>
      <w:r w:rsidR="00FE2870">
        <w:rPr>
          <w:lang w:val="ru-RU"/>
        </w:rPr>
        <w:t>в целях</w:t>
      </w:r>
      <w:r w:rsidR="0071709D">
        <w:rPr>
          <w:lang w:val="ru-RU"/>
        </w:rPr>
        <w:t xml:space="preserve"> повышения готовности к судебно-бухгалтерским расследованиям и усовершенствования управления данными. </w:t>
      </w:r>
      <w:r w:rsidR="0071709D" w:rsidRPr="00A6305E">
        <w:rPr>
          <w:lang w:val="ru-RU"/>
        </w:rPr>
        <w:t xml:space="preserve">Представитель консалтинговой компании пояснил, что ситуация </w:t>
      </w:r>
      <w:r w:rsidR="00622E76" w:rsidRPr="00A6305E">
        <w:rPr>
          <w:lang w:val="ru-RU"/>
        </w:rPr>
        <w:t xml:space="preserve">не является </w:t>
      </w:r>
      <w:r w:rsidR="00335CF8" w:rsidRPr="00A6305E">
        <w:rPr>
          <w:lang w:val="ru-RU"/>
        </w:rPr>
        <w:t>чрезмерно</w:t>
      </w:r>
      <w:r w:rsidR="0071709D" w:rsidRPr="00A6305E">
        <w:rPr>
          <w:lang w:val="ru-RU"/>
        </w:rPr>
        <w:t xml:space="preserve"> проблематичной,</w:t>
      </w:r>
      <w:r w:rsidR="0071709D">
        <w:rPr>
          <w:lang w:val="ru-RU"/>
        </w:rPr>
        <w:t xml:space="preserve"> однако требует внимания со стороны руководства МСЭ. </w:t>
      </w:r>
      <w:r w:rsidR="0071709D" w:rsidRPr="0071709D">
        <w:rPr>
          <w:lang w:val="ru-RU"/>
        </w:rPr>
        <w:t>С</w:t>
      </w:r>
      <w:r w:rsidR="00AA2E9E">
        <w:rPr>
          <w:lang w:val="ru-RU"/>
        </w:rPr>
        <w:t xml:space="preserve">оветник МСЭ по правовым вопросам, комментируя </w:t>
      </w:r>
      <w:r w:rsidR="00A6305E">
        <w:rPr>
          <w:lang w:val="ru-RU"/>
        </w:rPr>
        <w:t xml:space="preserve">упомянутую </w:t>
      </w:r>
      <w:r w:rsidR="00AA2E9E">
        <w:rPr>
          <w:lang w:val="ru-RU"/>
        </w:rPr>
        <w:t xml:space="preserve">ситуацию с возвращением активов, утраченных в результате совершенного мошенничества, пояснил, что органы власти Таиланда сформировали </w:t>
      </w:r>
      <w:r w:rsidR="00AA2E9E" w:rsidRPr="00AA2E9E">
        <w:rPr>
          <w:lang w:val="ru-RU"/>
        </w:rPr>
        <w:t>Национальн</w:t>
      </w:r>
      <w:r w:rsidR="00AA2E9E">
        <w:rPr>
          <w:lang w:val="ru-RU"/>
        </w:rPr>
        <w:t>ую</w:t>
      </w:r>
      <w:r w:rsidR="00AA2E9E" w:rsidRPr="00AA2E9E">
        <w:rPr>
          <w:lang w:val="ru-RU"/>
        </w:rPr>
        <w:t xml:space="preserve"> антикоррупционн</w:t>
      </w:r>
      <w:r w:rsidR="00AA2E9E">
        <w:rPr>
          <w:lang w:val="ru-RU"/>
        </w:rPr>
        <w:t>ую</w:t>
      </w:r>
      <w:r w:rsidR="00AA2E9E" w:rsidRPr="00AA2E9E">
        <w:rPr>
          <w:lang w:val="ru-RU"/>
        </w:rPr>
        <w:t xml:space="preserve"> комисси</w:t>
      </w:r>
      <w:r w:rsidR="00AA2E9E">
        <w:rPr>
          <w:lang w:val="ru-RU"/>
        </w:rPr>
        <w:t xml:space="preserve">ю (НАК) в целях проведения </w:t>
      </w:r>
      <w:r w:rsidR="00B70FFD">
        <w:rPr>
          <w:lang w:val="ru-RU"/>
        </w:rPr>
        <w:t xml:space="preserve">судебного разбирательства против мошенника и его сообщников и что </w:t>
      </w:r>
      <w:r w:rsidR="007F1468">
        <w:rPr>
          <w:lang w:val="ru-RU"/>
        </w:rPr>
        <w:t>средства</w:t>
      </w:r>
      <w:r w:rsidR="00A72A61">
        <w:rPr>
          <w:lang w:val="ru-RU"/>
        </w:rPr>
        <w:t xml:space="preserve"> мошенника, находящиеся в </w:t>
      </w:r>
      <w:r w:rsidR="00A72A61" w:rsidRPr="00A72A61">
        <w:rPr>
          <w:lang w:val="ru-RU"/>
        </w:rPr>
        <w:t>Объединенн</w:t>
      </w:r>
      <w:r w:rsidR="00A72A61">
        <w:rPr>
          <w:lang w:val="ru-RU"/>
        </w:rPr>
        <w:t>ом</w:t>
      </w:r>
      <w:r w:rsidR="00A72A61" w:rsidRPr="00A72A61">
        <w:rPr>
          <w:lang w:val="ru-RU"/>
        </w:rPr>
        <w:t xml:space="preserve"> пенсионн</w:t>
      </w:r>
      <w:r w:rsidR="00A72A61">
        <w:rPr>
          <w:lang w:val="ru-RU"/>
        </w:rPr>
        <w:t>ом</w:t>
      </w:r>
      <w:r w:rsidR="00A72A61" w:rsidRPr="00A72A61">
        <w:rPr>
          <w:lang w:val="ru-RU"/>
        </w:rPr>
        <w:t xml:space="preserve"> фонд</w:t>
      </w:r>
      <w:r w:rsidR="00A72A61">
        <w:rPr>
          <w:lang w:val="ru-RU"/>
        </w:rPr>
        <w:t>е</w:t>
      </w:r>
      <w:r w:rsidR="00A72A61" w:rsidRPr="00A72A61">
        <w:rPr>
          <w:lang w:val="ru-RU"/>
        </w:rPr>
        <w:t xml:space="preserve"> персонала Организации Объединенных Наций</w:t>
      </w:r>
      <w:r w:rsidR="00A72A61">
        <w:rPr>
          <w:lang w:val="ru-RU"/>
        </w:rPr>
        <w:t xml:space="preserve">, были заморожены, как только началось расследование. Секретариат также </w:t>
      </w:r>
      <w:r w:rsidR="003346FA">
        <w:rPr>
          <w:lang w:val="ru-RU"/>
        </w:rPr>
        <w:t>указал на</w:t>
      </w:r>
      <w:r w:rsidR="00A72A61">
        <w:rPr>
          <w:lang w:val="ru-RU"/>
        </w:rPr>
        <w:t xml:space="preserve"> необходимо</w:t>
      </w:r>
      <w:r w:rsidR="003346FA">
        <w:rPr>
          <w:lang w:val="ru-RU"/>
        </w:rPr>
        <w:t>сть</w:t>
      </w:r>
      <w:r w:rsidR="00A72A61">
        <w:rPr>
          <w:lang w:val="ru-RU"/>
        </w:rPr>
        <w:t xml:space="preserve"> учредить дополнительную должность в </w:t>
      </w:r>
      <w:r w:rsidR="00A72A61" w:rsidRPr="00A72A61">
        <w:rPr>
          <w:lang w:val="ru-RU"/>
        </w:rPr>
        <w:t>подразделени</w:t>
      </w:r>
      <w:r w:rsidR="00A72A61">
        <w:rPr>
          <w:lang w:val="ru-RU"/>
        </w:rPr>
        <w:t>и</w:t>
      </w:r>
      <w:r w:rsidR="00A72A61" w:rsidRPr="00A72A61">
        <w:rPr>
          <w:lang w:val="ru-RU"/>
        </w:rPr>
        <w:t>, занимающ</w:t>
      </w:r>
      <w:r w:rsidR="00A72A61">
        <w:rPr>
          <w:lang w:val="ru-RU"/>
        </w:rPr>
        <w:t>ем</w:t>
      </w:r>
      <w:r w:rsidR="00A72A61" w:rsidRPr="00A72A61">
        <w:rPr>
          <w:lang w:val="ru-RU"/>
        </w:rPr>
        <w:t xml:space="preserve">ся вопросами контроля </w:t>
      </w:r>
      <w:r w:rsidR="00A72A61">
        <w:rPr>
          <w:lang w:val="ru-RU"/>
        </w:rPr>
        <w:t xml:space="preserve">внебюджетных видов деятельности, как это было сформулировано в </w:t>
      </w:r>
      <w:r w:rsidR="00A72A61" w:rsidRPr="00A6305E">
        <w:rPr>
          <w:lang w:val="ru-RU"/>
        </w:rPr>
        <w:t>одной из рекомендаций</w:t>
      </w:r>
      <w:r w:rsidR="00A72A61">
        <w:rPr>
          <w:lang w:val="ru-RU"/>
        </w:rPr>
        <w:t xml:space="preserve"> консалтинговой компании.</w:t>
      </w:r>
    </w:p>
    <w:bookmarkEnd w:id="6"/>
    <w:p w14:paraId="76DADEA5" w14:textId="498C5B85" w:rsidR="00746A16" w:rsidRPr="00CF2A96" w:rsidRDefault="009265C0" w:rsidP="009265C0">
      <w:pPr>
        <w:rPr>
          <w:lang w:val="ru-RU"/>
        </w:rPr>
      </w:pPr>
      <w:r w:rsidRPr="00A34EE5">
        <w:rPr>
          <w:lang w:val="ru-RU"/>
        </w:rPr>
        <w:t>8.2</w:t>
      </w:r>
      <w:r w:rsidRPr="00A34EE5">
        <w:rPr>
          <w:lang w:val="ru-RU"/>
        </w:rPr>
        <w:tab/>
      </w:r>
      <w:r w:rsidR="00A34EE5">
        <w:rPr>
          <w:lang w:val="ru-RU"/>
        </w:rPr>
        <w:t xml:space="preserve">Секретариат представил документы и краткий обзор Приложения к </w:t>
      </w:r>
      <w:r w:rsidR="00183300">
        <w:rPr>
          <w:lang w:val="ru-RU"/>
        </w:rPr>
        <w:t>документам</w:t>
      </w:r>
      <w:r w:rsidR="00A34EE5">
        <w:rPr>
          <w:lang w:val="ru-RU"/>
        </w:rPr>
        <w:t xml:space="preserve">, </w:t>
      </w:r>
      <w:r w:rsidR="00CC1775">
        <w:rPr>
          <w:lang w:val="ru-RU"/>
        </w:rPr>
        <w:t>где</w:t>
      </w:r>
      <w:r w:rsidR="00A6305E">
        <w:rPr>
          <w:lang w:val="ru-RU"/>
        </w:rPr>
        <w:t xml:space="preserve"> рассматривается ход</w:t>
      </w:r>
      <w:r w:rsidR="00A34EE5">
        <w:rPr>
          <w:lang w:val="ru-RU"/>
        </w:rPr>
        <w:t xml:space="preserve"> выполнения рекомендаций </w:t>
      </w:r>
      <w:r w:rsidR="00A34EE5" w:rsidRPr="009265C0">
        <w:rPr>
          <w:lang w:val="en-US"/>
        </w:rPr>
        <w:t>PwC</w:t>
      </w:r>
      <w:r w:rsidR="00A34EE5" w:rsidRPr="00A6305E">
        <w:rPr>
          <w:lang w:val="ru-RU"/>
        </w:rPr>
        <w:t>, связанных с</w:t>
      </w:r>
      <w:r w:rsidR="00A34EE5">
        <w:rPr>
          <w:lang w:val="ru-RU"/>
        </w:rPr>
        <w:t xml:space="preserve"> отчетом о проведении судебно-бухгалтерской экспертизы. Была сделана ссылка на Приложение к документу, а также </w:t>
      </w:r>
      <w:r w:rsidR="00D32548">
        <w:rPr>
          <w:lang w:val="ru-RU"/>
        </w:rPr>
        <w:t>охарактеризованы</w:t>
      </w:r>
      <w:r w:rsidR="005C2FDC" w:rsidRPr="005C2FDC">
        <w:rPr>
          <w:lang w:val="ru-RU"/>
        </w:rPr>
        <w:t xml:space="preserve"> </w:t>
      </w:r>
      <w:r w:rsidR="005C2FDC">
        <w:rPr>
          <w:lang w:val="ru-RU"/>
        </w:rPr>
        <w:t>мероприяти</w:t>
      </w:r>
      <w:r w:rsidR="00D32548">
        <w:rPr>
          <w:lang w:val="ru-RU"/>
        </w:rPr>
        <w:t>я</w:t>
      </w:r>
      <w:r w:rsidR="005C2FDC">
        <w:rPr>
          <w:lang w:val="ru-RU"/>
        </w:rPr>
        <w:t>, проведенны</w:t>
      </w:r>
      <w:r w:rsidR="00D32548">
        <w:rPr>
          <w:lang w:val="ru-RU"/>
        </w:rPr>
        <w:t>е</w:t>
      </w:r>
      <w:r w:rsidR="005C2FDC">
        <w:rPr>
          <w:lang w:val="ru-RU"/>
        </w:rPr>
        <w:t xml:space="preserve"> </w:t>
      </w:r>
      <w:r w:rsidR="005C2FDC" w:rsidRPr="005C2FDC">
        <w:rPr>
          <w:lang w:val="ru-RU"/>
        </w:rPr>
        <w:t>Подразделением внутреннего аудита</w:t>
      </w:r>
      <w:r w:rsidR="005C2FDC">
        <w:rPr>
          <w:lang w:val="ru-RU"/>
        </w:rPr>
        <w:t xml:space="preserve"> по сбору информации от различных ответственных </w:t>
      </w:r>
      <w:r w:rsidR="00CF2A96">
        <w:rPr>
          <w:lang w:val="ru-RU"/>
        </w:rPr>
        <w:t xml:space="preserve">отделов </w:t>
      </w:r>
      <w:r w:rsidR="005C2FDC">
        <w:rPr>
          <w:lang w:val="ru-RU"/>
        </w:rPr>
        <w:t>Бюро и Генерального секретариата.</w:t>
      </w:r>
    </w:p>
    <w:p w14:paraId="4D67D4F3" w14:textId="76746AB3" w:rsidR="00CF2A96" w:rsidRPr="00CF2A96" w:rsidRDefault="009265C0" w:rsidP="009265C0">
      <w:pPr>
        <w:rPr>
          <w:lang w:val="ru-RU"/>
        </w:rPr>
      </w:pPr>
      <w:r w:rsidRPr="00CF2A96">
        <w:rPr>
          <w:lang w:val="ru-RU"/>
        </w:rPr>
        <w:t>8.3</w:t>
      </w:r>
      <w:r w:rsidRPr="00CF2A96">
        <w:rPr>
          <w:lang w:val="ru-RU"/>
        </w:rPr>
        <w:tab/>
      </w:r>
      <w:r w:rsidR="00CF2A96">
        <w:rPr>
          <w:lang w:val="ru-RU"/>
        </w:rPr>
        <w:t>По состоянию на декабрь 2021 года был</w:t>
      </w:r>
      <w:r w:rsidR="000A69A1">
        <w:rPr>
          <w:lang w:val="ru-RU"/>
        </w:rPr>
        <w:t>о</w:t>
      </w:r>
      <w:r w:rsidR="00CF2A96">
        <w:rPr>
          <w:lang w:val="ru-RU"/>
        </w:rPr>
        <w:t xml:space="preserve"> выполнен</w:t>
      </w:r>
      <w:r w:rsidR="000A69A1">
        <w:rPr>
          <w:lang w:val="ru-RU"/>
        </w:rPr>
        <w:t>о</w:t>
      </w:r>
      <w:r w:rsidR="00CF2A96">
        <w:rPr>
          <w:lang w:val="ru-RU"/>
        </w:rPr>
        <w:t xml:space="preserve"> 44 процента </w:t>
      </w:r>
      <w:r w:rsidR="0097132A">
        <w:rPr>
          <w:lang w:val="ru-RU"/>
        </w:rPr>
        <w:t>из 71</w:t>
      </w:r>
      <w:r w:rsidR="00CF2A96" w:rsidRPr="006A3D0A">
        <w:rPr>
          <w:lang w:val="ru-RU"/>
        </w:rPr>
        <w:t xml:space="preserve"> рекомендаци</w:t>
      </w:r>
      <w:r w:rsidR="0097132A">
        <w:rPr>
          <w:lang w:val="ru-RU"/>
        </w:rPr>
        <w:t>и</w:t>
      </w:r>
      <w:r w:rsidR="00CF2A96" w:rsidRPr="006A3D0A">
        <w:rPr>
          <w:lang w:val="ru-RU"/>
        </w:rPr>
        <w:t>,</w:t>
      </w:r>
      <w:r w:rsidR="00CF2A96">
        <w:rPr>
          <w:lang w:val="ru-RU"/>
        </w:rPr>
        <w:t xml:space="preserve"> 46</w:t>
      </w:r>
      <w:r w:rsidR="009248A4">
        <w:rPr>
          <w:lang w:val="en-US"/>
        </w:rPr>
        <w:t> </w:t>
      </w:r>
      <w:r w:rsidR="00CF2A96">
        <w:rPr>
          <w:lang w:val="ru-RU"/>
        </w:rPr>
        <w:t>процентов находил</w:t>
      </w:r>
      <w:r w:rsidR="000A69A1">
        <w:rPr>
          <w:lang w:val="ru-RU"/>
        </w:rPr>
        <w:t>о</w:t>
      </w:r>
      <w:r w:rsidR="00CF2A96">
        <w:rPr>
          <w:lang w:val="ru-RU"/>
        </w:rPr>
        <w:t xml:space="preserve">сь на стадии осуществления, </w:t>
      </w:r>
      <w:r w:rsidR="000A69A1">
        <w:rPr>
          <w:lang w:val="ru-RU"/>
        </w:rPr>
        <w:t>в то время как</w:t>
      </w:r>
      <w:r w:rsidR="00CF2A96">
        <w:rPr>
          <w:lang w:val="ru-RU"/>
        </w:rPr>
        <w:t xml:space="preserve"> работа по выполнению 10</w:t>
      </w:r>
      <w:r w:rsidR="009248A4">
        <w:rPr>
          <w:lang w:val="en-US"/>
        </w:rPr>
        <w:t> </w:t>
      </w:r>
      <w:r w:rsidR="00CF2A96">
        <w:rPr>
          <w:lang w:val="ru-RU"/>
        </w:rPr>
        <w:t xml:space="preserve">процентов рекомендаций еще не началась. </w:t>
      </w:r>
      <w:r w:rsidR="00E05127">
        <w:rPr>
          <w:lang w:val="ru-RU"/>
        </w:rPr>
        <w:t>Было отмечено, что</w:t>
      </w:r>
      <w:r w:rsidR="000A69A1">
        <w:rPr>
          <w:lang w:val="ru-RU"/>
        </w:rPr>
        <w:t xml:space="preserve"> работу по </w:t>
      </w:r>
      <w:r w:rsidR="00E05127">
        <w:rPr>
          <w:lang w:val="ru-RU"/>
        </w:rPr>
        <w:t>большинств</w:t>
      </w:r>
      <w:r w:rsidR="000A69A1">
        <w:rPr>
          <w:lang w:val="ru-RU"/>
        </w:rPr>
        <w:t>у</w:t>
      </w:r>
      <w:r w:rsidR="00E05127">
        <w:rPr>
          <w:lang w:val="ru-RU"/>
        </w:rPr>
        <w:t xml:space="preserve"> невыполненных рекомендаций планируется </w:t>
      </w:r>
      <w:r w:rsidR="000A69A1">
        <w:rPr>
          <w:lang w:val="ru-RU"/>
        </w:rPr>
        <w:t xml:space="preserve">завершить в первом квартале текущего года и ожидается, что все остальные невыполненные рекомендации будут выполнены до конца 2022 года. Ход выполнения рекомендаций продолжит контролироваться </w:t>
      </w:r>
      <w:r w:rsidR="000A69A1" w:rsidRPr="000A69A1">
        <w:rPr>
          <w:lang w:val="ru-RU"/>
        </w:rPr>
        <w:t>Подразделение</w:t>
      </w:r>
      <w:r w:rsidR="000A69A1">
        <w:rPr>
          <w:lang w:val="ru-RU"/>
        </w:rPr>
        <w:t>м</w:t>
      </w:r>
      <w:r w:rsidR="000A69A1" w:rsidRPr="000A69A1">
        <w:rPr>
          <w:lang w:val="ru-RU"/>
        </w:rPr>
        <w:t xml:space="preserve"> внутреннего аудита</w:t>
      </w:r>
      <w:r w:rsidR="000A69A1">
        <w:rPr>
          <w:lang w:val="ru-RU"/>
        </w:rPr>
        <w:t xml:space="preserve">. </w:t>
      </w:r>
    </w:p>
    <w:p w14:paraId="3AE2C8B9" w14:textId="147DD069" w:rsidR="008237F0" w:rsidRPr="008237F0" w:rsidRDefault="009265C0" w:rsidP="009265C0">
      <w:pPr>
        <w:rPr>
          <w:lang w:val="ru-RU"/>
        </w:rPr>
      </w:pPr>
      <w:r w:rsidRPr="008237F0">
        <w:rPr>
          <w:lang w:val="ru-RU"/>
        </w:rPr>
        <w:t>8.4</w:t>
      </w:r>
      <w:r w:rsidRPr="008237F0">
        <w:rPr>
          <w:lang w:val="ru-RU"/>
        </w:rPr>
        <w:tab/>
      </w:r>
      <w:r w:rsidR="001068DC" w:rsidRPr="001068DC">
        <w:rPr>
          <w:bCs/>
          <w:lang w:val="ru-RU"/>
        </w:rPr>
        <w:t>Председатель</w:t>
      </w:r>
      <w:r w:rsidR="001068DC" w:rsidRPr="008237F0">
        <w:rPr>
          <w:bCs/>
          <w:lang w:val="ru-RU"/>
        </w:rPr>
        <w:t xml:space="preserve"> </w:t>
      </w:r>
      <w:r w:rsidR="001068DC" w:rsidRPr="001068DC">
        <w:rPr>
          <w:bCs/>
          <w:lang w:val="ru-RU"/>
        </w:rPr>
        <w:t>предложил</w:t>
      </w:r>
      <w:r w:rsidR="00C07273">
        <w:rPr>
          <w:bCs/>
          <w:lang w:val="ru-RU"/>
        </w:rPr>
        <w:t>а</w:t>
      </w:r>
      <w:r w:rsidR="001068DC" w:rsidRPr="008237F0">
        <w:rPr>
          <w:bCs/>
          <w:lang w:val="ru-RU"/>
        </w:rPr>
        <w:t xml:space="preserve"> </w:t>
      </w:r>
      <w:r w:rsidR="001068DC" w:rsidRPr="001068DC">
        <w:rPr>
          <w:bCs/>
          <w:lang w:val="ru-RU"/>
        </w:rPr>
        <w:t>зада</w:t>
      </w:r>
      <w:r w:rsidR="004D68D0">
        <w:rPr>
          <w:bCs/>
          <w:lang w:val="ru-RU"/>
        </w:rPr>
        <w:t>ть</w:t>
      </w:r>
      <w:r w:rsidR="001068DC" w:rsidRPr="008237F0">
        <w:rPr>
          <w:bCs/>
          <w:lang w:val="ru-RU"/>
        </w:rPr>
        <w:t xml:space="preserve"> </w:t>
      </w:r>
      <w:r w:rsidR="001068DC" w:rsidRPr="001068DC">
        <w:rPr>
          <w:bCs/>
          <w:lang w:val="ru-RU"/>
        </w:rPr>
        <w:t>вопросы</w:t>
      </w:r>
      <w:r w:rsidR="001068DC" w:rsidRPr="008237F0">
        <w:rPr>
          <w:bCs/>
          <w:lang w:val="ru-RU"/>
        </w:rPr>
        <w:t>.</w:t>
      </w:r>
      <w:r w:rsidRPr="008237F0">
        <w:rPr>
          <w:lang w:val="ru-RU"/>
        </w:rPr>
        <w:t xml:space="preserve"> </w:t>
      </w:r>
      <w:r w:rsidR="008237F0">
        <w:rPr>
          <w:lang w:val="ru-RU"/>
        </w:rPr>
        <w:t>Один из делегатов задал вопрос о планируемых сроках осуществления</w:t>
      </w:r>
      <w:r w:rsidR="00CE36E4">
        <w:rPr>
          <w:lang w:val="ru-RU"/>
        </w:rPr>
        <w:t xml:space="preserve"> невыполненной рекомендации</w:t>
      </w:r>
      <w:r w:rsidR="008A6F47">
        <w:rPr>
          <w:lang w:val="ru-RU"/>
        </w:rPr>
        <w:t xml:space="preserve"> с</w:t>
      </w:r>
      <w:r w:rsidR="00CE36E4">
        <w:rPr>
          <w:lang w:val="ru-RU"/>
        </w:rPr>
        <w:t xml:space="preserve"> повышенны</w:t>
      </w:r>
      <w:r w:rsidR="008A6F47">
        <w:rPr>
          <w:lang w:val="ru-RU"/>
        </w:rPr>
        <w:t>м</w:t>
      </w:r>
      <w:r w:rsidR="00CE36E4">
        <w:rPr>
          <w:lang w:val="ru-RU"/>
        </w:rPr>
        <w:t xml:space="preserve"> приоритет</w:t>
      </w:r>
      <w:r w:rsidR="008A6F47">
        <w:rPr>
          <w:lang w:val="ru-RU"/>
        </w:rPr>
        <w:t>ом</w:t>
      </w:r>
      <w:r w:rsidR="00CE36E4">
        <w:rPr>
          <w:lang w:val="ru-RU"/>
        </w:rPr>
        <w:t>.</w:t>
      </w:r>
    </w:p>
    <w:p w14:paraId="15BAF604" w14:textId="102E1ED0" w:rsidR="00CE36E4" w:rsidRPr="00025CA5" w:rsidRDefault="009265C0" w:rsidP="009265C0">
      <w:pPr>
        <w:rPr>
          <w:u w:val="single"/>
          <w:lang w:val="ru-RU"/>
        </w:rPr>
      </w:pPr>
      <w:r w:rsidRPr="00CE36E4">
        <w:rPr>
          <w:lang w:val="ru-RU"/>
        </w:rPr>
        <w:t>8.5</w:t>
      </w:r>
      <w:r w:rsidRPr="00CE36E4">
        <w:rPr>
          <w:lang w:val="ru-RU"/>
        </w:rPr>
        <w:tab/>
      </w:r>
      <w:r w:rsidR="00CE36E4">
        <w:rPr>
          <w:lang w:val="ru-RU"/>
        </w:rPr>
        <w:t xml:space="preserve">Секретариат ответил, что эта рекомендация относится к департаменту </w:t>
      </w:r>
      <w:r w:rsidR="00CE36E4" w:rsidRPr="00CE36E4">
        <w:rPr>
          <w:lang w:val="ru-RU"/>
        </w:rPr>
        <w:t>HRMD</w:t>
      </w:r>
      <w:r w:rsidR="00CE36E4">
        <w:rPr>
          <w:lang w:val="ru-RU"/>
        </w:rPr>
        <w:t xml:space="preserve"> и</w:t>
      </w:r>
      <w:r w:rsidR="004D68D0" w:rsidRPr="004D68D0">
        <w:rPr>
          <w:lang w:val="ru-RU"/>
        </w:rPr>
        <w:t xml:space="preserve"> </w:t>
      </w:r>
      <w:r w:rsidR="004D68D0">
        <w:rPr>
          <w:lang w:val="ru-RU"/>
        </w:rPr>
        <w:t>что</w:t>
      </w:r>
      <w:r w:rsidR="00CE36E4">
        <w:rPr>
          <w:lang w:val="ru-RU"/>
        </w:rPr>
        <w:t xml:space="preserve">, как отмечено в </w:t>
      </w:r>
      <w:r w:rsidR="004D68D0">
        <w:rPr>
          <w:lang w:val="ru-RU"/>
        </w:rPr>
        <w:t xml:space="preserve">Приложении </w:t>
      </w:r>
      <w:r w:rsidR="00CE36E4">
        <w:rPr>
          <w:lang w:val="ru-RU"/>
        </w:rPr>
        <w:t>к документу, связанные с этой рекомендацией</w:t>
      </w:r>
      <w:r w:rsidR="004D68D0" w:rsidRPr="004D68D0">
        <w:rPr>
          <w:lang w:val="ru-RU"/>
        </w:rPr>
        <w:t xml:space="preserve"> </w:t>
      </w:r>
      <w:r w:rsidR="004D68D0">
        <w:rPr>
          <w:lang w:val="ru-RU"/>
        </w:rPr>
        <w:t>мероприятия</w:t>
      </w:r>
      <w:r w:rsidR="00CE36E4">
        <w:rPr>
          <w:lang w:val="ru-RU"/>
        </w:rPr>
        <w:t xml:space="preserve"> будут </w:t>
      </w:r>
      <w:r w:rsidR="00115E09">
        <w:rPr>
          <w:lang w:val="ru-RU"/>
        </w:rPr>
        <w:t>реализованы</w:t>
      </w:r>
      <w:r w:rsidR="00CE36E4">
        <w:rPr>
          <w:lang w:val="ru-RU"/>
        </w:rPr>
        <w:t xml:space="preserve"> вскоре после внедрения </w:t>
      </w:r>
      <w:r w:rsidR="00CE36E4" w:rsidRPr="00CE36E4">
        <w:rPr>
          <w:lang w:val="ru-RU"/>
        </w:rPr>
        <w:t>системы управления набором персонала</w:t>
      </w:r>
      <w:r w:rsidR="00CE36E4">
        <w:rPr>
          <w:lang w:val="ru-RU"/>
        </w:rPr>
        <w:t xml:space="preserve">, </w:t>
      </w:r>
      <w:r w:rsidR="00025CA5">
        <w:rPr>
          <w:lang w:val="ru-RU"/>
        </w:rPr>
        <w:t xml:space="preserve">которую планируется ввести в действие до конца января 2022 года. </w:t>
      </w:r>
    </w:p>
    <w:p w14:paraId="5BF76304" w14:textId="53C359B2" w:rsidR="00182A5F" w:rsidRPr="00182A5F" w:rsidRDefault="009265C0" w:rsidP="009265C0">
      <w:pPr>
        <w:rPr>
          <w:lang w:val="ru-RU"/>
        </w:rPr>
      </w:pPr>
      <w:r w:rsidRPr="00182A5F">
        <w:rPr>
          <w:lang w:val="ru-RU"/>
        </w:rPr>
        <w:t>8.6</w:t>
      </w:r>
      <w:r w:rsidRPr="00182A5F">
        <w:rPr>
          <w:lang w:val="ru-RU"/>
        </w:rPr>
        <w:tab/>
      </w:r>
      <w:r w:rsidR="00115E09">
        <w:rPr>
          <w:lang w:val="ru-RU"/>
        </w:rPr>
        <w:t xml:space="preserve">В заключение </w:t>
      </w:r>
      <w:r w:rsidR="00182A5F">
        <w:rPr>
          <w:lang w:val="ru-RU"/>
        </w:rPr>
        <w:t>Председатель</w:t>
      </w:r>
      <w:r w:rsidR="00182A5F" w:rsidRPr="00182A5F">
        <w:rPr>
          <w:lang w:val="ru-RU"/>
        </w:rPr>
        <w:t xml:space="preserve"> </w:t>
      </w:r>
      <w:r w:rsidR="00115E09">
        <w:rPr>
          <w:lang w:val="ru-RU"/>
        </w:rPr>
        <w:t>отметила</w:t>
      </w:r>
      <w:r w:rsidR="00182A5F">
        <w:rPr>
          <w:lang w:val="ru-RU"/>
        </w:rPr>
        <w:t xml:space="preserve">, что </w:t>
      </w:r>
      <w:r w:rsidR="00182A5F" w:rsidRPr="006C60BE">
        <w:rPr>
          <w:lang w:val="ru-RU"/>
        </w:rPr>
        <w:t>РГС-ФЛР</w:t>
      </w:r>
      <w:r w:rsidR="00182A5F">
        <w:rPr>
          <w:lang w:val="ru-RU"/>
        </w:rPr>
        <w:t xml:space="preserve"> приняла эти документы к сведению. </w:t>
      </w:r>
    </w:p>
    <w:p w14:paraId="041CF2BE" w14:textId="785DFE8D" w:rsidR="009265C0" w:rsidRPr="008344E9" w:rsidRDefault="009265C0" w:rsidP="001068DC">
      <w:pPr>
        <w:pStyle w:val="Heading1"/>
        <w:rPr>
          <w:lang w:val="ru-RU"/>
        </w:rPr>
      </w:pPr>
      <w:r w:rsidRPr="004D68D0">
        <w:rPr>
          <w:lang w:val="ru-RU"/>
        </w:rPr>
        <w:t>9</w:t>
      </w:r>
      <w:r w:rsidRPr="004D68D0">
        <w:rPr>
          <w:lang w:val="ru-RU"/>
        </w:rPr>
        <w:tab/>
      </w:r>
      <w:r w:rsidR="0040478B" w:rsidRPr="0080448C">
        <w:rPr>
          <w:lang w:val="ru-RU"/>
        </w:rPr>
        <w:t>Мошенничество и связанные с ним вопросы (постоянный пункт повестки дня)</w:t>
      </w:r>
      <w:r w:rsidRPr="004D68D0">
        <w:rPr>
          <w:lang w:val="ru-RU"/>
        </w:rPr>
        <w:t xml:space="preserve">: </w:t>
      </w:r>
      <w:r w:rsidR="001068DC" w:rsidRPr="001068DC">
        <w:rPr>
          <w:lang w:val="ru-RU"/>
        </w:rPr>
        <w:t>Отчет</w:t>
      </w:r>
      <w:r w:rsidR="001068DC" w:rsidRPr="004D68D0">
        <w:rPr>
          <w:lang w:val="ru-RU"/>
        </w:rPr>
        <w:t xml:space="preserve"> </w:t>
      </w:r>
      <w:r w:rsidR="001068DC">
        <w:rPr>
          <w:lang w:val="ru-RU"/>
        </w:rPr>
        <w:t>Рабочей</w:t>
      </w:r>
      <w:r w:rsidR="001068DC" w:rsidRPr="004D68D0">
        <w:rPr>
          <w:lang w:val="ru-RU"/>
        </w:rPr>
        <w:t xml:space="preserve"> </w:t>
      </w:r>
      <w:r w:rsidR="001068DC" w:rsidRPr="001068DC">
        <w:rPr>
          <w:lang w:val="ru-RU"/>
        </w:rPr>
        <w:t>группы</w:t>
      </w:r>
      <w:r w:rsidR="001068DC" w:rsidRPr="004D68D0">
        <w:rPr>
          <w:lang w:val="ru-RU"/>
        </w:rPr>
        <w:t xml:space="preserve"> </w:t>
      </w:r>
      <w:r w:rsidR="001068DC" w:rsidRPr="001068DC">
        <w:rPr>
          <w:lang w:val="ru-RU"/>
        </w:rPr>
        <w:t>МСЭ</w:t>
      </w:r>
      <w:r w:rsidR="001068DC" w:rsidRPr="004D68D0">
        <w:rPr>
          <w:lang w:val="ru-RU"/>
        </w:rPr>
        <w:t xml:space="preserve"> </w:t>
      </w:r>
      <w:r w:rsidR="001068DC" w:rsidRPr="001068DC">
        <w:rPr>
          <w:lang w:val="ru-RU"/>
        </w:rPr>
        <w:t>по</w:t>
      </w:r>
      <w:r w:rsidR="001068DC" w:rsidRPr="004D68D0">
        <w:rPr>
          <w:lang w:val="ru-RU"/>
        </w:rPr>
        <w:t xml:space="preserve"> </w:t>
      </w:r>
      <w:r w:rsidR="001068DC" w:rsidRPr="001068DC">
        <w:rPr>
          <w:lang w:val="ru-RU"/>
        </w:rPr>
        <w:t>внутреннему</w:t>
      </w:r>
      <w:r w:rsidR="001068DC" w:rsidRPr="004D68D0">
        <w:rPr>
          <w:lang w:val="ru-RU"/>
        </w:rPr>
        <w:t xml:space="preserve"> </w:t>
      </w:r>
      <w:r w:rsidR="001068DC" w:rsidRPr="001068DC">
        <w:rPr>
          <w:lang w:val="ru-RU"/>
        </w:rPr>
        <w:t>контролю</w:t>
      </w:r>
      <w:r w:rsidRPr="004D68D0">
        <w:rPr>
          <w:lang w:val="ru-RU"/>
        </w:rPr>
        <w:t xml:space="preserve"> </w:t>
      </w:r>
      <w:r w:rsidRPr="008344E9">
        <w:rPr>
          <w:lang w:val="ru-RU"/>
        </w:rPr>
        <w:t>(</w:t>
      </w:r>
      <w:r w:rsidR="001068DC">
        <w:rPr>
          <w:lang w:val="ru-RU"/>
        </w:rPr>
        <w:t>Документ</w:t>
      </w:r>
      <w:r w:rsidR="009248A4">
        <w:rPr>
          <w:lang w:val="en-US"/>
        </w:rPr>
        <w:t> </w:t>
      </w:r>
      <w:hyperlink r:id="rId23" w:history="1">
        <w:r w:rsidRPr="001068DC">
          <w:rPr>
            <w:rStyle w:val="Hyperlink"/>
            <w:bCs/>
            <w:lang w:val="en-US"/>
          </w:rPr>
          <w:t>CWG</w:t>
        </w:r>
        <w:r w:rsidR="009248A4">
          <w:rPr>
            <w:rStyle w:val="Hyperlink"/>
            <w:bCs/>
            <w:lang w:val="ru-RU"/>
          </w:rPr>
          <w:noBreakHyphen/>
        </w:r>
        <w:r w:rsidRPr="001068DC">
          <w:rPr>
            <w:rStyle w:val="Hyperlink"/>
            <w:bCs/>
            <w:lang w:val="en-US"/>
          </w:rPr>
          <w:t>FHR</w:t>
        </w:r>
        <w:r w:rsidRPr="008344E9">
          <w:rPr>
            <w:rStyle w:val="Hyperlink"/>
            <w:bCs/>
            <w:lang w:val="ru-RU"/>
          </w:rPr>
          <w:t>-</w:t>
        </w:r>
        <w:r w:rsidRPr="008344E9">
          <w:rPr>
            <w:rStyle w:val="Hyperlink"/>
            <w:lang w:val="ru-RU"/>
          </w:rPr>
          <w:t>15/14</w:t>
        </w:r>
      </w:hyperlink>
      <w:r w:rsidR="002B6316" w:rsidRPr="008344E9">
        <w:rPr>
          <w:rFonts w:eastAsiaTheme="minorHAnsi"/>
          <w:lang w:val="ru-RU"/>
        </w:rPr>
        <w:t>)</w:t>
      </w:r>
    </w:p>
    <w:p w14:paraId="6305DCC0" w14:textId="72042E8D" w:rsidR="0080448C" w:rsidRPr="008127B3" w:rsidRDefault="009265C0" w:rsidP="009265C0">
      <w:pPr>
        <w:rPr>
          <w:lang w:val="ru-RU"/>
        </w:rPr>
      </w:pPr>
      <w:r w:rsidRPr="0080448C">
        <w:rPr>
          <w:lang w:val="ru-RU"/>
        </w:rPr>
        <w:t>9.1</w:t>
      </w:r>
      <w:r w:rsidRPr="0080448C">
        <w:rPr>
          <w:lang w:val="ru-RU"/>
        </w:rPr>
        <w:tab/>
      </w:r>
      <w:r w:rsidR="0080448C">
        <w:rPr>
          <w:lang w:val="ru-RU"/>
        </w:rPr>
        <w:t xml:space="preserve">Секретариат представил Документ </w:t>
      </w:r>
      <w:r w:rsidR="0080448C" w:rsidRPr="009265C0">
        <w:rPr>
          <w:lang w:val="en-US"/>
        </w:rPr>
        <w:t>CWG</w:t>
      </w:r>
      <w:r w:rsidR="0080448C" w:rsidRPr="0080448C">
        <w:rPr>
          <w:lang w:val="ru-RU"/>
        </w:rPr>
        <w:t>-</w:t>
      </w:r>
      <w:r w:rsidR="0080448C" w:rsidRPr="009265C0">
        <w:rPr>
          <w:lang w:val="en-US"/>
        </w:rPr>
        <w:t>FHR</w:t>
      </w:r>
      <w:r w:rsidR="0080448C" w:rsidRPr="0080448C">
        <w:rPr>
          <w:lang w:val="ru-RU"/>
        </w:rPr>
        <w:t>-15/14</w:t>
      </w:r>
      <w:r w:rsidR="0080448C">
        <w:rPr>
          <w:lang w:val="ru-RU"/>
        </w:rPr>
        <w:t xml:space="preserve">, содержащий Отчет </w:t>
      </w:r>
      <w:r w:rsidR="0080448C" w:rsidRPr="0080448C">
        <w:rPr>
          <w:lang w:val="ru-RU"/>
        </w:rPr>
        <w:t>Рабочей группы МСЭ по внутреннему контролю</w:t>
      </w:r>
      <w:r w:rsidRPr="0080448C">
        <w:rPr>
          <w:lang w:val="ru-RU"/>
        </w:rPr>
        <w:t xml:space="preserve">. </w:t>
      </w:r>
      <w:r w:rsidR="00724ED8" w:rsidRPr="00724ED8">
        <w:rPr>
          <w:lang w:val="ru-RU"/>
        </w:rPr>
        <w:t xml:space="preserve">В 2018 году </w:t>
      </w:r>
      <w:r w:rsidR="0080448C" w:rsidRPr="00724ED8">
        <w:rPr>
          <w:lang w:val="ru-RU"/>
        </w:rPr>
        <w:t xml:space="preserve">Подразделение внутреннего аудита МСЭ </w:t>
      </w:r>
      <w:r w:rsidR="0080448C">
        <w:rPr>
          <w:lang w:val="ru-RU"/>
        </w:rPr>
        <w:t xml:space="preserve">(IAU) расследовало </w:t>
      </w:r>
      <w:r w:rsidR="00724ED8" w:rsidRPr="00724ED8">
        <w:rPr>
          <w:lang w:val="ru-RU"/>
        </w:rPr>
        <w:t>случай мошенничества, совершенного сотрудником одного</w:t>
      </w:r>
      <w:r w:rsidR="0080448C">
        <w:rPr>
          <w:lang w:val="ru-RU"/>
        </w:rPr>
        <w:t xml:space="preserve"> из региональных отделений МСЭ. В мае 2019 года в МСЭ была создана рабочая группа под председательством Директора БРЭ в целях укрепления механизмов контроля в рамках всего Союза. </w:t>
      </w:r>
      <w:r w:rsidR="00D63795">
        <w:rPr>
          <w:lang w:val="ru-RU"/>
        </w:rPr>
        <w:t xml:space="preserve">В документе представлена </w:t>
      </w:r>
      <w:r w:rsidR="00CA57C6">
        <w:rPr>
          <w:lang w:val="ru-RU"/>
        </w:rPr>
        <w:t xml:space="preserve">информация о достигнутом за последнее время прогрессе, в частности </w:t>
      </w:r>
      <w:r w:rsidR="00D63795">
        <w:rPr>
          <w:lang w:val="ru-RU"/>
        </w:rPr>
        <w:t>о системах и мерах, введенных в 2021 году</w:t>
      </w:r>
      <w:r w:rsidR="008127B3">
        <w:rPr>
          <w:lang w:val="ru-RU"/>
        </w:rPr>
        <w:t xml:space="preserve"> в целях дальнейшего повышения эффективности нововведений 2019 и 2020 годов.</w:t>
      </w:r>
    </w:p>
    <w:p w14:paraId="20DFC594" w14:textId="6A1689F1" w:rsidR="008127B3" w:rsidRPr="00405438" w:rsidRDefault="009265C0" w:rsidP="009265C0">
      <w:pPr>
        <w:rPr>
          <w:lang w:val="ru-RU"/>
        </w:rPr>
      </w:pPr>
      <w:r w:rsidRPr="00405438">
        <w:rPr>
          <w:lang w:val="ru-RU"/>
        </w:rPr>
        <w:lastRenderedPageBreak/>
        <w:t>9.2</w:t>
      </w:r>
      <w:r w:rsidRPr="00405438">
        <w:rPr>
          <w:lang w:val="ru-RU"/>
        </w:rPr>
        <w:tab/>
      </w:r>
      <w:r w:rsidR="00405438">
        <w:rPr>
          <w:lang w:val="ru-RU"/>
        </w:rPr>
        <w:t>Прогресс, отмеченный в 2021 году, охватывает следующие области:</w:t>
      </w:r>
    </w:p>
    <w:p w14:paraId="5F8B0F7A" w14:textId="4A03F9A6" w:rsidR="00405438" w:rsidRPr="00405438" w:rsidRDefault="00724ED8" w:rsidP="00724ED8">
      <w:pPr>
        <w:pStyle w:val="enumlev1"/>
        <w:rPr>
          <w:lang w:val="ru-RU"/>
        </w:rPr>
      </w:pPr>
      <w:r w:rsidRPr="00405438">
        <w:rPr>
          <w:lang w:val="ru-RU"/>
        </w:rPr>
        <w:t>•</w:t>
      </w:r>
      <w:r w:rsidRPr="00405438">
        <w:rPr>
          <w:lang w:val="ru-RU"/>
        </w:rPr>
        <w:tab/>
      </w:r>
      <w:r w:rsidR="00663F16">
        <w:rPr>
          <w:lang w:val="ru-RU"/>
        </w:rPr>
        <w:t>в</w:t>
      </w:r>
      <w:r w:rsidR="00405438">
        <w:rPr>
          <w:lang w:val="ru-RU"/>
        </w:rPr>
        <w:t xml:space="preserve"> области </w:t>
      </w:r>
      <w:r w:rsidR="00405438" w:rsidRPr="00405438">
        <w:rPr>
          <w:b/>
          <w:lang w:val="ru-RU"/>
        </w:rPr>
        <w:t>этики</w:t>
      </w:r>
      <w:r w:rsidR="00405438">
        <w:rPr>
          <w:lang w:val="ru-RU"/>
        </w:rPr>
        <w:t xml:space="preserve"> – заполнение всеми сотрудниками </w:t>
      </w:r>
      <w:r w:rsidR="00405438" w:rsidRPr="00405438">
        <w:rPr>
          <w:lang w:val="ru-RU"/>
        </w:rPr>
        <w:t>деклараци</w:t>
      </w:r>
      <w:r w:rsidR="00405438">
        <w:rPr>
          <w:lang w:val="ru-RU"/>
        </w:rPr>
        <w:t>й</w:t>
      </w:r>
      <w:r w:rsidR="00405438" w:rsidRPr="00405438">
        <w:rPr>
          <w:lang w:val="ru-RU"/>
        </w:rPr>
        <w:t xml:space="preserve"> об интересах и заявлени</w:t>
      </w:r>
      <w:r w:rsidR="00405438">
        <w:rPr>
          <w:lang w:val="ru-RU"/>
        </w:rPr>
        <w:t>й</w:t>
      </w:r>
      <w:r w:rsidR="00405438" w:rsidRPr="00405438">
        <w:rPr>
          <w:lang w:val="ru-RU"/>
        </w:rPr>
        <w:t xml:space="preserve"> о соответствии</w:t>
      </w:r>
      <w:r w:rsidR="00405438">
        <w:rPr>
          <w:lang w:val="ru-RU"/>
        </w:rPr>
        <w:t>;</w:t>
      </w:r>
    </w:p>
    <w:p w14:paraId="0B7C3EA5" w14:textId="65B80034" w:rsidR="00405438" w:rsidRPr="00885D86" w:rsidRDefault="00724ED8" w:rsidP="00724ED8">
      <w:pPr>
        <w:pStyle w:val="enumlev1"/>
        <w:rPr>
          <w:lang w:val="ru-RU"/>
        </w:rPr>
      </w:pPr>
      <w:r w:rsidRPr="00885D86">
        <w:rPr>
          <w:lang w:val="ru-RU"/>
        </w:rPr>
        <w:t>•</w:t>
      </w:r>
      <w:r w:rsidRPr="00885D86">
        <w:rPr>
          <w:lang w:val="ru-RU"/>
        </w:rPr>
        <w:tab/>
      </w:r>
      <w:r w:rsidR="00663F16">
        <w:rPr>
          <w:lang w:val="ru-RU"/>
        </w:rPr>
        <w:t>д</w:t>
      </w:r>
      <w:r w:rsidR="006701DE">
        <w:rPr>
          <w:lang w:val="ru-RU"/>
        </w:rPr>
        <w:t>ополнительно усовершенствовано</w:t>
      </w:r>
      <w:r w:rsidR="006701DE" w:rsidRPr="00885D86">
        <w:rPr>
          <w:b/>
          <w:lang w:val="ru-RU"/>
        </w:rPr>
        <w:t xml:space="preserve"> управление </w:t>
      </w:r>
      <w:r w:rsidR="00885D86" w:rsidRPr="00885D86">
        <w:rPr>
          <w:b/>
          <w:lang w:val="ru-RU"/>
        </w:rPr>
        <w:t>проектами</w:t>
      </w:r>
      <w:r w:rsidR="00885D86">
        <w:rPr>
          <w:lang w:val="ru-RU"/>
        </w:rPr>
        <w:t xml:space="preserve"> за счет </w:t>
      </w:r>
      <w:r w:rsidR="008D2BAD">
        <w:rPr>
          <w:lang w:val="ru-RU"/>
        </w:rPr>
        <w:t>деятельности</w:t>
      </w:r>
      <w:r w:rsidR="00885D86">
        <w:rPr>
          <w:lang w:val="ru-RU"/>
        </w:rPr>
        <w:t xml:space="preserve"> Комитета по проектам, укрепления руководства проектами, формирования нового "сообщества специалистов-практиков</w:t>
      </w:r>
      <w:r w:rsidR="00553D79">
        <w:rPr>
          <w:lang w:val="ru-RU"/>
        </w:rPr>
        <w:t xml:space="preserve">" и </w:t>
      </w:r>
      <w:r w:rsidR="00885D86">
        <w:rPr>
          <w:lang w:val="ru-RU"/>
        </w:rPr>
        <w:t xml:space="preserve">систематического мониторинга </w:t>
      </w:r>
      <w:r w:rsidR="00553D79">
        <w:rPr>
          <w:lang w:val="ru-RU"/>
        </w:rPr>
        <w:t xml:space="preserve">проектов и их </w:t>
      </w:r>
      <w:r w:rsidR="00885D86">
        <w:rPr>
          <w:lang w:val="ru-RU"/>
        </w:rPr>
        <w:t>ежеквартальн</w:t>
      </w:r>
      <w:r w:rsidR="00553D79">
        <w:rPr>
          <w:lang w:val="ru-RU"/>
        </w:rPr>
        <w:t>ой</w:t>
      </w:r>
      <w:r w:rsidR="00885D86">
        <w:rPr>
          <w:lang w:val="ru-RU"/>
        </w:rPr>
        <w:t xml:space="preserve"> оцен</w:t>
      </w:r>
      <w:r w:rsidR="00553D79">
        <w:rPr>
          <w:lang w:val="ru-RU"/>
        </w:rPr>
        <w:t>ки</w:t>
      </w:r>
      <w:r w:rsidR="00885D86">
        <w:rPr>
          <w:lang w:val="ru-RU"/>
        </w:rPr>
        <w:t xml:space="preserve">; </w:t>
      </w:r>
    </w:p>
    <w:p w14:paraId="4A8F25C4" w14:textId="3BED9843" w:rsidR="00553D79" w:rsidRPr="00D44ED3" w:rsidRDefault="00724ED8" w:rsidP="00724ED8">
      <w:pPr>
        <w:pStyle w:val="enumlev1"/>
        <w:rPr>
          <w:lang w:val="ru-RU"/>
        </w:rPr>
      </w:pPr>
      <w:r w:rsidRPr="00D44ED3">
        <w:rPr>
          <w:lang w:val="ru-RU"/>
        </w:rPr>
        <w:t>•</w:t>
      </w:r>
      <w:r w:rsidRPr="00D44ED3">
        <w:rPr>
          <w:lang w:val="ru-RU"/>
        </w:rPr>
        <w:tab/>
      </w:r>
      <w:r w:rsidR="00663F16">
        <w:rPr>
          <w:lang w:val="ru-RU"/>
        </w:rPr>
        <w:t>р</w:t>
      </w:r>
      <w:r w:rsidR="006701DE">
        <w:rPr>
          <w:lang w:val="ru-RU"/>
        </w:rPr>
        <w:t xml:space="preserve">асширено </w:t>
      </w:r>
      <w:r w:rsidR="00D44ED3">
        <w:rPr>
          <w:lang w:val="ru-RU"/>
        </w:rPr>
        <w:t xml:space="preserve">использование </w:t>
      </w:r>
      <w:r w:rsidR="00D44ED3" w:rsidRPr="00D44ED3">
        <w:rPr>
          <w:b/>
          <w:lang w:val="ru-RU"/>
        </w:rPr>
        <w:t>информационной панели МСЭ по вопросам соблюдения</w:t>
      </w:r>
      <w:r w:rsidR="00D44ED3">
        <w:rPr>
          <w:b/>
          <w:lang w:val="ru-RU"/>
        </w:rPr>
        <w:t xml:space="preserve"> </w:t>
      </w:r>
      <w:r w:rsidR="00D44ED3" w:rsidRPr="00D44ED3">
        <w:rPr>
          <w:lang w:val="ru-RU"/>
        </w:rPr>
        <w:t xml:space="preserve">среди </w:t>
      </w:r>
      <w:r w:rsidR="00D44ED3">
        <w:rPr>
          <w:lang w:val="ru-RU"/>
        </w:rPr>
        <w:t xml:space="preserve">руководства; </w:t>
      </w:r>
    </w:p>
    <w:p w14:paraId="7EFAE819" w14:textId="38F7EBC0" w:rsidR="00D44ED3" w:rsidRPr="006701DE" w:rsidRDefault="00724ED8" w:rsidP="00724ED8">
      <w:pPr>
        <w:pStyle w:val="enumlev1"/>
        <w:rPr>
          <w:lang w:val="ru-RU"/>
        </w:rPr>
      </w:pPr>
      <w:r w:rsidRPr="006701DE">
        <w:rPr>
          <w:lang w:val="ru-RU"/>
        </w:rPr>
        <w:t>•</w:t>
      </w:r>
      <w:r w:rsidRPr="006701DE">
        <w:rPr>
          <w:lang w:val="ru-RU"/>
        </w:rPr>
        <w:tab/>
      </w:r>
      <w:r w:rsidR="00663F16">
        <w:rPr>
          <w:lang w:val="ru-RU"/>
        </w:rPr>
        <w:t>п</w:t>
      </w:r>
      <w:r w:rsidR="006701DE">
        <w:rPr>
          <w:lang w:val="ru-RU"/>
        </w:rPr>
        <w:t xml:space="preserve">родолжение </w:t>
      </w:r>
      <w:r w:rsidR="006701DE" w:rsidRPr="006701DE">
        <w:rPr>
          <w:b/>
          <w:lang w:val="ru-RU"/>
        </w:rPr>
        <w:t xml:space="preserve">работы по взвешиванию </w:t>
      </w:r>
      <w:r w:rsidR="006701DE" w:rsidRPr="006701DE">
        <w:rPr>
          <w:lang w:val="ru-RU"/>
        </w:rPr>
        <w:t>мер смягчения последствий</w:t>
      </w:r>
      <w:r w:rsidR="006701DE">
        <w:rPr>
          <w:lang w:val="ru-RU"/>
        </w:rPr>
        <w:t>;</w:t>
      </w:r>
    </w:p>
    <w:p w14:paraId="4DA090BE" w14:textId="40198BFC" w:rsidR="006701DE" w:rsidRPr="006701DE" w:rsidRDefault="00724ED8" w:rsidP="00724ED8">
      <w:pPr>
        <w:pStyle w:val="enumlev1"/>
        <w:rPr>
          <w:lang w:val="ru-RU"/>
        </w:rPr>
      </w:pPr>
      <w:r w:rsidRPr="001E21F4">
        <w:rPr>
          <w:lang w:val="ru-RU"/>
        </w:rPr>
        <w:t>•</w:t>
      </w:r>
      <w:r w:rsidRPr="001E21F4">
        <w:rPr>
          <w:lang w:val="ru-RU"/>
        </w:rPr>
        <w:tab/>
      </w:r>
      <w:r w:rsidR="00663F16">
        <w:rPr>
          <w:lang w:val="ru-RU"/>
        </w:rPr>
        <w:t>в</w:t>
      </w:r>
      <w:r w:rsidR="000F5FD6">
        <w:rPr>
          <w:lang w:val="ru-RU"/>
        </w:rPr>
        <w:t xml:space="preserve">недрение </w:t>
      </w:r>
      <w:r w:rsidR="006701DE">
        <w:rPr>
          <w:lang w:val="ru-RU"/>
        </w:rPr>
        <w:t xml:space="preserve">новой </w:t>
      </w:r>
      <w:r w:rsidR="001E21F4">
        <w:rPr>
          <w:lang w:val="ru-RU"/>
        </w:rPr>
        <w:t xml:space="preserve">электронной системы </w:t>
      </w:r>
      <w:r w:rsidR="000F5FD6">
        <w:rPr>
          <w:lang w:val="ru-RU"/>
        </w:rPr>
        <w:t>подбора кадров</w:t>
      </w:r>
      <w:r w:rsidR="001E21F4">
        <w:rPr>
          <w:lang w:val="ru-RU"/>
        </w:rPr>
        <w:t xml:space="preserve"> и </w:t>
      </w:r>
      <w:r w:rsidR="000F5FD6">
        <w:rPr>
          <w:lang w:val="ru-RU"/>
        </w:rPr>
        <w:t xml:space="preserve">конкурсных процедур </w:t>
      </w:r>
      <w:r w:rsidR="000F5FD6" w:rsidRPr="000F5FD6">
        <w:rPr>
          <w:b/>
          <w:lang w:val="ru-RU"/>
        </w:rPr>
        <w:t>отбора консультантов</w:t>
      </w:r>
      <w:r w:rsidR="000F5FD6">
        <w:rPr>
          <w:lang w:val="ru-RU"/>
        </w:rPr>
        <w:t xml:space="preserve">, наряду с </w:t>
      </w:r>
      <w:r w:rsidR="000E6A5B">
        <w:rPr>
          <w:lang w:val="ru-RU"/>
        </w:rPr>
        <w:t xml:space="preserve">принятием </w:t>
      </w:r>
      <w:r w:rsidR="000F5FD6">
        <w:rPr>
          <w:lang w:val="ru-RU"/>
        </w:rPr>
        <w:t>новы</w:t>
      </w:r>
      <w:r w:rsidR="000E6A5B">
        <w:rPr>
          <w:lang w:val="ru-RU"/>
        </w:rPr>
        <w:t>х</w:t>
      </w:r>
      <w:r w:rsidR="000F5FD6">
        <w:rPr>
          <w:lang w:val="ru-RU"/>
        </w:rPr>
        <w:t xml:space="preserve"> Руководящи</w:t>
      </w:r>
      <w:r w:rsidR="000E6A5B">
        <w:rPr>
          <w:lang w:val="ru-RU"/>
        </w:rPr>
        <w:t>х</w:t>
      </w:r>
      <w:r w:rsidR="000F5FD6">
        <w:rPr>
          <w:lang w:val="ru-RU"/>
        </w:rPr>
        <w:t xml:space="preserve"> указани</w:t>
      </w:r>
      <w:r w:rsidR="000E6A5B">
        <w:rPr>
          <w:lang w:val="ru-RU"/>
        </w:rPr>
        <w:t>й</w:t>
      </w:r>
      <w:r w:rsidR="000F5FD6">
        <w:rPr>
          <w:lang w:val="ru-RU"/>
        </w:rPr>
        <w:t xml:space="preserve"> по привлечению и отбору персонала; и </w:t>
      </w:r>
    </w:p>
    <w:p w14:paraId="2D936B3D" w14:textId="61FE9037" w:rsidR="000E6A5B" w:rsidRPr="000E6A5B" w:rsidRDefault="00724ED8" w:rsidP="00724ED8">
      <w:pPr>
        <w:pStyle w:val="enumlev1"/>
        <w:rPr>
          <w:lang w:val="ru-RU"/>
        </w:rPr>
      </w:pPr>
      <w:r w:rsidRPr="000E6A5B">
        <w:rPr>
          <w:lang w:val="ru-RU"/>
        </w:rPr>
        <w:t>•</w:t>
      </w:r>
      <w:r w:rsidRPr="000E6A5B">
        <w:rPr>
          <w:lang w:val="ru-RU"/>
        </w:rPr>
        <w:tab/>
      </w:r>
      <w:r w:rsidR="00663F16">
        <w:rPr>
          <w:lang w:val="ru-RU"/>
        </w:rPr>
        <w:t>р</w:t>
      </w:r>
      <w:r w:rsidR="000E6A5B" w:rsidRPr="000E6A5B">
        <w:rPr>
          <w:lang w:val="ru-RU"/>
        </w:rPr>
        <w:t xml:space="preserve">еализация </w:t>
      </w:r>
      <w:r w:rsidR="000E6A5B" w:rsidRPr="000E6A5B">
        <w:rPr>
          <w:b/>
          <w:lang w:val="ru-RU"/>
        </w:rPr>
        <w:t xml:space="preserve">проекта </w:t>
      </w:r>
      <w:r w:rsidR="000E6A5B" w:rsidRPr="000E6A5B">
        <w:rPr>
          <w:b/>
          <w:lang w:val="en-US"/>
        </w:rPr>
        <w:t>IT</w:t>
      </w:r>
      <w:r w:rsidR="000E6A5B" w:rsidRPr="000E6A5B">
        <w:rPr>
          <w:b/>
          <w:lang w:val="ru-RU"/>
        </w:rPr>
        <w:t>4</w:t>
      </w:r>
      <w:r w:rsidR="000E6A5B" w:rsidRPr="000E6A5B">
        <w:rPr>
          <w:b/>
          <w:lang w:val="en-US"/>
        </w:rPr>
        <w:t>BDT</w:t>
      </w:r>
      <w:r w:rsidR="000E6A5B" w:rsidRPr="000E6A5B">
        <w:rPr>
          <w:lang w:val="ru-RU"/>
        </w:rPr>
        <w:t>, который позволил улучшить интеграцию основных функций в организационны</w:t>
      </w:r>
      <w:r w:rsidR="000E6A5B">
        <w:rPr>
          <w:lang w:val="ru-RU"/>
        </w:rPr>
        <w:t>х</w:t>
      </w:r>
      <w:r w:rsidR="000E6A5B" w:rsidRPr="000E6A5B">
        <w:rPr>
          <w:lang w:val="ru-RU"/>
        </w:rPr>
        <w:t xml:space="preserve"> административны</w:t>
      </w:r>
      <w:r w:rsidR="000E6A5B">
        <w:rPr>
          <w:lang w:val="ru-RU"/>
        </w:rPr>
        <w:t>х</w:t>
      </w:r>
      <w:r w:rsidR="000E6A5B" w:rsidRPr="000E6A5B">
        <w:rPr>
          <w:lang w:val="ru-RU"/>
        </w:rPr>
        <w:t xml:space="preserve"> приложения</w:t>
      </w:r>
      <w:r w:rsidR="000E6A5B">
        <w:rPr>
          <w:lang w:val="ru-RU"/>
        </w:rPr>
        <w:t>х</w:t>
      </w:r>
      <w:r w:rsidR="000E6A5B" w:rsidRPr="000E6A5B">
        <w:rPr>
          <w:lang w:val="ru-RU"/>
        </w:rPr>
        <w:t xml:space="preserve"> программного обеспечения МСЭ</w:t>
      </w:r>
      <w:r w:rsidR="000E6A5B">
        <w:rPr>
          <w:lang w:val="ru-RU"/>
        </w:rPr>
        <w:t>.</w:t>
      </w:r>
    </w:p>
    <w:p w14:paraId="301D6DF5" w14:textId="5016DDFC" w:rsidR="00076F86" w:rsidRPr="00076F86" w:rsidRDefault="009265C0" w:rsidP="009265C0">
      <w:pPr>
        <w:rPr>
          <w:lang w:val="ru-RU"/>
        </w:rPr>
      </w:pPr>
      <w:r w:rsidRPr="00076F86">
        <w:rPr>
          <w:lang w:val="ru-RU"/>
        </w:rPr>
        <w:t>9.3</w:t>
      </w:r>
      <w:r w:rsidRPr="00076F86">
        <w:rPr>
          <w:lang w:val="ru-RU"/>
        </w:rPr>
        <w:tab/>
      </w:r>
      <w:r w:rsidR="00076F86">
        <w:rPr>
          <w:lang w:val="ru-RU"/>
        </w:rPr>
        <w:t xml:space="preserve">В 2022 году </w:t>
      </w:r>
      <w:r w:rsidR="00076F86" w:rsidRPr="0080448C">
        <w:rPr>
          <w:lang w:val="ru-RU"/>
        </w:rPr>
        <w:t>Рабоч</w:t>
      </w:r>
      <w:r w:rsidR="00076F86">
        <w:rPr>
          <w:lang w:val="ru-RU"/>
        </w:rPr>
        <w:t>ая</w:t>
      </w:r>
      <w:r w:rsidR="00076F86" w:rsidRPr="0080448C">
        <w:rPr>
          <w:lang w:val="ru-RU"/>
        </w:rPr>
        <w:t xml:space="preserve"> групп</w:t>
      </w:r>
      <w:r w:rsidR="00076F86">
        <w:rPr>
          <w:lang w:val="ru-RU"/>
        </w:rPr>
        <w:t>а</w:t>
      </w:r>
      <w:r w:rsidR="00076F86" w:rsidRPr="0080448C">
        <w:rPr>
          <w:lang w:val="ru-RU"/>
        </w:rPr>
        <w:t xml:space="preserve"> по внутреннему контролю</w:t>
      </w:r>
      <w:r w:rsidR="00076F86">
        <w:rPr>
          <w:lang w:val="ru-RU"/>
        </w:rPr>
        <w:t xml:space="preserve"> продолжит проводить собрания в целях дальнейшего мониторинга и совершенствования внутреннего контроля, где это необходимо. </w:t>
      </w:r>
    </w:p>
    <w:p w14:paraId="1707CA0B" w14:textId="3C77B690" w:rsidR="00483B40" w:rsidRPr="00483B40" w:rsidRDefault="009265C0" w:rsidP="009265C0">
      <w:pPr>
        <w:rPr>
          <w:lang w:val="ru-RU"/>
        </w:rPr>
      </w:pPr>
      <w:r w:rsidRPr="00483B40">
        <w:rPr>
          <w:lang w:val="ru-RU"/>
        </w:rPr>
        <w:t>9.4</w:t>
      </w:r>
      <w:r w:rsidRPr="00483B40">
        <w:rPr>
          <w:lang w:val="ru-RU"/>
        </w:rPr>
        <w:tab/>
      </w:r>
      <w:r w:rsidR="00483B40">
        <w:rPr>
          <w:lang w:val="ru-RU"/>
        </w:rPr>
        <w:t xml:space="preserve">Ряд делегатов выразили признательность за документ, особо отметив степень подробности информации о достигнутом прогрессе. </w:t>
      </w:r>
      <w:r w:rsidR="00A712E3">
        <w:rPr>
          <w:lang w:val="ru-RU"/>
        </w:rPr>
        <w:t xml:space="preserve">Отвечая на вопросы относительно </w:t>
      </w:r>
      <w:r w:rsidR="00C07273">
        <w:rPr>
          <w:lang w:val="ru-RU"/>
        </w:rPr>
        <w:t xml:space="preserve">оставшегося </w:t>
      </w:r>
      <w:r w:rsidR="00A712E3">
        <w:rPr>
          <w:lang w:val="ru-RU"/>
        </w:rPr>
        <w:t>числа консультантов и необходимости экспертам вновь подавать заявление на включение в р</w:t>
      </w:r>
      <w:r w:rsidR="009551DC">
        <w:rPr>
          <w:lang w:val="ru-RU"/>
        </w:rPr>
        <w:t>еестр</w:t>
      </w:r>
      <w:r w:rsidR="00A712E3">
        <w:rPr>
          <w:lang w:val="ru-RU"/>
        </w:rPr>
        <w:t xml:space="preserve">, Секретариат </w:t>
      </w:r>
      <w:r w:rsidR="003139D5">
        <w:rPr>
          <w:lang w:val="ru-RU"/>
        </w:rPr>
        <w:t>разъяснил</w:t>
      </w:r>
      <w:r w:rsidR="00E776A1">
        <w:rPr>
          <w:lang w:val="ru-RU"/>
        </w:rPr>
        <w:t xml:space="preserve">, в чем </w:t>
      </w:r>
      <w:r w:rsidR="003139D5">
        <w:rPr>
          <w:lang w:val="ru-RU"/>
        </w:rPr>
        <w:t xml:space="preserve">заключается </w:t>
      </w:r>
      <w:r w:rsidR="00C07273">
        <w:rPr>
          <w:lang w:val="ru-RU"/>
        </w:rPr>
        <w:t>процедур</w:t>
      </w:r>
      <w:r w:rsidR="00E776A1">
        <w:rPr>
          <w:lang w:val="ru-RU"/>
        </w:rPr>
        <w:t>а</w:t>
      </w:r>
      <w:r w:rsidR="00C07273">
        <w:rPr>
          <w:lang w:val="ru-RU"/>
        </w:rPr>
        <w:t xml:space="preserve"> повторной подачи заявления</w:t>
      </w:r>
      <w:r w:rsidR="003139D5" w:rsidRPr="003139D5">
        <w:rPr>
          <w:lang w:val="ru-RU"/>
        </w:rPr>
        <w:t xml:space="preserve"> </w:t>
      </w:r>
      <w:r w:rsidR="003139D5">
        <w:rPr>
          <w:lang w:val="ru-RU"/>
        </w:rPr>
        <w:t>для консультантов</w:t>
      </w:r>
      <w:r w:rsidR="00C07273">
        <w:rPr>
          <w:lang w:val="ru-RU"/>
        </w:rPr>
        <w:t xml:space="preserve">, </w:t>
      </w:r>
      <w:r w:rsidR="00E776A1">
        <w:rPr>
          <w:lang w:val="ru-RU"/>
        </w:rPr>
        <w:t>и рассказал о планах по использованию расширенного функционала системы в целях повышения качества мониторинга и отчетности.</w:t>
      </w:r>
    </w:p>
    <w:p w14:paraId="1332AB7A" w14:textId="324C5B1F" w:rsidR="009265C0" w:rsidRPr="00D377E5" w:rsidRDefault="009265C0" w:rsidP="00D377E5">
      <w:pPr>
        <w:pStyle w:val="Heading1"/>
        <w:rPr>
          <w:bCs/>
          <w:lang w:val="ru-RU"/>
        </w:rPr>
      </w:pPr>
      <w:r w:rsidRPr="00D377E5">
        <w:rPr>
          <w:bCs/>
          <w:lang w:val="ru-RU"/>
        </w:rPr>
        <w:t>10</w:t>
      </w:r>
      <w:r w:rsidRPr="00D377E5">
        <w:rPr>
          <w:bCs/>
          <w:lang w:val="ru-RU"/>
        </w:rPr>
        <w:tab/>
      </w:r>
      <w:r w:rsidR="00A62C65">
        <w:rPr>
          <w:bCs/>
          <w:lang w:val="ru-RU"/>
        </w:rPr>
        <w:t>Система</w:t>
      </w:r>
      <w:r w:rsidR="00D377E5" w:rsidRPr="00D377E5">
        <w:rPr>
          <w:bCs/>
          <w:lang w:val="ru-RU"/>
        </w:rPr>
        <w:t xml:space="preserve"> подотчетности</w:t>
      </w:r>
      <w:r w:rsidRPr="00D377E5">
        <w:rPr>
          <w:bCs/>
          <w:lang w:val="ru-RU"/>
        </w:rPr>
        <w:t xml:space="preserve"> (</w:t>
      </w:r>
      <w:r w:rsidR="00D377E5">
        <w:rPr>
          <w:bCs/>
          <w:lang w:val="ru-RU"/>
        </w:rPr>
        <w:t>Документы</w:t>
      </w:r>
      <w:r w:rsidRPr="00D377E5">
        <w:rPr>
          <w:bCs/>
          <w:lang w:val="ru-RU"/>
        </w:rPr>
        <w:t xml:space="preserve"> </w:t>
      </w:r>
      <w:hyperlink r:id="rId24" w:history="1">
        <w:r w:rsidRPr="009265C0">
          <w:rPr>
            <w:rStyle w:val="Hyperlink"/>
            <w:bCs/>
            <w:lang w:val="en-US"/>
          </w:rPr>
          <w:t>CWG</w:t>
        </w:r>
        <w:r w:rsidRPr="00D377E5">
          <w:rPr>
            <w:rStyle w:val="Hyperlink"/>
            <w:bCs/>
            <w:lang w:val="ru-RU"/>
          </w:rPr>
          <w:t>-</w:t>
        </w:r>
        <w:r w:rsidRPr="009265C0">
          <w:rPr>
            <w:rStyle w:val="Hyperlink"/>
            <w:bCs/>
            <w:lang w:val="en-US"/>
          </w:rPr>
          <w:t>FHR</w:t>
        </w:r>
        <w:r w:rsidRPr="00D377E5">
          <w:rPr>
            <w:rStyle w:val="Hyperlink"/>
            <w:bCs/>
            <w:lang w:val="ru-RU"/>
          </w:rPr>
          <w:t>-14/2</w:t>
        </w:r>
      </w:hyperlink>
      <w:r w:rsidRPr="00D377E5">
        <w:rPr>
          <w:bCs/>
          <w:lang w:val="ru-RU"/>
        </w:rPr>
        <w:t xml:space="preserve">, </w:t>
      </w:r>
      <w:hyperlink r:id="rId25" w:history="1">
        <w:r w:rsidRPr="009265C0">
          <w:rPr>
            <w:rStyle w:val="Hyperlink"/>
            <w:bCs/>
            <w:lang w:val="en-US"/>
          </w:rPr>
          <w:t>CWG</w:t>
        </w:r>
        <w:r w:rsidRPr="00D377E5">
          <w:rPr>
            <w:rStyle w:val="Hyperlink"/>
            <w:bCs/>
            <w:lang w:val="ru-RU"/>
          </w:rPr>
          <w:t>-</w:t>
        </w:r>
        <w:r w:rsidRPr="009265C0">
          <w:rPr>
            <w:rStyle w:val="Hyperlink"/>
            <w:bCs/>
            <w:lang w:val="en-US"/>
          </w:rPr>
          <w:t>FHR</w:t>
        </w:r>
        <w:r w:rsidRPr="00D377E5">
          <w:rPr>
            <w:rStyle w:val="Hyperlink"/>
            <w:bCs/>
            <w:lang w:val="ru-RU"/>
          </w:rPr>
          <w:t>-14/</w:t>
        </w:r>
        <w:r w:rsidRPr="009265C0">
          <w:rPr>
            <w:rStyle w:val="Hyperlink"/>
            <w:bCs/>
            <w:lang w:val="en-US"/>
          </w:rPr>
          <w:t>INF</w:t>
        </w:r>
        <w:r w:rsidRPr="00D377E5">
          <w:rPr>
            <w:rStyle w:val="Hyperlink"/>
            <w:bCs/>
            <w:lang w:val="ru-RU"/>
          </w:rPr>
          <w:t>-1</w:t>
        </w:r>
      </w:hyperlink>
      <w:r w:rsidR="00D377E5">
        <w:rPr>
          <w:bCs/>
          <w:lang w:val="ru-RU"/>
        </w:rPr>
        <w:t xml:space="preserve"> и</w:t>
      </w:r>
      <w:r w:rsidRPr="00D377E5">
        <w:rPr>
          <w:bCs/>
          <w:lang w:val="ru-RU"/>
        </w:rPr>
        <w:t xml:space="preserve"> </w:t>
      </w:r>
      <w:hyperlink r:id="rId26" w:history="1">
        <w:r w:rsidRPr="00D377E5">
          <w:rPr>
            <w:rStyle w:val="Hyperlink"/>
            <w:bCs/>
            <w:lang w:val="en-US"/>
          </w:rPr>
          <w:t>CWG</w:t>
        </w:r>
        <w:r w:rsidRPr="00D377E5">
          <w:rPr>
            <w:rStyle w:val="Hyperlink"/>
            <w:bCs/>
            <w:lang w:val="ru-RU"/>
          </w:rPr>
          <w:t>-</w:t>
        </w:r>
        <w:r w:rsidRPr="00D377E5">
          <w:rPr>
            <w:rStyle w:val="Hyperlink"/>
            <w:bCs/>
            <w:lang w:val="en-US"/>
          </w:rPr>
          <w:t>FHR</w:t>
        </w:r>
        <w:r w:rsidRPr="00D377E5">
          <w:rPr>
            <w:rStyle w:val="Hyperlink"/>
            <w:bCs/>
            <w:lang w:val="ru-RU"/>
          </w:rPr>
          <w:t>-15/5</w:t>
        </w:r>
      </w:hyperlink>
      <w:r w:rsidR="002B6316" w:rsidRPr="00A105F3">
        <w:rPr>
          <w:rFonts w:eastAsiaTheme="minorHAnsi"/>
          <w:lang w:val="ru-RU"/>
        </w:rPr>
        <w:t>)</w:t>
      </w:r>
    </w:p>
    <w:p w14:paraId="788C43DB" w14:textId="1FA14D1E" w:rsidR="006A69EA" w:rsidRPr="006A69EA" w:rsidRDefault="009265C0" w:rsidP="009265C0">
      <w:pPr>
        <w:rPr>
          <w:bCs/>
          <w:lang w:val="ru-RU"/>
        </w:rPr>
      </w:pPr>
      <w:r w:rsidRPr="006A69EA">
        <w:rPr>
          <w:bCs/>
          <w:lang w:val="ru-RU"/>
        </w:rPr>
        <w:t>10.1</w:t>
      </w:r>
      <w:r w:rsidRPr="006A69EA">
        <w:rPr>
          <w:bCs/>
          <w:lang w:val="ru-RU"/>
        </w:rPr>
        <w:tab/>
      </w:r>
      <w:r w:rsidR="006A69EA">
        <w:rPr>
          <w:bCs/>
          <w:lang w:val="ru-RU"/>
        </w:rPr>
        <w:t>Секретариат представил документы, касающиеся системы подотчетности, разработанной в соответствии со следующими инициативами в области управления:</w:t>
      </w:r>
    </w:p>
    <w:p w14:paraId="1D3786FC" w14:textId="0D400E35" w:rsidR="009265C0" w:rsidRPr="00D51B7D" w:rsidRDefault="00D377E5" w:rsidP="00D377E5">
      <w:pPr>
        <w:pStyle w:val="enumlev1"/>
        <w:rPr>
          <w:lang w:val="ru-RU"/>
        </w:rPr>
      </w:pPr>
      <w:r w:rsidRPr="006A69EA">
        <w:rPr>
          <w:lang w:val="ru-RU"/>
        </w:rPr>
        <w:t>•</w:t>
      </w:r>
      <w:r w:rsidRPr="006A69EA">
        <w:rPr>
          <w:lang w:val="ru-RU"/>
        </w:rPr>
        <w:tab/>
      </w:r>
      <w:r w:rsidR="00663F16">
        <w:rPr>
          <w:lang w:val="ru-RU"/>
        </w:rPr>
        <w:t>п</w:t>
      </w:r>
      <w:r w:rsidR="006A69EA">
        <w:rPr>
          <w:lang w:val="ru-RU"/>
        </w:rPr>
        <w:t xml:space="preserve">лан действий </w:t>
      </w:r>
      <w:r w:rsidR="006A69EA" w:rsidRPr="006A69EA">
        <w:rPr>
          <w:lang w:val="ru-RU"/>
        </w:rPr>
        <w:t>Рабочей группы по внутреннему контролю</w:t>
      </w:r>
      <w:r w:rsidR="009265C0" w:rsidRPr="00D51B7D">
        <w:rPr>
          <w:lang w:val="ru-RU"/>
        </w:rPr>
        <w:t>;</w:t>
      </w:r>
    </w:p>
    <w:p w14:paraId="3DE0A53A" w14:textId="274516BA" w:rsidR="00D51B7D" w:rsidRPr="00D51B7D" w:rsidRDefault="00D377E5" w:rsidP="00D377E5">
      <w:pPr>
        <w:pStyle w:val="enumlev1"/>
        <w:rPr>
          <w:lang w:val="ru-RU"/>
        </w:rPr>
      </w:pPr>
      <w:r w:rsidRPr="00D51B7D">
        <w:rPr>
          <w:lang w:val="ru-RU"/>
        </w:rPr>
        <w:t>•</w:t>
      </w:r>
      <w:r w:rsidRPr="00D51B7D">
        <w:rPr>
          <w:lang w:val="ru-RU"/>
        </w:rPr>
        <w:tab/>
      </w:r>
      <w:r w:rsidR="00663F16">
        <w:rPr>
          <w:lang w:val="ru-RU"/>
        </w:rPr>
        <w:t>у</w:t>
      </w:r>
      <w:r w:rsidR="00D51B7D">
        <w:rPr>
          <w:lang w:val="ru-RU"/>
        </w:rPr>
        <w:t xml:space="preserve">совершенствование системы </w:t>
      </w:r>
      <w:r w:rsidR="00D51B7D" w:rsidRPr="00D51B7D">
        <w:rPr>
          <w:lang w:val="ru-RU"/>
        </w:rPr>
        <w:t>управлени</w:t>
      </w:r>
      <w:r w:rsidR="00D51B7D">
        <w:rPr>
          <w:lang w:val="ru-RU"/>
        </w:rPr>
        <w:t>я</w:t>
      </w:r>
      <w:r w:rsidR="00D51B7D" w:rsidRPr="00D51B7D">
        <w:rPr>
          <w:lang w:val="ru-RU"/>
        </w:rPr>
        <w:t>, ориентированно</w:t>
      </w:r>
      <w:r w:rsidR="00D51B7D">
        <w:rPr>
          <w:lang w:val="ru-RU"/>
        </w:rPr>
        <w:t xml:space="preserve">го на </w:t>
      </w:r>
      <w:r w:rsidR="00D51B7D" w:rsidRPr="00D51B7D">
        <w:rPr>
          <w:lang w:val="ru-RU"/>
        </w:rPr>
        <w:t>результаты</w:t>
      </w:r>
      <w:r w:rsidR="00D51B7D">
        <w:rPr>
          <w:lang w:val="ru-RU"/>
        </w:rPr>
        <w:t xml:space="preserve">, и </w:t>
      </w:r>
      <w:r w:rsidR="00D51B7D" w:rsidRPr="00D51B7D">
        <w:rPr>
          <w:lang w:val="ru-RU"/>
        </w:rPr>
        <w:t>разработка системы делегирования полномочий</w:t>
      </w:r>
      <w:r w:rsidR="00D51B7D">
        <w:rPr>
          <w:lang w:val="ru-RU"/>
        </w:rPr>
        <w:t>;</w:t>
      </w:r>
    </w:p>
    <w:p w14:paraId="6428769D" w14:textId="40DAB6DB" w:rsidR="009265C0" w:rsidRPr="00AA19CE" w:rsidRDefault="00D377E5" w:rsidP="00D377E5">
      <w:pPr>
        <w:pStyle w:val="enumlev1"/>
        <w:rPr>
          <w:lang w:val="ru-RU"/>
        </w:rPr>
      </w:pPr>
      <w:r w:rsidRPr="00AA19CE">
        <w:rPr>
          <w:lang w:val="ru-RU"/>
        </w:rPr>
        <w:t>•</w:t>
      </w:r>
      <w:r w:rsidRPr="00AA19CE">
        <w:rPr>
          <w:lang w:val="ru-RU"/>
        </w:rPr>
        <w:tab/>
      </w:r>
      <w:r w:rsidR="00663F16">
        <w:rPr>
          <w:lang w:val="ru-RU"/>
        </w:rPr>
        <w:t>в</w:t>
      </w:r>
      <w:r w:rsidR="00AA19CE" w:rsidRPr="00AA19CE">
        <w:rPr>
          <w:lang w:val="ru-RU"/>
        </w:rPr>
        <w:t>ыполнение Плана действий по управлению рисками</w:t>
      </w:r>
      <w:r w:rsidR="009265C0" w:rsidRPr="00AA19CE">
        <w:rPr>
          <w:lang w:val="ru-RU"/>
        </w:rPr>
        <w:t>;</w:t>
      </w:r>
    </w:p>
    <w:p w14:paraId="7F5B5F3D" w14:textId="717F5077" w:rsidR="009265C0" w:rsidRPr="00AA19CE" w:rsidRDefault="00D377E5" w:rsidP="00D377E5">
      <w:pPr>
        <w:pStyle w:val="enumlev1"/>
        <w:rPr>
          <w:lang w:val="ru-RU"/>
        </w:rPr>
      </w:pPr>
      <w:r w:rsidRPr="00AA19CE">
        <w:rPr>
          <w:lang w:val="ru-RU"/>
        </w:rPr>
        <w:t>•</w:t>
      </w:r>
      <w:r w:rsidRPr="00AA19CE">
        <w:rPr>
          <w:lang w:val="ru-RU"/>
        </w:rPr>
        <w:tab/>
      </w:r>
      <w:r w:rsidR="00663F16">
        <w:rPr>
          <w:lang w:val="ru-RU"/>
        </w:rPr>
        <w:t>р</w:t>
      </w:r>
      <w:r w:rsidR="00AA19CE" w:rsidRPr="00AA19CE">
        <w:rPr>
          <w:lang w:val="ru-RU"/>
        </w:rPr>
        <w:t>азработка информационной панели МСЭ по вопросам соблюдения</w:t>
      </w:r>
      <w:r w:rsidR="009265C0" w:rsidRPr="00AA19CE">
        <w:rPr>
          <w:lang w:val="ru-RU"/>
        </w:rPr>
        <w:t>;</w:t>
      </w:r>
    </w:p>
    <w:p w14:paraId="6F61B12D" w14:textId="5000D298" w:rsidR="009265C0" w:rsidRPr="00AA19CE" w:rsidRDefault="00D377E5" w:rsidP="00D377E5">
      <w:pPr>
        <w:pStyle w:val="enumlev1"/>
        <w:rPr>
          <w:lang w:val="ru-RU"/>
        </w:rPr>
      </w:pPr>
      <w:r w:rsidRPr="00AA19CE">
        <w:rPr>
          <w:lang w:val="ru-RU"/>
        </w:rPr>
        <w:t>•</w:t>
      </w:r>
      <w:r w:rsidRPr="00AA19CE">
        <w:rPr>
          <w:lang w:val="ru-RU"/>
        </w:rPr>
        <w:tab/>
      </w:r>
      <w:r w:rsidR="00663F16">
        <w:rPr>
          <w:lang w:val="ru-RU"/>
        </w:rPr>
        <w:t>п</w:t>
      </w:r>
      <w:r w:rsidR="00D51B7D">
        <w:rPr>
          <w:lang w:val="ru-RU"/>
        </w:rPr>
        <w:t xml:space="preserve">рочие проекты в этой сфере, такие как проект по </w:t>
      </w:r>
      <w:r w:rsidR="00AA19CE" w:rsidRPr="00AA19CE">
        <w:rPr>
          <w:lang w:val="ru-RU"/>
        </w:rPr>
        <w:t>оценк</w:t>
      </w:r>
      <w:r w:rsidR="00D51B7D">
        <w:rPr>
          <w:lang w:val="ru-RU"/>
        </w:rPr>
        <w:t>е</w:t>
      </w:r>
      <w:r w:rsidR="00AA19CE" w:rsidRPr="00AA19CE">
        <w:rPr>
          <w:lang w:val="ru-RU"/>
        </w:rPr>
        <w:t xml:space="preserve"> куль</w:t>
      </w:r>
      <w:r w:rsidR="00D51B7D">
        <w:rPr>
          <w:lang w:val="ru-RU"/>
        </w:rPr>
        <w:t>туры лидерства</w:t>
      </w:r>
      <w:r w:rsidR="00AA19CE" w:rsidRPr="00AA19CE">
        <w:rPr>
          <w:lang w:val="ru-RU"/>
        </w:rPr>
        <w:t xml:space="preserve"> и </w:t>
      </w:r>
      <w:r w:rsidR="003139D5">
        <w:rPr>
          <w:lang w:val="ru-RU"/>
        </w:rPr>
        <w:t xml:space="preserve">проект </w:t>
      </w:r>
      <w:r w:rsidR="00D51B7D">
        <w:rPr>
          <w:lang w:val="ru-RU"/>
        </w:rPr>
        <w:t xml:space="preserve">по </w:t>
      </w:r>
      <w:r w:rsidR="00AA19CE" w:rsidRPr="00AA19CE">
        <w:rPr>
          <w:lang w:val="ru-RU"/>
        </w:rPr>
        <w:t>оценк</w:t>
      </w:r>
      <w:r w:rsidR="00D51B7D">
        <w:rPr>
          <w:lang w:val="ru-RU"/>
        </w:rPr>
        <w:t xml:space="preserve">е </w:t>
      </w:r>
      <w:r w:rsidR="00AA19CE" w:rsidRPr="00AA19CE">
        <w:rPr>
          <w:lang w:val="ru-RU"/>
        </w:rPr>
        <w:t>куль</w:t>
      </w:r>
      <w:r w:rsidR="00D51B7D">
        <w:rPr>
          <w:lang w:val="ru-RU"/>
        </w:rPr>
        <w:t>туры труда и разрывов в навыках</w:t>
      </w:r>
      <w:r w:rsidR="009265C0" w:rsidRPr="00AA19CE">
        <w:rPr>
          <w:lang w:val="ru-RU"/>
        </w:rPr>
        <w:t>.</w:t>
      </w:r>
    </w:p>
    <w:p w14:paraId="4417CC54" w14:textId="513EEA07" w:rsidR="000D6AF7" w:rsidRPr="000D6AF7" w:rsidRDefault="009265C0" w:rsidP="009265C0">
      <w:pPr>
        <w:rPr>
          <w:bCs/>
          <w:lang w:val="ru-RU"/>
        </w:rPr>
      </w:pPr>
      <w:r w:rsidRPr="000D6AF7">
        <w:rPr>
          <w:bCs/>
          <w:lang w:val="ru-RU"/>
        </w:rPr>
        <w:t>10.2</w:t>
      </w:r>
      <w:r w:rsidRPr="000D6AF7">
        <w:rPr>
          <w:bCs/>
          <w:lang w:val="ru-RU"/>
        </w:rPr>
        <w:tab/>
      </w:r>
      <w:r w:rsidR="000D6AF7">
        <w:rPr>
          <w:bCs/>
          <w:lang w:val="ru-RU"/>
        </w:rPr>
        <w:t xml:space="preserve">В новой Системе подотчетности МСЭ девять компонентов, которые охватывают в общей сложности 36 элементов. </w:t>
      </w:r>
    </w:p>
    <w:p w14:paraId="7F818D62" w14:textId="5A7B9149" w:rsidR="009265C0" w:rsidRPr="00E749C5" w:rsidRDefault="00D377E5" w:rsidP="00D377E5">
      <w:pPr>
        <w:pStyle w:val="enumlev1"/>
        <w:rPr>
          <w:lang w:val="ru-RU"/>
        </w:rPr>
      </w:pPr>
      <w:r w:rsidRPr="00E749C5">
        <w:rPr>
          <w:lang w:val="ru-RU"/>
        </w:rPr>
        <w:t>•</w:t>
      </w:r>
      <w:r w:rsidRPr="00E749C5">
        <w:rPr>
          <w:lang w:val="ru-RU"/>
        </w:rPr>
        <w:tab/>
      </w:r>
      <w:r w:rsidR="00663F16">
        <w:rPr>
          <w:lang w:val="ru-RU"/>
        </w:rPr>
        <w:t>с</w:t>
      </w:r>
      <w:r w:rsidR="00E749C5">
        <w:rPr>
          <w:lang w:val="ru-RU"/>
        </w:rPr>
        <w:t>реда контроля и надзор</w:t>
      </w:r>
      <w:r w:rsidR="009265C0" w:rsidRPr="00E749C5">
        <w:rPr>
          <w:lang w:val="ru-RU"/>
        </w:rPr>
        <w:t>;</w:t>
      </w:r>
    </w:p>
    <w:p w14:paraId="2819E6A2" w14:textId="6E8AB911" w:rsidR="009265C0" w:rsidRPr="00E749C5" w:rsidRDefault="00D377E5" w:rsidP="00D377E5">
      <w:pPr>
        <w:pStyle w:val="enumlev1"/>
        <w:rPr>
          <w:lang w:val="ru-RU"/>
        </w:rPr>
      </w:pPr>
      <w:r w:rsidRPr="00E749C5">
        <w:rPr>
          <w:lang w:val="ru-RU"/>
        </w:rPr>
        <w:t>•</w:t>
      </w:r>
      <w:r w:rsidRPr="00E749C5">
        <w:rPr>
          <w:lang w:val="ru-RU"/>
        </w:rPr>
        <w:tab/>
      </w:r>
      <w:r w:rsidR="00663F16">
        <w:rPr>
          <w:lang w:val="ru-RU"/>
        </w:rPr>
        <w:t>у</w:t>
      </w:r>
      <w:r w:rsidR="00E749C5">
        <w:rPr>
          <w:lang w:val="ru-RU"/>
        </w:rPr>
        <w:t xml:space="preserve">правление, ориентированное на результаты </w:t>
      </w:r>
      <w:r w:rsidR="009265C0" w:rsidRPr="00E749C5">
        <w:rPr>
          <w:lang w:val="ru-RU"/>
        </w:rPr>
        <w:t>(</w:t>
      </w:r>
      <w:r w:rsidR="00E749C5">
        <w:rPr>
          <w:lang w:val="ru-RU"/>
        </w:rPr>
        <w:t>УОР</w:t>
      </w:r>
      <w:r w:rsidR="009265C0" w:rsidRPr="00E749C5">
        <w:rPr>
          <w:lang w:val="ru-RU"/>
        </w:rPr>
        <w:t>);</w:t>
      </w:r>
    </w:p>
    <w:p w14:paraId="04B19C69" w14:textId="77ED3BE1" w:rsidR="009265C0" w:rsidRPr="00E749C5" w:rsidRDefault="00D377E5" w:rsidP="00D377E5">
      <w:pPr>
        <w:pStyle w:val="enumlev1"/>
        <w:rPr>
          <w:lang w:val="ru-RU"/>
        </w:rPr>
      </w:pPr>
      <w:r w:rsidRPr="00E749C5">
        <w:rPr>
          <w:lang w:val="ru-RU"/>
        </w:rPr>
        <w:t>•</w:t>
      </w:r>
      <w:r w:rsidRPr="00E749C5">
        <w:rPr>
          <w:lang w:val="ru-RU"/>
        </w:rPr>
        <w:tab/>
      </w:r>
      <w:r w:rsidR="00663F16">
        <w:rPr>
          <w:lang w:val="ru-RU"/>
        </w:rPr>
        <w:t>у</w:t>
      </w:r>
      <w:r w:rsidR="00E749C5">
        <w:rPr>
          <w:lang w:val="ru-RU"/>
        </w:rPr>
        <w:t>правление рисками</w:t>
      </w:r>
      <w:r w:rsidR="009265C0" w:rsidRPr="00E749C5">
        <w:rPr>
          <w:lang w:val="ru-RU"/>
        </w:rPr>
        <w:t>;</w:t>
      </w:r>
    </w:p>
    <w:p w14:paraId="2CCA2D88" w14:textId="3DC3D643" w:rsidR="009265C0" w:rsidRPr="00D37644" w:rsidRDefault="00D377E5" w:rsidP="00D377E5">
      <w:pPr>
        <w:pStyle w:val="enumlev1"/>
        <w:rPr>
          <w:lang w:val="ru-RU"/>
        </w:rPr>
      </w:pPr>
      <w:r w:rsidRPr="00D37644">
        <w:rPr>
          <w:lang w:val="ru-RU"/>
        </w:rPr>
        <w:t>•</w:t>
      </w:r>
      <w:r w:rsidRPr="00D37644">
        <w:rPr>
          <w:lang w:val="ru-RU"/>
        </w:rPr>
        <w:tab/>
      </w:r>
      <w:r w:rsidR="00663F16">
        <w:rPr>
          <w:lang w:val="ru-RU"/>
        </w:rPr>
        <w:t>д</w:t>
      </w:r>
      <w:r w:rsidR="00E749C5">
        <w:rPr>
          <w:lang w:val="ru-RU"/>
        </w:rPr>
        <w:t>еятельность</w:t>
      </w:r>
      <w:r w:rsidR="00E749C5" w:rsidRPr="00D37644">
        <w:rPr>
          <w:lang w:val="ru-RU"/>
        </w:rPr>
        <w:t xml:space="preserve"> </w:t>
      </w:r>
      <w:r w:rsidR="00E749C5">
        <w:rPr>
          <w:lang w:val="ru-RU"/>
        </w:rPr>
        <w:t>по</w:t>
      </w:r>
      <w:r w:rsidR="00E749C5" w:rsidRPr="00D37644">
        <w:rPr>
          <w:lang w:val="ru-RU"/>
        </w:rPr>
        <w:t xml:space="preserve"> </w:t>
      </w:r>
      <w:r w:rsidR="00E749C5">
        <w:rPr>
          <w:lang w:val="ru-RU"/>
        </w:rPr>
        <w:t>контрол</w:t>
      </w:r>
      <w:r w:rsidR="00D37644">
        <w:rPr>
          <w:lang w:val="ru-RU"/>
        </w:rPr>
        <w:t>ю</w:t>
      </w:r>
      <w:r w:rsidR="009265C0" w:rsidRPr="00D37644">
        <w:rPr>
          <w:lang w:val="ru-RU"/>
        </w:rPr>
        <w:t>;</w:t>
      </w:r>
    </w:p>
    <w:p w14:paraId="63417586" w14:textId="12CA553E" w:rsidR="009265C0" w:rsidRPr="00D37644" w:rsidRDefault="00D377E5" w:rsidP="00D377E5">
      <w:pPr>
        <w:pStyle w:val="enumlev1"/>
        <w:rPr>
          <w:lang w:val="ru-RU"/>
        </w:rPr>
      </w:pPr>
      <w:r w:rsidRPr="00D37644">
        <w:rPr>
          <w:lang w:val="ru-RU"/>
        </w:rPr>
        <w:t>•</w:t>
      </w:r>
      <w:r w:rsidRPr="00D37644">
        <w:rPr>
          <w:lang w:val="ru-RU"/>
        </w:rPr>
        <w:tab/>
      </w:r>
      <w:r w:rsidR="00663F16">
        <w:rPr>
          <w:lang w:val="ru-RU"/>
        </w:rPr>
        <w:t>и</w:t>
      </w:r>
      <w:r w:rsidR="00E749C5">
        <w:rPr>
          <w:lang w:val="ru-RU"/>
        </w:rPr>
        <w:t>нформация</w:t>
      </w:r>
      <w:r w:rsidR="009265C0" w:rsidRPr="00D37644">
        <w:rPr>
          <w:lang w:val="ru-RU"/>
        </w:rPr>
        <w:t>;</w:t>
      </w:r>
    </w:p>
    <w:p w14:paraId="61467B95" w14:textId="45D40CB6" w:rsidR="009265C0" w:rsidRPr="00D37644" w:rsidRDefault="00D377E5" w:rsidP="00D377E5">
      <w:pPr>
        <w:pStyle w:val="enumlev1"/>
        <w:rPr>
          <w:lang w:val="ru-RU"/>
        </w:rPr>
      </w:pPr>
      <w:r w:rsidRPr="00D37644">
        <w:rPr>
          <w:lang w:val="ru-RU"/>
        </w:rPr>
        <w:t>•</w:t>
      </w:r>
      <w:r w:rsidRPr="00D37644">
        <w:rPr>
          <w:lang w:val="ru-RU"/>
        </w:rPr>
        <w:tab/>
      </w:r>
      <w:r w:rsidR="00663F16">
        <w:rPr>
          <w:lang w:val="ru-RU"/>
        </w:rPr>
        <w:t>к</w:t>
      </w:r>
      <w:r w:rsidR="00E749C5">
        <w:rPr>
          <w:lang w:val="ru-RU"/>
        </w:rPr>
        <w:t>оммуникация</w:t>
      </w:r>
      <w:r w:rsidR="009265C0" w:rsidRPr="00D37644">
        <w:rPr>
          <w:lang w:val="ru-RU"/>
        </w:rPr>
        <w:t>;</w:t>
      </w:r>
    </w:p>
    <w:p w14:paraId="67FFDE2A" w14:textId="408D4520" w:rsidR="009265C0" w:rsidRPr="00D37644" w:rsidRDefault="00D377E5" w:rsidP="00D377E5">
      <w:pPr>
        <w:pStyle w:val="enumlev1"/>
        <w:rPr>
          <w:lang w:val="ru-RU"/>
        </w:rPr>
      </w:pPr>
      <w:r w:rsidRPr="00D37644">
        <w:rPr>
          <w:lang w:val="ru-RU"/>
        </w:rPr>
        <w:lastRenderedPageBreak/>
        <w:t>•</w:t>
      </w:r>
      <w:r w:rsidRPr="00D37644">
        <w:rPr>
          <w:lang w:val="ru-RU"/>
        </w:rPr>
        <w:tab/>
      </w:r>
      <w:r w:rsidR="00663F16">
        <w:rPr>
          <w:lang w:val="ru-RU"/>
        </w:rPr>
        <w:t>у</w:t>
      </w:r>
      <w:r w:rsidR="00D37644">
        <w:rPr>
          <w:lang w:val="ru-RU"/>
        </w:rPr>
        <w:t>правление показателями работы</w:t>
      </w:r>
      <w:r w:rsidR="009265C0" w:rsidRPr="00D37644">
        <w:rPr>
          <w:lang w:val="ru-RU"/>
        </w:rPr>
        <w:t>;</w:t>
      </w:r>
    </w:p>
    <w:p w14:paraId="5DFAE5B2" w14:textId="05D33A0B" w:rsidR="009265C0" w:rsidRPr="00D37644" w:rsidRDefault="00D377E5" w:rsidP="00D377E5">
      <w:pPr>
        <w:pStyle w:val="enumlev1"/>
        <w:rPr>
          <w:lang w:val="ru-RU"/>
        </w:rPr>
      </w:pPr>
      <w:r w:rsidRPr="00D37644">
        <w:rPr>
          <w:lang w:val="ru-RU"/>
        </w:rPr>
        <w:t>•</w:t>
      </w:r>
      <w:r w:rsidRPr="00D37644">
        <w:rPr>
          <w:lang w:val="ru-RU"/>
        </w:rPr>
        <w:tab/>
      </w:r>
      <w:r w:rsidR="00663F16">
        <w:rPr>
          <w:lang w:val="ru-RU"/>
        </w:rPr>
        <w:t>м</w:t>
      </w:r>
      <w:r w:rsidR="00D37644">
        <w:rPr>
          <w:lang w:val="ru-RU"/>
        </w:rPr>
        <w:t>ониторинг и оценка</w:t>
      </w:r>
      <w:r w:rsidR="009265C0" w:rsidRPr="00D37644">
        <w:rPr>
          <w:lang w:val="ru-RU"/>
        </w:rPr>
        <w:t>;</w:t>
      </w:r>
    </w:p>
    <w:p w14:paraId="7D4AC1D7" w14:textId="5B0214F5" w:rsidR="009265C0" w:rsidRPr="008A311C" w:rsidRDefault="00D377E5" w:rsidP="00D377E5">
      <w:pPr>
        <w:pStyle w:val="enumlev1"/>
        <w:rPr>
          <w:lang w:val="ru-RU"/>
        </w:rPr>
      </w:pPr>
      <w:r w:rsidRPr="008A311C">
        <w:rPr>
          <w:lang w:val="ru-RU"/>
        </w:rPr>
        <w:t>•</w:t>
      </w:r>
      <w:r w:rsidRPr="008A311C">
        <w:rPr>
          <w:lang w:val="ru-RU"/>
        </w:rPr>
        <w:tab/>
      </w:r>
      <w:r w:rsidR="00663F16">
        <w:rPr>
          <w:lang w:val="ru-RU"/>
        </w:rPr>
        <w:t>м</w:t>
      </w:r>
      <w:r w:rsidR="00B83CA0">
        <w:rPr>
          <w:lang w:val="ru-RU"/>
        </w:rPr>
        <w:t>еры и службы</w:t>
      </w:r>
      <w:r w:rsidR="00E97ADD">
        <w:rPr>
          <w:lang w:val="ru-RU"/>
        </w:rPr>
        <w:t xml:space="preserve"> доверия</w:t>
      </w:r>
      <w:r w:rsidR="009265C0" w:rsidRPr="008A311C">
        <w:rPr>
          <w:lang w:val="ru-RU"/>
        </w:rPr>
        <w:t>.</w:t>
      </w:r>
    </w:p>
    <w:p w14:paraId="375FDBB6" w14:textId="15EEB43B" w:rsidR="008A311C" w:rsidRPr="008A311C" w:rsidRDefault="009265C0" w:rsidP="009265C0">
      <w:pPr>
        <w:rPr>
          <w:bCs/>
          <w:lang w:val="ru-RU"/>
        </w:rPr>
      </w:pPr>
      <w:r w:rsidRPr="008A311C">
        <w:rPr>
          <w:bCs/>
          <w:lang w:val="ru-RU"/>
        </w:rPr>
        <w:t>10.3</w:t>
      </w:r>
      <w:r w:rsidRPr="008A311C">
        <w:rPr>
          <w:bCs/>
          <w:lang w:val="ru-RU"/>
        </w:rPr>
        <w:tab/>
      </w:r>
      <w:r w:rsidR="008A311C">
        <w:rPr>
          <w:bCs/>
          <w:lang w:val="ru-RU"/>
        </w:rPr>
        <w:t xml:space="preserve">По итогам некоторых исследований передового опыта будет также проанализирована возможность включения в систему следующих компонентов: </w:t>
      </w:r>
    </w:p>
    <w:p w14:paraId="3F2CF312" w14:textId="40813950" w:rsidR="009265C0" w:rsidRPr="004B6EE4" w:rsidRDefault="00D377E5" w:rsidP="00D377E5">
      <w:pPr>
        <w:pStyle w:val="enumlev1"/>
        <w:rPr>
          <w:lang w:val="ru-RU"/>
        </w:rPr>
      </w:pPr>
      <w:r w:rsidRPr="004B6EE4">
        <w:rPr>
          <w:lang w:val="ru-RU"/>
        </w:rPr>
        <w:t>•</w:t>
      </w:r>
      <w:r w:rsidRPr="004B6EE4">
        <w:rPr>
          <w:lang w:val="ru-RU"/>
        </w:rPr>
        <w:tab/>
      </w:r>
      <w:r w:rsidR="00663F16">
        <w:rPr>
          <w:lang w:val="ru-RU"/>
        </w:rPr>
        <w:t>о</w:t>
      </w:r>
      <w:r w:rsidR="004B6EE4" w:rsidRPr="00B41C02">
        <w:rPr>
          <w:lang w:val="ru-RU"/>
        </w:rPr>
        <w:t xml:space="preserve">бязательные руководящие указания для руководства </w:t>
      </w:r>
      <w:r w:rsidR="009265C0" w:rsidRPr="004B6EE4">
        <w:rPr>
          <w:lang w:val="ru-RU"/>
        </w:rPr>
        <w:t>(</w:t>
      </w:r>
      <w:r w:rsidR="009265C0" w:rsidRPr="009265C0">
        <w:t>BLG</w:t>
      </w:r>
      <w:r w:rsidR="009265C0" w:rsidRPr="004B6EE4">
        <w:rPr>
          <w:lang w:val="ru-RU"/>
        </w:rPr>
        <w:t>);</w:t>
      </w:r>
    </w:p>
    <w:p w14:paraId="3A75D51A" w14:textId="382D5B73" w:rsidR="009265C0" w:rsidRPr="00F662D0" w:rsidRDefault="00D377E5" w:rsidP="00D377E5">
      <w:pPr>
        <w:pStyle w:val="enumlev1"/>
        <w:rPr>
          <w:lang w:val="ru-RU"/>
        </w:rPr>
      </w:pPr>
      <w:r w:rsidRPr="00F662D0">
        <w:rPr>
          <w:lang w:val="ru-RU"/>
        </w:rPr>
        <w:t>•</w:t>
      </w:r>
      <w:r w:rsidRPr="00F662D0">
        <w:rPr>
          <w:lang w:val="ru-RU"/>
        </w:rPr>
        <w:tab/>
      </w:r>
      <w:r w:rsidR="00663F16">
        <w:rPr>
          <w:lang w:val="ru-RU"/>
        </w:rPr>
        <w:t>п</w:t>
      </w:r>
      <w:r w:rsidR="004B6EE4" w:rsidRPr="00B41C02">
        <w:rPr>
          <w:lang w:val="ru-RU"/>
        </w:rPr>
        <w:t>ублик</w:t>
      </w:r>
      <w:r w:rsidR="00B41C02" w:rsidRPr="00B41C02">
        <w:rPr>
          <w:lang w:val="ru-RU"/>
        </w:rPr>
        <w:t>ации</w:t>
      </w:r>
      <w:r w:rsidR="00457FC7">
        <w:rPr>
          <w:lang w:val="ru-RU"/>
        </w:rPr>
        <w:t>, посвященные</w:t>
      </w:r>
      <w:r w:rsidR="004B6EE4" w:rsidRPr="00B41C02">
        <w:rPr>
          <w:lang w:val="ru-RU"/>
        </w:rPr>
        <w:t xml:space="preserve"> передов</w:t>
      </w:r>
      <w:r w:rsidR="00B41C02" w:rsidRPr="00B41C02">
        <w:rPr>
          <w:lang w:val="ru-RU"/>
        </w:rPr>
        <w:t>ы</w:t>
      </w:r>
      <w:r w:rsidR="00457FC7">
        <w:rPr>
          <w:lang w:val="ru-RU"/>
        </w:rPr>
        <w:t>м</w:t>
      </w:r>
      <w:r w:rsidR="00B41C02" w:rsidRPr="00B41C02">
        <w:rPr>
          <w:lang w:val="ru-RU"/>
        </w:rPr>
        <w:t xml:space="preserve"> метод</w:t>
      </w:r>
      <w:r w:rsidR="00457FC7">
        <w:rPr>
          <w:lang w:val="ru-RU"/>
        </w:rPr>
        <w:t>ам</w:t>
      </w:r>
      <w:r w:rsidR="00B41C02" w:rsidRPr="00B41C02">
        <w:rPr>
          <w:lang w:val="ru-RU"/>
        </w:rPr>
        <w:t xml:space="preserve"> работы</w:t>
      </w:r>
      <w:r w:rsidR="009265C0" w:rsidRPr="00B41C02">
        <w:rPr>
          <w:lang w:val="ru-RU"/>
        </w:rPr>
        <w:t>;</w:t>
      </w:r>
    </w:p>
    <w:p w14:paraId="557D1EEF" w14:textId="2C3BCC04" w:rsidR="009265C0" w:rsidRPr="004B6EE4" w:rsidRDefault="00D377E5" w:rsidP="00D377E5">
      <w:pPr>
        <w:pStyle w:val="enumlev1"/>
        <w:rPr>
          <w:lang w:val="ru-RU"/>
        </w:rPr>
      </w:pPr>
      <w:r w:rsidRPr="004B6EE4">
        <w:rPr>
          <w:lang w:val="ru-RU"/>
        </w:rPr>
        <w:t>•</w:t>
      </w:r>
      <w:r w:rsidRPr="004B6EE4">
        <w:rPr>
          <w:lang w:val="ru-RU"/>
        </w:rPr>
        <w:tab/>
      </w:r>
      <w:r w:rsidR="00663F16">
        <w:rPr>
          <w:lang w:val="ru-RU"/>
        </w:rPr>
        <w:t>и</w:t>
      </w:r>
      <w:r w:rsidR="004B6EE4">
        <w:rPr>
          <w:lang w:val="ru-RU"/>
        </w:rPr>
        <w:t>ндекс здоровья Организации</w:t>
      </w:r>
      <w:r w:rsidR="009265C0" w:rsidRPr="004B6EE4">
        <w:rPr>
          <w:lang w:val="ru-RU"/>
        </w:rPr>
        <w:t>;</w:t>
      </w:r>
    </w:p>
    <w:p w14:paraId="3C18A485" w14:textId="7F37E8F9" w:rsidR="009265C0" w:rsidRPr="004B6EE4" w:rsidRDefault="00D377E5" w:rsidP="00D377E5">
      <w:pPr>
        <w:pStyle w:val="enumlev1"/>
        <w:rPr>
          <w:lang w:val="ru-RU"/>
        </w:rPr>
      </w:pPr>
      <w:r w:rsidRPr="004B6EE4">
        <w:rPr>
          <w:lang w:val="ru-RU"/>
        </w:rPr>
        <w:t>•</w:t>
      </w:r>
      <w:r w:rsidRPr="004B6EE4">
        <w:rPr>
          <w:lang w:val="ru-RU"/>
        </w:rPr>
        <w:tab/>
      </w:r>
      <w:r w:rsidR="00663F16">
        <w:rPr>
          <w:lang w:val="ru-RU"/>
        </w:rPr>
        <w:t>с</w:t>
      </w:r>
      <w:r w:rsidR="004B6EE4">
        <w:rPr>
          <w:lang w:val="ru-RU"/>
        </w:rPr>
        <w:t>ообщества лидеров</w:t>
      </w:r>
      <w:r w:rsidR="009265C0" w:rsidRPr="004B6EE4">
        <w:rPr>
          <w:lang w:val="ru-RU"/>
        </w:rPr>
        <w:t>;</w:t>
      </w:r>
    </w:p>
    <w:p w14:paraId="186C5929" w14:textId="323302E8" w:rsidR="009265C0" w:rsidRPr="00C44047" w:rsidRDefault="00D377E5" w:rsidP="00D377E5">
      <w:pPr>
        <w:pStyle w:val="enumlev1"/>
        <w:rPr>
          <w:lang w:val="ru-RU"/>
        </w:rPr>
      </w:pPr>
      <w:r w:rsidRPr="00C44047">
        <w:rPr>
          <w:lang w:val="ru-RU"/>
        </w:rPr>
        <w:t>•</w:t>
      </w:r>
      <w:r w:rsidRPr="00C44047">
        <w:rPr>
          <w:lang w:val="ru-RU"/>
        </w:rPr>
        <w:tab/>
      </w:r>
      <w:r w:rsidR="00663F16">
        <w:rPr>
          <w:lang w:val="ru-RU"/>
        </w:rPr>
        <w:t>о</w:t>
      </w:r>
      <w:r w:rsidR="004B6EE4">
        <w:rPr>
          <w:lang w:val="ru-RU"/>
        </w:rPr>
        <w:t>мбудсмены</w:t>
      </w:r>
      <w:r w:rsidR="009265C0" w:rsidRPr="00C44047">
        <w:rPr>
          <w:lang w:val="ru-RU"/>
        </w:rPr>
        <w:t>.</w:t>
      </w:r>
    </w:p>
    <w:p w14:paraId="3225F485" w14:textId="0DBBB3D8" w:rsidR="00C44047" w:rsidRPr="00C44047" w:rsidRDefault="009265C0" w:rsidP="009265C0">
      <w:pPr>
        <w:rPr>
          <w:bCs/>
          <w:lang w:val="ru-RU"/>
        </w:rPr>
      </w:pPr>
      <w:r w:rsidRPr="00C44047">
        <w:rPr>
          <w:bCs/>
          <w:lang w:val="ru-RU"/>
        </w:rPr>
        <w:t>10.4</w:t>
      </w:r>
      <w:r w:rsidRPr="00C44047">
        <w:rPr>
          <w:bCs/>
          <w:lang w:val="ru-RU"/>
        </w:rPr>
        <w:tab/>
      </w:r>
      <w:r w:rsidR="00C44047">
        <w:rPr>
          <w:bCs/>
          <w:lang w:val="ru-RU"/>
        </w:rPr>
        <w:t>Секретариат будет непрерывно отслеживать статус компонентов и оценивать их эффективность и результативность в целях дальнейшего совершенствования системы.</w:t>
      </w:r>
    </w:p>
    <w:p w14:paraId="4DCF5857" w14:textId="507B8993" w:rsidR="00F4285B" w:rsidRPr="00E217BC" w:rsidRDefault="009265C0" w:rsidP="009265C0">
      <w:pPr>
        <w:rPr>
          <w:bCs/>
          <w:lang w:val="ru-RU"/>
        </w:rPr>
      </w:pPr>
      <w:r w:rsidRPr="00E217BC">
        <w:rPr>
          <w:bCs/>
          <w:lang w:val="ru-RU"/>
        </w:rPr>
        <w:t>10.5</w:t>
      </w:r>
      <w:r w:rsidRPr="00E217BC">
        <w:rPr>
          <w:bCs/>
          <w:lang w:val="ru-RU"/>
        </w:rPr>
        <w:tab/>
      </w:r>
      <w:r w:rsidR="00E217BC">
        <w:rPr>
          <w:bCs/>
          <w:lang w:val="ru-RU"/>
        </w:rPr>
        <w:t xml:space="preserve">На вопрос от </w:t>
      </w:r>
      <w:r w:rsidR="004C13D7">
        <w:rPr>
          <w:bCs/>
          <w:lang w:val="ru-RU"/>
        </w:rPr>
        <w:t>одного из делегатов</w:t>
      </w:r>
      <w:r w:rsidR="00E217BC">
        <w:rPr>
          <w:bCs/>
          <w:lang w:val="ru-RU"/>
        </w:rPr>
        <w:t xml:space="preserve"> о том, к</w:t>
      </w:r>
      <w:r w:rsidR="001F7D02">
        <w:rPr>
          <w:bCs/>
          <w:lang w:val="ru-RU"/>
        </w:rPr>
        <w:t xml:space="preserve">ем </w:t>
      </w:r>
      <w:r w:rsidR="00E217BC">
        <w:rPr>
          <w:bCs/>
          <w:lang w:val="ru-RU"/>
        </w:rPr>
        <w:t>будет обеспечивать</w:t>
      </w:r>
      <w:r w:rsidR="001F7D02">
        <w:rPr>
          <w:bCs/>
          <w:lang w:val="ru-RU"/>
        </w:rPr>
        <w:t>ся</w:t>
      </w:r>
      <w:r w:rsidR="00E217BC">
        <w:rPr>
          <w:bCs/>
          <w:lang w:val="ru-RU"/>
        </w:rPr>
        <w:t xml:space="preserve"> выполнение рекомендаций, Секретариат ответил</w:t>
      </w:r>
      <w:r w:rsidR="004C13D7">
        <w:rPr>
          <w:bCs/>
          <w:lang w:val="ru-RU"/>
        </w:rPr>
        <w:t>,</w:t>
      </w:r>
      <w:r w:rsidR="00E217BC">
        <w:rPr>
          <w:bCs/>
          <w:lang w:val="ru-RU"/>
        </w:rPr>
        <w:t xml:space="preserve"> что МСЭ рассматривает </w:t>
      </w:r>
      <w:r w:rsidR="00C9489E">
        <w:rPr>
          <w:bCs/>
          <w:lang w:val="ru-RU"/>
        </w:rPr>
        <w:t xml:space="preserve">ряд внутренних </w:t>
      </w:r>
      <w:r w:rsidR="00404D5D">
        <w:rPr>
          <w:bCs/>
          <w:lang w:val="ru-RU"/>
        </w:rPr>
        <w:t>опций</w:t>
      </w:r>
      <w:r w:rsidR="00C9489E">
        <w:rPr>
          <w:bCs/>
          <w:lang w:val="ru-RU"/>
        </w:rPr>
        <w:t xml:space="preserve">, </w:t>
      </w:r>
      <w:r w:rsidR="001F7D02">
        <w:rPr>
          <w:bCs/>
          <w:lang w:val="ru-RU"/>
        </w:rPr>
        <w:t xml:space="preserve">таких как </w:t>
      </w:r>
      <w:r w:rsidR="00457FC7">
        <w:rPr>
          <w:bCs/>
          <w:lang w:val="ru-RU"/>
        </w:rPr>
        <w:t>возложение функци</w:t>
      </w:r>
      <w:r w:rsidR="00930FE0">
        <w:rPr>
          <w:bCs/>
          <w:lang w:val="ru-RU"/>
        </w:rPr>
        <w:t>й</w:t>
      </w:r>
      <w:r w:rsidR="00457FC7">
        <w:rPr>
          <w:bCs/>
          <w:lang w:val="ru-RU"/>
        </w:rPr>
        <w:t xml:space="preserve"> по </w:t>
      </w:r>
      <w:r w:rsidR="001F7D02">
        <w:rPr>
          <w:bCs/>
          <w:lang w:val="ru-RU"/>
        </w:rPr>
        <w:t>проверк</w:t>
      </w:r>
      <w:r w:rsidR="00457FC7">
        <w:rPr>
          <w:bCs/>
          <w:lang w:val="ru-RU"/>
        </w:rPr>
        <w:t>е</w:t>
      </w:r>
      <w:r w:rsidR="001F7D02">
        <w:rPr>
          <w:bCs/>
          <w:lang w:val="ru-RU"/>
        </w:rPr>
        <w:t xml:space="preserve"> эффективности системы</w:t>
      </w:r>
      <w:r w:rsidR="00457FC7">
        <w:rPr>
          <w:bCs/>
          <w:lang w:val="ru-RU"/>
        </w:rPr>
        <w:t xml:space="preserve"> на</w:t>
      </w:r>
      <w:r w:rsidR="001F7D02">
        <w:rPr>
          <w:bCs/>
          <w:lang w:val="ru-RU"/>
        </w:rPr>
        <w:t xml:space="preserve"> </w:t>
      </w:r>
      <w:r w:rsidR="00C9489E">
        <w:rPr>
          <w:bCs/>
          <w:lang w:val="ru-RU"/>
        </w:rPr>
        <w:t>Подразделени</w:t>
      </w:r>
      <w:r w:rsidR="001F7D02">
        <w:rPr>
          <w:bCs/>
          <w:lang w:val="ru-RU"/>
        </w:rPr>
        <w:t>е</w:t>
      </w:r>
      <w:r w:rsidR="00C9489E">
        <w:rPr>
          <w:bCs/>
          <w:lang w:val="ru-RU"/>
        </w:rPr>
        <w:t xml:space="preserve"> внутре</w:t>
      </w:r>
      <w:r w:rsidR="003D6D52">
        <w:rPr>
          <w:bCs/>
          <w:lang w:val="ru-RU"/>
        </w:rPr>
        <w:t>ннего аудита</w:t>
      </w:r>
      <w:r w:rsidR="001F7D02">
        <w:rPr>
          <w:bCs/>
          <w:lang w:val="ru-RU"/>
        </w:rPr>
        <w:t>.</w:t>
      </w:r>
      <w:r w:rsidR="003D6D52">
        <w:rPr>
          <w:bCs/>
          <w:lang w:val="ru-RU"/>
        </w:rPr>
        <w:t xml:space="preserve"> </w:t>
      </w:r>
      <w:r w:rsidR="001F7D02">
        <w:rPr>
          <w:bCs/>
          <w:lang w:val="ru-RU"/>
        </w:rPr>
        <w:t xml:space="preserve">Секретариат также выяснит, </w:t>
      </w:r>
      <w:r w:rsidR="00FD660A">
        <w:rPr>
          <w:bCs/>
          <w:lang w:val="ru-RU"/>
        </w:rPr>
        <w:t>на ком лежит ответственность за соответствующую систему</w:t>
      </w:r>
      <w:r w:rsidR="001F7D02">
        <w:rPr>
          <w:bCs/>
          <w:lang w:val="ru-RU"/>
        </w:rPr>
        <w:t xml:space="preserve"> в других организациях системы ООН, с тем чтобы взять за основу передов</w:t>
      </w:r>
      <w:r w:rsidR="00FD660A">
        <w:rPr>
          <w:bCs/>
          <w:lang w:val="ru-RU"/>
        </w:rPr>
        <w:t>ую практику</w:t>
      </w:r>
      <w:r w:rsidR="001F7D02">
        <w:rPr>
          <w:bCs/>
          <w:lang w:val="ru-RU"/>
        </w:rPr>
        <w:t xml:space="preserve">. </w:t>
      </w:r>
    </w:p>
    <w:p w14:paraId="41F40292" w14:textId="537902BC" w:rsidR="00D133F2" w:rsidRPr="00535FF0" w:rsidRDefault="009265C0" w:rsidP="009265C0">
      <w:pPr>
        <w:rPr>
          <w:bCs/>
          <w:lang w:val="ru-RU"/>
        </w:rPr>
      </w:pPr>
      <w:r w:rsidRPr="00177939">
        <w:rPr>
          <w:bCs/>
          <w:lang w:val="ru-RU"/>
        </w:rPr>
        <w:t>10.6</w:t>
      </w:r>
      <w:r w:rsidRPr="00177939">
        <w:rPr>
          <w:bCs/>
          <w:lang w:val="ru-RU"/>
        </w:rPr>
        <w:tab/>
      </w:r>
      <w:r w:rsidR="00177939">
        <w:rPr>
          <w:bCs/>
          <w:lang w:val="ru-RU"/>
        </w:rPr>
        <w:t xml:space="preserve">Отвечая на вопрос от другого делегата, Секретариат пояснил, что он проводит серию консультаций с профильными структурами, включая </w:t>
      </w:r>
      <w:r w:rsidR="00177939" w:rsidRPr="00177939">
        <w:rPr>
          <w:bCs/>
          <w:lang w:val="ru-RU"/>
        </w:rPr>
        <w:t>Объединенн</w:t>
      </w:r>
      <w:r w:rsidR="00177939">
        <w:rPr>
          <w:bCs/>
          <w:lang w:val="ru-RU"/>
        </w:rPr>
        <w:t>ую</w:t>
      </w:r>
      <w:r w:rsidR="00177939" w:rsidRPr="00177939">
        <w:rPr>
          <w:bCs/>
          <w:lang w:val="ru-RU"/>
        </w:rPr>
        <w:t xml:space="preserve"> инспекционн</w:t>
      </w:r>
      <w:r w:rsidR="00177939">
        <w:rPr>
          <w:bCs/>
          <w:lang w:val="ru-RU"/>
        </w:rPr>
        <w:t>ую</w:t>
      </w:r>
      <w:r w:rsidR="00177939" w:rsidRPr="00177939">
        <w:rPr>
          <w:bCs/>
          <w:lang w:val="ru-RU"/>
        </w:rPr>
        <w:t xml:space="preserve"> групп</w:t>
      </w:r>
      <w:r w:rsidR="00177939">
        <w:rPr>
          <w:bCs/>
          <w:lang w:val="ru-RU"/>
        </w:rPr>
        <w:t>у (ОИГ)</w:t>
      </w:r>
      <w:r w:rsidR="00535FF0">
        <w:rPr>
          <w:bCs/>
          <w:lang w:val="ru-RU"/>
        </w:rPr>
        <w:t xml:space="preserve">, которая определила 17 контрольных показателей </w:t>
      </w:r>
      <w:r w:rsidR="00535FF0" w:rsidRPr="00535FF0">
        <w:rPr>
          <w:bCs/>
          <w:lang w:val="ru-RU"/>
        </w:rPr>
        <w:t>(</w:t>
      </w:r>
      <w:r w:rsidR="00535FF0" w:rsidRPr="009265C0">
        <w:rPr>
          <w:bCs/>
          <w:lang w:val="en-US"/>
        </w:rPr>
        <w:t>JIU</w:t>
      </w:r>
      <w:r w:rsidR="00535FF0" w:rsidRPr="00535FF0">
        <w:rPr>
          <w:bCs/>
          <w:lang w:val="ru-RU"/>
        </w:rPr>
        <w:t>/</w:t>
      </w:r>
      <w:r w:rsidR="00535FF0" w:rsidRPr="009265C0">
        <w:rPr>
          <w:bCs/>
          <w:lang w:val="en-US"/>
        </w:rPr>
        <w:t>REP</w:t>
      </w:r>
      <w:r w:rsidR="00535FF0" w:rsidRPr="00535FF0">
        <w:rPr>
          <w:bCs/>
          <w:lang w:val="ru-RU"/>
        </w:rPr>
        <w:t>/2011/15)</w:t>
      </w:r>
      <w:r w:rsidR="00535FF0">
        <w:rPr>
          <w:bCs/>
          <w:lang w:val="ru-RU"/>
        </w:rPr>
        <w:t xml:space="preserve">, нашедших отражение в Системе подотчетности. </w:t>
      </w:r>
      <w:r w:rsidR="004C566D">
        <w:rPr>
          <w:bCs/>
          <w:lang w:val="ru-RU"/>
        </w:rPr>
        <w:t xml:space="preserve">Дальнейшие результаты этих консультаций будут учтены в новой системе. </w:t>
      </w:r>
    </w:p>
    <w:p w14:paraId="180A349F" w14:textId="7C3E4834" w:rsidR="004C566D" w:rsidRPr="004C566D" w:rsidRDefault="009265C0" w:rsidP="009265C0">
      <w:pPr>
        <w:rPr>
          <w:bCs/>
          <w:lang w:val="ru-RU"/>
        </w:rPr>
      </w:pPr>
      <w:r w:rsidRPr="004C566D">
        <w:rPr>
          <w:bCs/>
          <w:lang w:val="ru-RU"/>
        </w:rPr>
        <w:t>10.7</w:t>
      </w:r>
      <w:r w:rsidRPr="004C566D">
        <w:rPr>
          <w:bCs/>
          <w:lang w:val="ru-RU"/>
        </w:rPr>
        <w:tab/>
      </w:r>
      <w:r w:rsidR="004C566D">
        <w:rPr>
          <w:bCs/>
          <w:lang w:val="ru-RU"/>
        </w:rPr>
        <w:t xml:space="preserve">В свете вышеизложенного Председатель отметила, что </w:t>
      </w:r>
      <w:r w:rsidR="004C566D" w:rsidRPr="00163981">
        <w:rPr>
          <w:bCs/>
          <w:lang w:val="ru-RU"/>
        </w:rPr>
        <w:t xml:space="preserve">новая </w:t>
      </w:r>
      <w:r w:rsidR="00163981" w:rsidRPr="00163981">
        <w:rPr>
          <w:bCs/>
          <w:lang w:val="ru-RU"/>
        </w:rPr>
        <w:t xml:space="preserve">Модель </w:t>
      </w:r>
      <w:r w:rsidR="004C566D" w:rsidRPr="00163981">
        <w:rPr>
          <w:bCs/>
          <w:lang w:val="ru-RU"/>
        </w:rPr>
        <w:t xml:space="preserve">и </w:t>
      </w:r>
      <w:r w:rsidR="00163981" w:rsidRPr="00163981">
        <w:rPr>
          <w:bCs/>
          <w:lang w:val="ru-RU"/>
        </w:rPr>
        <w:t xml:space="preserve">Система </w:t>
      </w:r>
      <w:r w:rsidR="004C566D" w:rsidRPr="00163981">
        <w:rPr>
          <w:bCs/>
          <w:lang w:val="ru-RU"/>
        </w:rPr>
        <w:t>подотчетности МСЭ будут представлены</w:t>
      </w:r>
      <w:r w:rsidR="004C566D">
        <w:rPr>
          <w:bCs/>
          <w:lang w:val="ru-RU"/>
        </w:rPr>
        <w:t xml:space="preserve"> на утверждение сессии Совета 2022 года и </w:t>
      </w:r>
      <w:r w:rsidR="0028428A">
        <w:rPr>
          <w:bCs/>
          <w:lang w:val="ru-RU"/>
        </w:rPr>
        <w:t>преобразованы в</w:t>
      </w:r>
      <w:r w:rsidR="00AF3A11">
        <w:rPr>
          <w:bCs/>
          <w:lang w:val="ru-RU"/>
        </w:rPr>
        <w:t xml:space="preserve"> служебн</w:t>
      </w:r>
      <w:r w:rsidR="0028428A">
        <w:rPr>
          <w:bCs/>
          <w:lang w:val="ru-RU"/>
        </w:rPr>
        <w:t>ый приказ</w:t>
      </w:r>
      <w:r w:rsidR="00AF3A11">
        <w:rPr>
          <w:bCs/>
          <w:lang w:val="ru-RU"/>
        </w:rPr>
        <w:t xml:space="preserve">. </w:t>
      </w:r>
    </w:p>
    <w:p w14:paraId="089031C8" w14:textId="54F8BD44" w:rsidR="00244955" w:rsidRPr="009E4598" w:rsidRDefault="00244955" w:rsidP="00244955">
      <w:pPr>
        <w:pStyle w:val="Heading1"/>
        <w:rPr>
          <w:u w:val="single"/>
          <w:lang w:val="ru-RU"/>
        </w:rPr>
      </w:pPr>
      <w:r w:rsidRPr="009E4598">
        <w:rPr>
          <w:lang w:val="ru-RU"/>
        </w:rPr>
        <w:t>11</w:t>
      </w:r>
      <w:r w:rsidRPr="009E4598">
        <w:rPr>
          <w:lang w:val="ru-RU"/>
        </w:rPr>
        <w:tab/>
      </w:r>
      <w:r w:rsidR="009E4598">
        <w:rPr>
          <w:lang w:val="ru-RU"/>
        </w:rPr>
        <w:t xml:space="preserve">Руководящие указания относительно взносов в натуральной форме </w:t>
      </w:r>
      <w:r w:rsidRPr="009E4598">
        <w:rPr>
          <w:lang w:val="ru-RU"/>
        </w:rPr>
        <w:t>(</w:t>
      </w:r>
      <w:r>
        <w:rPr>
          <w:lang w:val="ru-RU"/>
        </w:rPr>
        <w:t>Документы</w:t>
      </w:r>
      <w:r w:rsidRPr="009E4598">
        <w:rPr>
          <w:lang w:val="ru-RU"/>
        </w:rPr>
        <w:t xml:space="preserve"> </w:t>
      </w:r>
      <w:hyperlink r:id="rId27" w:history="1">
        <w:r w:rsidRPr="00244955">
          <w:rPr>
            <w:rStyle w:val="Hyperlink"/>
            <w:bCs/>
            <w:lang w:val="en-US"/>
          </w:rPr>
          <w:t>CWG</w:t>
        </w:r>
        <w:r w:rsidRPr="009E4598">
          <w:rPr>
            <w:rStyle w:val="Hyperlink"/>
            <w:bCs/>
            <w:lang w:val="ru-RU"/>
          </w:rPr>
          <w:t>-</w:t>
        </w:r>
        <w:r w:rsidRPr="00244955">
          <w:rPr>
            <w:rStyle w:val="Hyperlink"/>
            <w:bCs/>
            <w:lang w:val="en-US"/>
          </w:rPr>
          <w:t>FHR</w:t>
        </w:r>
        <w:r w:rsidRPr="009E4598">
          <w:rPr>
            <w:rStyle w:val="Hyperlink"/>
            <w:bCs/>
            <w:lang w:val="ru-RU"/>
          </w:rPr>
          <w:t xml:space="preserve"> 14/3</w:t>
        </w:r>
      </w:hyperlink>
      <w:r w:rsidRPr="009E4598">
        <w:rPr>
          <w:lang w:val="ru-RU"/>
        </w:rPr>
        <w:t xml:space="preserve"> </w:t>
      </w:r>
      <w:r>
        <w:rPr>
          <w:lang w:val="ru-RU"/>
        </w:rPr>
        <w:t>и</w:t>
      </w:r>
      <w:r w:rsidRPr="009E4598">
        <w:rPr>
          <w:lang w:val="ru-RU"/>
        </w:rPr>
        <w:t xml:space="preserve"> </w:t>
      </w:r>
      <w:hyperlink r:id="rId28" w:history="1">
        <w:r w:rsidRPr="00244955">
          <w:rPr>
            <w:rStyle w:val="Hyperlink"/>
            <w:bCs/>
            <w:lang w:val="en-US"/>
          </w:rPr>
          <w:t>CWG</w:t>
        </w:r>
        <w:r w:rsidRPr="009E4598">
          <w:rPr>
            <w:rStyle w:val="Hyperlink"/>
            <w:bCs/>
            <w:lang w:val="ru-RU"/>
          </w:rPr>
          <w:t>-</w:t>
        </w:r>
        <w:r w:rsidRPr="00244955">
          <w:rPr>
            <w:rStyle w:val="Hyperlink"/>
            <w:bCs/>
            <w:lang w:val="en-US"/>
          </w:rPr>
          <w:t>FHR</w:t>
        </w:r>
        <w:r w:rsidRPr="009E4598">
          <w:rPr>
            <w:rStyle w:val="Hyperlink"/>
            <w:bCs/>
            <w:lang w:val="ru-RU"/>
          </w:rPr>
          <w:t>-</w:t>
        </w:r>
        <w:r w:rsidRPr="009E4598">
          <w:rPr>
            <w:rStyle w:val="Hyperlink"/>
            <w:lang w:val="ru-RU"/>
          </w:rPr>
          <w:t>15/4</w:t>
        </w:r>
      </w:hyperlink>
      <w:r w:rsidR="002B6316" w:rsidRPr="009E4598">
        <w:rPr>
          <w:rFonts w:eastAsiaTheme="minorHAnsi"/>
          <w:lang w:val="ru-RU"/>
        </w:rPr>
        <w:t>)</w:t>
      </w:r>
      <w:r w:rsidRPr="009E4598">
        <w:rPr>
          <w:lang w:val="ru-RU"/>
        </w:rPr>
        <w:t xml:space="preserve"> </w:t>
      </w:r>
      <w:r w:rsidR="00CA0875">
        <w:rPr>
          <w:lang w:val="ru-RU"/>
        </w:rPr>
        <w:t xml:space="preserve">и </w:t>
      </w:r>
      <w:r w:rsidR="006A08F3" w:rsidRPr="006A08F3">
        <w:rPr>
          <w:lang w:val="ru-RU"/>
        </w:rPr>
        <w:t xml:space="preserve">Поправки </w:t>
      </w:r>
      <w:r w:rsidR="00CA0875" w:rsidRPr="006A08F3">
        <w:rPr>
          <w:lang w:val="ru-RU"/>
        </w:rPr>
        <w:t>к</w:t>
      </w:r>
      <w:r w:rsidR="00CA0875" w:rsidRPr="00CA0875">
        <w:rPr>
          <w:lang w:val="ru-RU"/>
        </w:rPr>
        <w:t xml:space="preserve"> Финансовому регламенту и Финансовым правилам</w:t>
      </w:r>
      <w:r w:rsidR="00C33A4C" w:rsidRPr="00C33A4C">
        <w:rPr>
          <w:lang w:val="ru-RU"/>
        </w:rPr>
        <w:t xml:space="preserve"> </w:t>
      </w:r>
      <w:r w:rsidRPr="009E4598">
        <w:rPr>
          <w:lang w:val="ru-RU"/>
        </w:rPr>
        <w:t>(</w:t>
      </w:r>
      <w:r>
        <w:rPr>
          <w:lang w:val="ru-RU"/>
        </w:rPr>
        <w:t>Документы</w:t>
      </w:r>
      <w:r w:rsidRPr="009E4598">
        <w:rPr>
          <w:lang w:val="ru-RU"/>
        </w:rPr>
        <w:t xml:space="preserve"> </w:t>
      </w:r>
      <w:hyperlink r:id="rId29" w:history="1">
        <w:r w:rsidRPr="00244955">
          <w:rPr>
            <w:rStyle w:val="Hyperlink"/>
            <w:bCs/>
            <w:lang w:val="en-US"/>
          </w:rPr>
          <w:t>CWG</w:t>
        </w:r>
        <w:r w:rsidRPr="009E4598">
          <w:rPr>
            <w:rStyle w:val="Hyperlink"/>
            <w:bCs/>
            <w:lang w:val="ru-RU"/>
          </w:rPr>
          <w:t>-</w:t>
        </w:r>
        <w:r w:rsidRPr="00244955">
          <w:rPr>
            <w:rStyle w:val="Hyperlink"/>
            <w:bCs/>
            <w:lang w:val="en-US"/>
          </w:rPr>
          <w:t>FHR</w:t>
        </w:r>
        <w:r w:rsidRPr="009E4598">
          <w:rPr>
            <w:rStyle w:val="Hyperlink"/>
            <w:bCs/>
            <w:lang w:val="ru-RU"/>
          </w:rPr>
          <w:t xml:space="preserve"> 14/4</w:t>
        </w:r>
      </w:hyperlink>
      <w:r w:rsidRPr="009E4598">
        <w:rPr>
          <w:lang w:val="ru-RU"/>
        </w:rPr>
        <w:t xml:space="preserve"> </w:t>
      </w:r>
      <w:r>
        <w:rPr>
          <w:lang w:val="ru-RU"/>
        </w:rPr>
        <w:t>и</w:t>
      </w:r>
      <w:r w:rsidRPr="009E4598">
        <w:rPr>
          <w:lang w:val="ru-RU"/>
        </w:rPr>
        <w:t xml:space="preserve"> </w:t>
      </w:r>
      <w:hyperlink r:id="rId30" w:history="1">
        <w:r w:rsidRPr="00244955">
          <w:rPr>
            <w:rStyle w:val="Hyperlink"/>
            <w:bCs/>
            <w:lang w:val="en-US"/>
          </w:rPr>
          <w:t>CWG</w:t>
        </w:r>
        <w:r w:rsidR="00C33A4C">
          <w:rPr>
            <w:rStyle w:val="Hyperlink"/>
            <w:bCs/>
            <w:lang w:val="ru-RU"/>
          </w:rPr>
          <w:noBreakHyphen/>
        </w:r>
        <w:r w:rsidRPr="00244955">
          <w:rPr>
            <w:rStyle w:val="Hyperlink"/>
            <w:bCs/>
            <w:lang w:val="en-US"/>
          </w:rPr>
          <w:t>FHR</w:t>
        </w:r>
        <w:r w:rsidR="00C33A4C">
          <w:rPr>
            <w:rStyle w:val="Hyperlink"/>
            <w:bCs/>
            <w:lang w:val="ru-RU"/>
          </w:rPr>
          <w:noBreakHyphen/>
        </w:r>
        <w:r w:rsidRPr="009E4598">
          <w:rPr>
            <w:rStyle w:val="Hyperlink"/>
            <w:lang w:val="ru-RU"/>
          </w:rPr>
          <w:t>15/6</w:t>
        </w:r>
      </w:hyperlink>
      <w:r w:rsidR="002B6316" w:rsidRPr="009E4598">
        <w:rPr>
          <w:rFonts w:eastAsiaTheme="minorHAnsi"/>
          <w:lang w:val="ru-RU"/>
        </w:rPr>
        <w:t>)</w:t>
      </w:r>
    </w:p>
    <w:p w14:paraId="583B767A" w14:textId="0B2F04EB" w:rsidR="00A050A0" w:rsidRPr="00A050A0" w:rsidRDefault="00244955" w:rsidP="00244955">
      <w:pPr>
        <w:rPr>
          <w:lang w:val="ru-RU"/>
        </w:rPr>
      </w:pPr>
      <w:r w:rsidRPr="00CA0875">
        <w:rPr>
          <w:bCs/>
          <w:lang w:val="ru-RU"/>
        </w:rPr>
        <w:t>11.1</w:t>
      </w:r>
      <w:r w:rsidRPr="00CA0875">
        <w:rPr>
          <w:bCs/>
          <w:lang w:val="ru-RU"/>
        </w:rPr>
        <w:tab/>
      </w:r>
      <w:r w:rsidR="00CA0875">
        <w:rPr>
          <w:bCs/>
          <w:lang w:val="ru-RU"/>
        </w:rPr>
        <w:t xml:space="preserve">Секретариат представил документы, касающиеся руководящих указаний относительно взносов в натуральной форме, </w:t>
      </w:r>
      <w:r w:rsidR="006F2391">
        <w:rPr>
          <w:bCs/>
          <w:lang w:val="ru-RU"/>
        </w:rPr>
        <w:t xml:space="preserve">которые были подготовлены на основе вклада, представленного Российской Федерацией на собрании </w:t>
      </w:r>
      <w:r w:rsidR="006F2391" w:rsidRPr="006F2391">
        <w:rPr>
          <w:bCs/>
          <w:lang w:val="ru-RU"/>
        </w:rPr>
        <w:t>РГС-ФЛР</w:t>
      </w:r>
      <w:r w:rsidR="006F2391">
        <w:rPr>
          <w:bCs/>
          <w:lang w:val="ru-RU"/>
        </w:rPr>
        <w:t xml:space="preserve"> в 2021 году (Документ </w:t>
      </w:r>
      <w:r w:rsidR="006F2391" w:rsidRPr="00244955">
        <w:rPr>
          <w:lang w:val="en-US"/>
        </w:rPr>
        <w:t>CWG</w:t>
      </w:r>
      <w:r w:rsidR="006F2391" w:rsidRPr="006F2391">
        <w:rPr>
          <w:lang w:val="ru-RU"/>
        </w:rPr>
        <w:t>-</w:t>
      </w:r>
      <w:r w:rsidR="006F2391" w:rsidRPr="00244955">
        <w:rPr>
          <w:lang w:val="en-US"/>
        </w:rPr>
        <w:t>FHR</w:t>
      </w:r>
      <w:r w:rsidR="006F2391" w:rsidRPr="006F2391">
        <w:rPr>
          <w:lang w:val="ru-RU"/>
        </w:rPr>
        <w:t>-12/15</w:t>
      </w:r>
      <w:r w:rsidR="006F2391">
        <w:rPr>
          <w:lang w:val="ru-RU"/>
        </w:rPr>
        <w:t>)</w:t>
      </w:r>
      <w:r w:rsidR="00407A39">
        <w:rPr>
          <w:lang w:val="ru-RU"/>
        </w:rPr>
        <w:t>,</w:t>
      </w:r>
      <w:r w:rsidR="006F2391">
        <w:rPr>
          <w:lang w:val="ru-RU"/>
        </w:rPr>
        <w:t xml:space="preserve"> и в соответствии с кратким отчетом о 12-й сессии </w:t>
      </w:r>
      <w:r w:rsidR="006F2391" w:rsidRPr="006F2391">
        <w:rPr>
          <w:bCs/>
          <w:lang w:val="ru-RU"/>
        </w:rPr>
        <w:t>РГС-ФЛР</w:t>
      </w:r>
      <w:r w:rsidR="006F2391">
        <w:rPr>
          <w:bCs/>
          <w:lang w:val="ru-RU"/>
        </w:rPr>
        <w:t xml:space="preserve"> (Документ </w:t>
      </w:r>
      <w:r w:rsidR="006F2391" w:rsidRPr="00244955">
        <w:rPr>
          <w:lang w:val="en-US"/>
        </w:rPr>
        <w:t>CWG</w:t>
      </w:r>
      <w:r w:rsidR="006F2391" w:rsidRPr="006F2391">
        <w:rPr>
          <w:lang w:val="ru-RU"/>
        </w:rPr>
        <w:t>-</w:t>
      </w:r>
      <w:r w:rsidR="006F2391" w:rsidRPr="00244955">
        <w:rPr>
          <w:lang w:val="en-US"/>
        </w:rPr>
        <w:t>FHR</w:t>
      </w:r>
      <w:r w:rsidR="006F2391" w:rsidRPr="006F2391">
        <w:rPr>
          <w:lang w:val="ru-RU"/>
        </w:rPr>
        <w:t>-12/17</w:t>
      </w:r>
      <w:r w:rsidR="006F2391">
        <w:rPr>
          <w:lang w:val="ru-RU"/>
        </w:rPr>
        <w:t xml:space="preserve">), в котором </w:t>
      </w:r>
      <w:r w:rsidR="00407A39">
        <w:rPr>
          <w:lang w:val="ru-RU"/>
        </w:rPr>
        <w:t xml:space="preserve">изложены достигнутые на этой сессии договоренности, в частности о том, </w:t>
      </w:r>
      <w:r w:rsidRPr="00244955">
        <w:rPr>
          <w:lang w:val="ru-RU"/>
        </w:rPr>
        <w:t>что</w:t>
      </w:r>
      <w:r w:rsidRPr="00407A39">
        <w:rPr>
          <w:lang w:val="ru-RU"/>
        </w:rPr>
        <w:t xml:space="preserve"> </w:t>
      </w:r>
      <w:r w:rsidRPr="00244955">
        <w:rPr>
          <w:lang w:val="ru-RU"/>
        </w:rPr>
        <w:t>Российская</w:t>
      </w:r>
      <w:r w:rsidRPr="00407A39">
        <w:rPr>
          <w:lang w:val="ru-RU"/>
        </w:rPr>
        <w:t xml:space="preserve"> </w:t>
      </w:r>
      <w:r w:rsidRPr="00244955">
        <w:rPr>
          <w:lang w:val="ru-RU"/>
        </w:rPr>
        <w:t>Федерация</w:t>
      </w:r>
      <w:r w:rsidRPr="00407A39">
        <w:rPr>
          <w:lang w:val="ru-RU"/>
        </w:rPr>
        <w:t xml:space="preserve"> </w:t>
      </w:r>
      <w:r w:rsidRPr="00244955">
        <w:rPr>
          <w:lang w:val="ru-RU"/>
        </w:rPr>
        <w:t>и</w:t>
      </w:r>
      <w:r w:rsidRPr="00407A39">
        <w:rPr>
          <w:lang w:val="ru-RU"/>
        </w:rPr>
        <w:t xml:space="preserve"> </w:t>
      </w:r>
      <w:r w:rsidRPr="00244955">
        <w:rPr>
          <w:lang w:val="ru-RU"/>
        </w:rPr>
        <w:t>Секретариат</w:t>
      </w:r>
      <w:r w:rsidRPr="00407A39">
        <w:rPr>
          <w:lang w:val="ru-RU"/>
        </w:rPr>
        <w:t xml:space="preserve"> </w:t>
      </w:r>
      <w:r w:rsidR="00407A39">
        <w:rPr>
          <w:lang w:val="ru-RU"/>
        </w:rPr>
        <w:t>проведут совместную работу</w:t>
      </w:r>
      <w:r w:rsidRPr="00407A39">
        <w:rPr>
          <w:lang w:val="ru-RU"/>
        </w:rPr>
        <w:t xml:space="preserve"> </w:t>
      </w:r>
      <w:r w:rsidR="00407A39">
        <w:rPr>
          <w:lang w:val="ru-RU"/>
        </w:rPr>
        <w:t>по</w:t>
      </w:r>
      <w:r w:rsidRPr="00407A39">
        <w:rPr>
          <w:lang w:val="ru-RU"/>
        </w:rPr>
        <w:t xml:space="preserve"> </w:t>
      </w:r>
      <w:r w:rsidRPr="00244955">
        <w:rPr>
          <w:lang w:val="ru-RU"/>
        </w:rPr>
        <w:t>создани</w:t>
      </w:r>
      <w:r w:rsidR="00407A39">
        <w:rPr>
          <w:lang w:val="ru-RU"/>
        </w:rPr>
        <w:t>ю</w:t>
      </w:r>
      <w:r w:rsidRPr="00407A39">
        <w:rPr>
          <w:lang w:val="ru-RU"/>
        </w:rPr>
        <w:t xml:space="preserve"> </w:t>
      </w:r>
      <w:r w:rsidRPr="00244955">
        <w:rPr>
          <w:lang w:val="ru-RU"/>
        </w:rPr>
        <w:t>методики</w:t>
      </w:r>
      <w:r w:rsidRPr="00407A39">
        <w:rPr>
          <w:lang w:val="ru-RU"/>
        </w:rPr>
        <w:t xml:space="preserve"> </w:t>
      </w:r>
      <w:r w:rsidRPr="00244955">
        <w:rPr>
          <w:lang w:val="ru-RU"/>
        </w:rPr>
        <w:t>расчета</w:t>
      </w:r>
      <w:r w:rsidRPr="00407A39">
        <w:rPr>
          <w:lang w:val="ru-RU"/>
        </w:rPr>
        <w:t xml:space="preserve"> </w:t>
      </w:r>
      <w:r w:rsidRPr="00244955">
        <w:rPr>
          <w:lang w:val="ru-RU"/>
        </w:rPr>
        <w:t>взносов</w:t>
      </w:r>
      <w:r w:rsidRPr="00407A39">
        <w:rPr>
          <w:lang w:val="ru-RU"/>
        </w:rPr>
        <w:t xml:space="preserve"> </w:t>
      </w:r>
      <w:r w:rsidRPr="00244955">
        <w:rPr>
          <w:lang w:val="ru-RU"/>
        </w:rPr>
        <w:t>в</w:t>
      </w:r>
      <w:r w:rsidRPr="00407A39">
        <w:rPr>
          <w:lang w:val="ru-RU"/>
        </w:rPr>
        <w:t xml:space="preserve"> </w:t>
      </w:r>
      <w:r w:rsidRPr="00244955">
        <w:rPr>
          <w:lang w:val="ru-RU"/>
        </w:rPr>
        <w:t>натуральной</w:t>
      </w:r>
      <w:r w:rsidRPr="00407A39">
        <w:rPr>
          <w:lang w:val="ru-RU"/>
        </w:rPr>
        <w:t xml:space="preserve"> </w:t>
      </w:r>
      <w:r w:rsidR="00407A39">
        <w:rPr>
          <w:lang w:val="ru-RU"/>
        </w:rPr>
        <w:t>форме</w:t>
      </w:r>
      <w:r w:rsidR="00407A39" w:rsidRPr="00407A39">
        <w:rPr>
          <w:lang w:val="ru-RU"/>
        </w:rPr>
        <w:t xml:space="preserve"> </w:t>
      </w:r>
      <w:r w:rsidRPr="00244955">
        <w:rPr>
          <w:lang w:val="ru-RU"/>
        </w:rPr>
        <w:t>и</w:t>
      </w:r>
      <w:r w:rsidRPr="00407A39">
        <w:rPr>
          <w:lang w:val="ru-RU"/>
        </w:rPr>
        <w:t xml:space="preserve"> </w:t>
      </w:r>
      <w:r w:rsidRPr="00244955">
        <w:rPr>
          <w:lang w:val="ru-RU"/>
        </w:rPr>
        <w:t>представят</w:t>
      </w:r>
      <w:r w:rsidRPr="00407A39">
        <w:rPr>
          <w:lang w:val="ru-RU"/>
        </w:rPr>
        <w:t xml:space="preserve"> </w:t>
      </w:r>
      <w:r w:rsidRPr="00244955">
        <w:rPr>
          <w:lang w:val="ru-RU"/>
        </w:rPr>
        <w:t>отчет</w:t>
      </w:r>
      <w:r w:rsidRPr="00407A39">
        <w:rPr>
          <w:lang w:val="ru-RU"/>
        </w:rPr>
        <w:t xml:space="preserve"> </w:t>
      </w:r>
      <w:r w:rsidRPr="00244955">
        <w:rPr>
          <w:lang w:val="ru-RU"/>
        </w:rPr>
        <w:t>следующему</w:t>
      </w:r>
      <w:r w:rsidRPr="00407A39">
        <w:rPr>
          <w:lang w:val="ru-RU"/>
        </w:rPr>
        <w:t xml:space="preserve"> </w:t>
      </w:r>
      <w:r w:rsidRPr="00244955">
        <w:rPr>
          <w:lang w:val="ru-RU"/>
        </w:rPr>
        <w:t>собранию</w:t>
      </w:r>
      <w:r w:rsidRPr="00407A39">
        <w:rPr>
          <w:lang w:val="ru-RU"/>
        </w:rPr>
        <w:t xml:space="preserve"> </w:t>
      </w:r>
      <w:r w:rsidRPr="00244955">
        <w:rPr>
          <w:lang w:val="ru-RU"/>
        </w:rPr>
        <w:t>РГС</w:t>
      </w:r>
      <w:r w:rsidRPr="00A050A0">
        <w:rPr>
          <w:lang w:val="ru-RU"/>
        </w:rPr>
        <w:t>-</w:t>
      </w:r>
      <w:r w:rsidRPr="00244955">
        <w:rPr>
          <w:lang w:val="ru-RU"/>
        </w:rPr>
        <w:t>ФЛР</w:t>
      </w:r>
      <w:r w:rsidRPr="00A050A0">
        <w:rPr>
          <w:lang w:val="ru-RU"/>
        </w:rPr>
        <w:t xml:space="preserve">. </w:t>
      </w:r>
      <w:r w:rsidR="00A050A0">
        <w:rPr>
          <w:lang w:val="ru-RU"/>
        </w:rPr>
        <w:t xml:space="preserve">В случае утверждения этих руководящих указаний Советом Секретариат внесет поправки, отражающие </w:t>
      </w:r>
      <w:r w:rsidR="006A08F3">
        <w:rPr>
          <w:lang w:val="ru-RU"/>
        </w:rPr>
        <w:t xml:space="preserve">данные </w:t>
      </w:r>
      <w:r w:rsidR="00A050A0">
        <w:rPr>
          <w:lang w:val="ru-RU"/>
        </w:rPr>
        <w:t>руководящие указания относительно взносов в натуральной форме, в Приложение 2 к</w:t>
      </w:r>
      <w:r w:rsidR="00A050A0" w:rsidRPr="00A050A0">
        <w:rPr>
          <w:lang w:val="ru-RU"/>
        </w:rPr>
        <w:t xml:space="preserve"> </w:t>
      </w:r>
      <w:r w:rsidR="00A050A0" w:rsidRPr="00CA0875">
        <w:rPr>
          <w:lang w:val="ru-RU"/>
        </w:rPr>
        <w:t>Финансовому регламенту и Финансовым правилам</w:t>
      </w:r>
      <w:r w:rsidR="00A050A0">
        <w:rPr>
          <w:lang w:val="ru-RU"/>
        </w:rPr>
        <w:t xml:space="preserve">. </w:t>
      </w:r>
    </w:p>
    <w:p w14:paraId="0CD6CF82" w14:textId="7C249BD1" w:rsidR="00244955" w:rsidRPr="001E57FC" w:rsidRDefault="00244955" w:rsidP="00244955">
      <w:pPr>
        <w:rPr>
          <w:lang w:val="ru-RU"/>
        </w:rPr>
      </w:pPr>
      <w:r w:rsidRPr="001E57FC">
        <w:rPr>
          <w:bCs/>
          <w:lang w:val="ru-RU"/>
        </w:rPr>
        <w:t>11.2</w:t>
      </w:r>
      <w:r w:rsidRPr="001E57FC">
        <w:rPr>
          <w:bCs/>
          <w:lang w:val="ru-RU"/>
        </w:rPr>
        <w:tab/>
      </w:r>
      <w:r w:rsidR="00A050A0">
        <w:rPr>
          <w:bCs/>
          <w:lang w:val="ru-RU"/>
        </w:rPr>
        <w:t>Взносы в натуральной форме определяются следующим образом</w:t>
      </w:r>
      <w:r w:rsidRPr="001E57FC">
        <w:rPr>
          <w:bCs/>
          <w:lang w:val="ru-RU"/>
        </w:rPr>
        <w:t>:</w:t>
      </w:r>
    </w:p>
    <w:p w14:paraId="27E36573" w14:textId="2F1295F9" w:rsidR="00244955" w:rsidRPr="00F662D0" w:rsidRDefault="00244955" w:rsidP="00244955">
      <w:pPr>
        <w:pStyle w:val="enumlev1"/>
        <w:rPr>
          <w:lang w:val="ru-RU"/>
        </w:rPr>
      </w:pPr>
      <w:r w:rsidRPr="00F662D0">
        <w:rPr>
          <w:lang w:val="ru-RU"/>
        </w:rPr>
        <w:t>•</w:t>
      </w:r>
      <w:r w:rsidRPr="00F662D0">
        <w:rPr>
          <w:lang w:val="ru-RU"/>
        </w:rPr>
        <w:tab/>
      </w:r>
      <w:r w:rsidR="001E57FC">
        <w:rPr>
          <w:lang w:val="ru-RU"/>
        </w:rPr>
        <w:t>неденежные</w:t>
      </w:r>
      <w:r w:rsidR="001E57FC" w:rsidRPr="00F662D0">
        <w:rPr>
          <w:lang w:val="ru-RU"/>
        </w:rPr>
        <w:t xml:space="preserve"> </w:t>
      </w:r>
      <w:r w:rsidR="001E57FC">
        <w:rPr>
          <w:lang w:val="ru-RU"/>
        </w:rPr>
        <w:t>взносы</w:t>
      </w:r>
      <w:r w:rsidRPr="00F662D0">
        <w:rPr>
          <w:lang w:val="ru-RU"/>
        </w:rPr>
        <w:t>;</w:t>
      </w:r>
    </w:p>
    <w:p w14:paraId="59B7C198" w14:textId="6D6F3431" w:rsidR="00244955" w:rsidRPr="0024042A" w:rsidRDefault="00244955" w:rsidP="00244955">
      <w:pPr>
        <w:pStyle w:val="enumlev1"/>
        <w:rPr>
          <w:lang w:val="ru-RU"/>
        </w:rPr>
      </w:pPr>
      <w:r w:rsidRPr="0024042A">
        <w:rPr>
          <w:lang w:val="ru-RU"/>
        </w:rPr>
        <w:t>•</w:t>
      </w:r>
      <w:r w:rsidRPr="0024042A">
        <w:rPr>
          <w:lang w:val="ru-RU"/>
        </w:rPr>
        <w:tab/>
      </w:r>
      <w:r w:rsidR="00C33A4C">
        <w:rPr>
          <w:lang w:val="ru-RU"/>
        </w:rPr>
        <w:t>у</w:t>
      </w:r>
      <w:r w:rsidR="001E57FC">
        <w:rPr>
          <w:lang w:val="ru-RU"/>
        </w:rPr>
        <w:t>слуги</w:t>
      </w:r>
      <w:r w:rsidR="001E57FC" w:rsidRPr="0024042A">
        <w:rPr>
          <w:lang w:val="ru-RU"/>
        </w:rPr>
        <w:t xml:space="preserve">, </w:t>
      </w:r>
      <w:r w:rsidR="001E57FC">
        <w:rPr>
          <w:lang w:val="ru-RU"/>
        </w:rPr>
        <w:t>товары</w:t>
      </w:r>
      <w:r w:rsidR="001E57FC" w:rsidRPr="0024042A">
        <w:rPr>
          <w:lang w:val="ru-RU"/>
        </w:rPr>
        <w:t xml:space="preserve"> </w:t>
      </w:r>
      <w:r w:rsidR="001E57FC">
        <w:rPr>
          <w:lang w:val="ru-RU"/>
        </w:rPr>
        <w:t>и</w:t>
      </w:r>
      <w:r w:rsidR="001E57FC" w:rsidRPr="0024042A">
        <w:rPr>
          <w:lang w:val="ru-RU"/>
        </w:rPr>
        <w:t xml:space="preserve"> </w:t>
      </w:r>
      <w:r w:rsidR="001E57FC">
        <w:rPr>
          <w:lang w:val="ru-RU"/>
        </w:rPr>
        <w:t>активы</w:t>
      </w:r>
      <w:r w:rsidR="001E57FC" w:rsidRPr="0024042A">
        <w:rPr>
          <w:lang w:val="ru-RU"/>
        </w:rPr>
        <w:t xml:space="preserve">, </w:t>
      </w:r>
      <w:r w:rsidR="0024042A">
        <w:rPr>
          <w:lang w:val="ru-RU"/>
        </w:rPr>
        <w:t xml:space="preserve">полученные </w:t>
      </w:r>
      <w:r w:rsidR="006A08F3">
        <w:rPr>
          <w:lang w:val="ru-RU"/>
        </w:rPr>
        <w:t>для</w:t>
      </w:r>
      <w:r w:rsidR="0024042A">
        <w:rPr>
          <w:lang w:val="ru-RU"/>
        </w:rPr>
        <w:t xml:space="preserve"> поддержки деятельности</w:t>
      </w:r>
      <w:r w:rsidR="006A08F3">
        <w:rPr>
          <w:lang w:val="ru-RU"/>
        </w:rPr>
        <w:t xml:space="preserve"> МСЭ</w:t>
      </w:r>
      <w:r w:rsidRPr="0024042A">
        <w:rPr>
          <w:lang w:val="ru-RU"/>
        </w:rPr>
        <w:t>;</w:t>
      </w:r>
    </w:p>
    <w:p w14:paraId="798AD5BB" w14:textId="15BFD74C" w:rsidR="00244955" w:rsidRPr="007B4C26" w:rsidRDefault="00244955" w:rsidP="00244955">
      <w:pPr>
        <w:pStyle w:val="enumlev1"/>
        <w:rPr>
          <w:lang w:val="ru-RU"/>
        </w:rPr>
      </w:pPr>
      <w:r w:rsidRPr="007B4C26">
        <w:rPr>
          <w:lang w:val="ru-RU"/>
        </w:rPr>
        <w:t>•</w:t>
      </w:r>
      <w:r w:rsidRPr="007B4C26">
        <w:rPr>
          <w:lang w:val="ru-RU"/>
        </w:rPr>
        <w:tab/>
      </w:r>
      <w:r w:rsidR="0024042A">
        <w:rPr>
          <w:lang w:val="ru-RU"/>
        </w:rPr>
        <w:t>поддаются измерению и проверке</w:t>
      </w:r>
      <w:r w:rsidRPr="007B4C26">
        <w:rPr>
          <w:lang w:val="ru-RU"/>
        </w:rPr>
        <w:t>;</w:t>
      </w:r>
    </w:p>
    <w:p w14:paraId="5E366E41" w14:textId="20717F08" w:rsidR="00244955" w:rsidRPr="007B4C26" w:rsidRDefault="00244955" w:rsidP="00244955">
      <w:pPr>
        <w:pStyle w:val="enumlev1"/>
        <w:rPr>
          <w:lang w:val="ru-RU"/>
        </w:rPr>
      </w:pPr>
      <w:r w:rsidRPr="007B4C26">
        <w:rPr>
          <w:lang w:val="ru-RU"/>
        </w:rPr>
        <w:lastRenderedPageBreak/>
        <w:t>•</w:t>
      </w:r>
      <w:r w:rsidRPr="007B4C26">
        <w:rPr>
          <w:lang w:val="ru-RU"/>
        </w:rPr>
        <w:tab/>
      </w:r>
      <w:r w:rsidR="007B4C26">
        <w:rPr>
          <w:lang w:val="ru-RU"/>
        </w:rPr>
        <w:t>регистрируются</w:t>
      </w:r>
      <w:r w:rsidR="0024042A">
        <w:rPr>
          <w:lang w:val="ru-RU"/>
        </w:rPr>
        <w:t xml:space="preserve"> и отражаются в отчетности в соответствии со стандартом </w:t>
      </w:r>
      <w:r w:rsidRPr="00244955">
        <w:rPr>
          <w:lang w:val="en-US"/>
        </w:rPr>
        <w:t>IPSAS</w:t>
      </w:r>
      <w:r w:rsidRPr="007B4C26">
        <w:rPr>
          <w:lang w:val="ru-RU"/>
        </w:rPr>
        <w:t xml:space="preserve"> 23;</w:t>
      </w:r>
    </w:p>
    <w:p w14:paraId="69308F40" w14:textId="0FC1AF4D" w:rsidR="00244955" w:rsidRPr="007B4C26" w:rsidRDefault="00244955" w:rsidP="00244955">
      <w:pPr>
        <w:pStyle w:val="enumlev1"/>
        <w:rPr>
          <w:lang w:val="ru-RU"/>
        </w:rPr>
      </w:pPr>
      <w:r w:rsidRPr="007B4C26">
        <w:rPr>
          <w:lang w:val="ru-RU"/>
        </w:rPr>
        <w:t>•</w:t>
      </w:r>
      <w:r w:rsidRPr="007B4C26">
        <w:rPr>
          <w:lang w:val="ru-RU"/>
        </w:rPr>
        <w:tab/>
      </w:r>
      <w:r w:rsidR="007B4C26">
        <w:rPr>
          <w:lang w:val="ru-RU"/>
        </w:rPr>
        <w:t>учитываются</w:t>
      </w:r>
      <w:r w:rsidR="007B4C26" w:rsidRPr="007B4C26">
        <w:rPr>
          <w:lang w:val="ru-RU"/>
        </w:rPr>
        <w:t xml:space="preserve"> </w:t>
      </w:r>
      <w:r w:rsidR="007B4C26">
        <w:rPr>
          <w:lang w:val="ru-RU"/>
        </w:rPr>
        <w:t>как</w:t>
      </w:r>
      <w:r w:rsidR="007B4C26" w:rsidRPr="007B4C26">
        <w:rPr>
          <w:lang w:val="ru-RU"/>
        </w:rPr>
        <w:t xml:space="preserve"> </w:t>
      </w:r>
      <w:r w:rsidR="007B4C26">
        <w:rPr>
          <w:lang w:val="ru-RU"/>
        </w:rPr>
        <w:t>доход</w:t>
      </w:r>
      <w:r w:rsidR="007B4C26" w:rsidRPr="007B4C26">
        <w:rPr>
          <w:lang w:val="ru-RU"/>
        </w:rPr>
        <w:t xml:space="preserve"> </w:t>
      </w:r>
      <w:r w:rsidR="007B4C26">
        <w:rPr>
          <w:lang w:val="ru-RU"/>
        </w:rPr>
        <w:t>и</w:t>
      </w:r>
      <w:r w:rsidR="007B4C26" w:rsidRPr="007B4C26">
        <w:rPr>
          <w:lang w:val="ru-RU"/>
        </w:rPr>
        <w:t xml:space="preserve"> </w:t>
      </w:r>
      <w:r w:rsidR="007B4C26" w:rsidRPr="006A08F3">
        <w:rPr>
          <w:lang w:val="ru-RU"/>
        </w:rPr>
        <w:t>балансируются</w:t>
      </w:r>
      <w:r w:rsidR="007B4C26" w:rsidRPr="007B4C26">
        <w:rPr>
          <w:lang w:val="ru-RU"/>
        </w:rPr>
        <w:t xml:space="preserve"> </w:t>
      </w:r>
      <w:r w:rsidR="007B4C26">
        <w:rPr>
          <w:lang w:val="ru-RU"/>
        </w:rPr>
        <w:t>эквивалентной</w:t>
      </w:r>
      <w:r w:rsidR="007B4C26" w:rsidRPr="007B4C26">
        <w:rPr>
          <w:lang w:val="ru-RU"/>
        </w:rPr>
        <w:t xml:space="preserve"> </w:t>
      </w:r>
      <w:r w:rsidR="007B4C26">
        <w:rPr>
          <w:lang w:val="ru-RU"/>
        </w:rPr>
        <w:t>суммой</w:t>
      </w:r>
      <w:r w:rsidR="007B4C26" w:rsidRPr="007B4C26">
        <w:rPr>
          <w:lang w:val="ru-RU"/>
        </w:rPr>
        <w:t xml:space="preserve"> </w:t>
      </w:r>
      <w:r w:rsidR="007B4C26">
        <w:rPr>
          <w:lang w:val="ru-RU"/>
        </w:rPr>
        <w:t>в</w:t>
      </w:r>
      <w:r w:rsidR="007B4C26" w:rsidRPr="007B4C26">
        <w:rPr>
          <w:lang w:val="ru-RU"/>
        </w:rPr>
        <w:t xml:space="preserve"> </w:t>
      </w:r>
      <w:r w:rsidR="007B4C26">
        <w:rPr>
          <w:lang w:val="ru-RU"/>
        </w:rPr>
        <w:t>качестве</w:t>
      </w:r>
      <w:r w:rsidR="007B4C26" w:rsidRPr="007B4C26">
        <w:rPr>
          <w:lang w:val="ru-RU"/>
        </w:rPr>
        <w:t xml:space="preserve"> </w:t>
      </w:r>
      <w:r w:rsidR="007B4C26">
        <w:rPr>
          <w:lang w:val="ru-RU"/>
        </w:rPr>
        <w:t>расхода;</w:t>
      </w:r>
    </w:p>
    <w:p w14:paraId="06F469B6" w14:textId="753A8B58" w:rsidR="00244955" w:rsidRPr="00772C9E" w:rsidRDefault="00244955" w:rsidP="00244955">
      <w:pPr>
        <w:pStyle w:val="enumlev1"/>
        <w:rPr>
          <w:lang w:val="ru-RU"/>
        </w:rPr>
      </w:pPr>
      <w:r w:rsidRPr="00772C9E">
        <w:rPr>
          <w:lang w:val="ru-RU"/>
        </w:rPr>
        <w:t>•</w:t>
      </w:r>
      <w:r w:rsidRPr="00772C9E">
        <w:rPr>
          <w:lang w:val="ru-RU"/>
        </w:rPr>
        <w:tab/>
      </w:r>
      <w:r w:rsidR="007B4C26">
        <w:rPr>
          <w:lang w:val="ru-RU"/>
        </w:rPr>
        <w:t>подпадают</w:t>
      </w:r>
      <w:r w:rsidR="007B4C26" w:rsidRPr="00772C9E">
        <w:rPr>
          <w:lang w:val="ru-RU"/>
        </w:rPr>
        <w:t xml:space="preserve"> </w:t>
      </w:r>
      <w:r w:rsidR="007B4C26">
        <w:rPr>
          <w:lang w:val="ru-RU"/>
        </w:rPr>
        <w:t>под</w:t>
      </w:r>
      <w:r w:rsidR="007B4C26" w:rsidRPr="00772C9E">
        <w:rPr>
          <w:lang w:val="ru-RU"/>
        </w:rPr>
        <w:t xml:space="preserve"> </w:t>
      </w:r>
      <w:r w:rsidR="007B4C26">
        <w:rPr>
          <w:lang w:val="ru-RU"/>
        </w:rPr>
        <w:t>действие</w:t>
      </w:r>
      <w:r w:rsidR="007B4C26" w:rsidRPr="00772C9E">
        <w:rPr>
          <w:lang w:val="ru-RU"/>
        </w:rPr>
        <w:t xml:space="preserve"> </w:t>
      </w:r>
      <w:r w:rsidR="007B4C26">
        <w:rPr>
          <w:lang w:val="ru-RU"/>
        </w:rPr>
        <w:t>правил, регламента, политики и процедур МСЭ</w:t>
      </w:r>
      <w:r w:rsidRPr="00772C9E">
        <w:rPr>
          <w:lang w:val="ru-RU"/>
        </w:rPr>
        <w:t>.</w:t>
      </w:r>
    </w:p>
    <w:p w14:paraId="2F8CA9D0" w14:textId="1A53ACC7" w:rsidR="00772C9E" w:rsidRPr="00772C9E" w:rsidRDefault="00244955" w:rsidP="00244955">
      <w:pPr>
        <w:rPr>
          <w:bCs/>
          <w:lang w:val="ru-RU"/>
        </w:rPr>
      </w:pPr>
      <w:r w:rsidRPr="00244955">
        <w:rPr>
          <w:bCs/>
          <w:lang w:val="de-DE"/>
        </w:rPr>
        <w:t>11.3</w:t>
      </w:r>
      <w:r w:rsidRPr="00244955">
        <w:rPr>
          <w:bCs/>
          <w:lang w:val="de-DE"/>
        </w:rPr>
        <w:tab/>
      </w:r>
      <w:r w:rsidR="00772C9E">
        <w:rPr>
          <w:bCs/>
          <w:lang w:val="ru-RU"/>
        </w:rPr>
        <w:t xml:space="preserve">В документе рассматривается денежная оценка взноса в натуральной форме (услуги в натуральной форме и товары в натуральной форме, стоимость которых ниже и выше </w:t>
      </w:r>
      <w:r w:rsidR="00772C9E" w:rsidRPr="00772C9E">
        <w:rPr>
          <w:bCs/>
          <w:lang w:val="ru-RU"/>
        </w:rPr>
        <w:t>порогово</w:t>
      </w:r>
      <w:r w:rsidR="00772C9E">
        <w:rPr>
          <w:bCs/>
          <w:lang w:val="ru-RU"/>
        </w:rPr>
        <w:t>го</w:t>
      </w:r>
      <w:r w:rsidR="00772C9E" w:rsidRPr="00772C9E">
        <w:rPr>
          <w:bCs/>
          <w:lang w:val="ru-RU"/>
        </w:rPr>
        <w:t xml:space="preserve"> значени</w:t>
      </w:r>
      <w:r w:rsidR="00772C9E">
        <w:rPr>
          <w:bCs/>
          <w:lang w:val="ru-RU"/>
        </w:rPr>
        <w:t xml:space="preserve">я капитализации (5000 швейцарских франков)) и процедура отчетности. </w:t>
      </w:r>
    </w:p>
    <w:p w14:paraId="4981A7A9" w14:textId="263B15A0" w:rsidR="00772C9E" w:rsidRPr="00E15103" w:rsidRDefault="00244955" w:rsidP="00244955">
      <w:pPr>
        <w:rPr>
          <w:bCs/>
          <w:lang w:val="ru-RU"/>
        </w:rPr>
      </w:pPr>
      <w:r w:rsidRPr="00772C9E">
        <w:rPr>
          <w:bCs/>
          <w:lang w:val="ru-RU"/>
        </w:rPr>
        <w:t>11.4</w:t>
      </w:r>
      <w:r w:rsidRPr="00772C9E">
        <w:rPr>
          <w:bCs/>
          <w:lang w:val="ru-RU"/>
        </w:rPr>
        <w:tab/>
      </w:r>
      <w:r w:rsidR="00772C9E">
        <w:rPr>
          <w:bCs/>
          <w:lang w:val="ru-RU"/>
        </w:rPr>
        <w:t xml:space="preserve">Отвечая на вопросы, поступившие от нескольких делегатов, Секретариат отметил, что </w:t>
      </w:r>
      <w:r w:rsidR="00E15103">
        <w:rPr>
          <w:bCs/>
          <w:lang w:val="ru-RU"/>
        </w:rPr>
        <w:t>участники</w:t>
      </w:r>
      <w:r w:rsidR="00772C9E">
        <w:rPr>
          <w:bCs/>
          <w:lang w:val="ru-RU"/>
        </w:rPr>
        <w:t xml:space="preserve"> сессии </w:t>
      </w:r>
      <w:r w:rsidR="00772C9E" w:rsidRPr="00244955">
        <w:rPr>
          <w:lang w:val="ru-RU"/>
        </w:rPr>
        <w:t>РГС</w:t>
      </w:r>
      <w:r w:rsidR="00772C9E" w:rsidRPr="00A050A0">
        <w:rPr>
          <w:lang w:val="ru-RU"/>
        </w:rPr>
        <w:t>-</w:t>
      </w:r>
      <w:r w:rsidR="00772C9E" w:rsidRPr="00244955">
        <w:rPr>
          <w:lang w:val="ru-RU"/>
        </w:rPr>
        <w:t>ФЛР</w:t>
      </w:r>
      <w:r w:rsidR="00772C9E">
        <w:rPr>
          <w:lang w:val="ru-RU"/>
        </w:rPr>
        <w:t xml:space="preserve"> в январе 2021 года</w:t>
      </w:r>
      <w:r w:rsidR="00D43ABC">
        <w:rPr>
          <w:lang w:val="ru-RU"/>
        </w:rPr>
        <w:t xml:space="preserve"> </w:t>
      </w:r>
      <w:r w:rsidR="00E15103">
        <w:rPr>
          <w:lang w:val="ru-RU"/>
        </w:rPr>
        <w:t xml:space="preserve">обратились к нему с просьбой подготовить проект руководящих указаний относительно взносов в натуральной форме в сотрудничестве с Российской Федерацией. Были проведены консультации по вопросу взносов в натуральной форме с другими международными организациями. В декабре 2021 года были получены комментарии от </w:t>
      </w:r>
      <w:r w:rsidR="00E15103" w:rsidRPr="00E15103">
        <w:rPr>
          <w:lang w:val="ru-RU"/>
        </w:rPr>
        <w:t>IMAC и Внешне</w:t>
      </w:r>
      <w:r w:rsidR="00E15103">
        <w:rPr>
          <w:lang w:val="ru-RU"/>
        </w:rPr>
        <w:t>го</w:t>
      </w:r>
      <w:r w:rsidR="00E15103" w:rsidRPr="00E15103">
        <w:rPr>
          <w:lang w:val="ru-RU"/>
        </w:rPr>
        <w:t xml:space="preserve"> аудитор</w:t>
      </w:r>
      <w:r w:rsidR="00E15103">
        <w:rPr>
          <w:lang w:val="ru-RU"/>
        </w:rPr>
        <w:t xml:space="preserve">а, которые отражены в документе. При необходимости Секретариат может добавить в виде приложения к документу результаты обследования, проведенного в марте–мае 2021 года. Секретариат также сообщил делегатам, что в условиях отсутствия активного рынка стоимостную оценку взносов в натуральной форме будет </w:t>
      </w:r>
      <w:r w:rsidR="00ED4CAC">
        <w:rPr>
          <w:lang w:val="ru-RU"/>
        </w:rPr>
        <w:t>осуществлять</w:t>
      </w:r>
      <w:r w:rsidR="00E15103">
        <w:rPr>
          <w:lang w:val="ru-RU"/>
        </w:rPr>
        <w:t xml:space="preserve"> </w:t>
      </w:r>
      <w:r w:rsidR="00E15103" w:rsidRPr="00E15103">
        <w:rPr>
          <w:lang w:val="ru-RU"/>
        </w:rPr>
        <w:t>Департамент управления финансовыми ресурсами</w:t>
      </w:r>
      <w:r w:rsidR="00E15103">
        <w:rPr>
          <w:lang w:val="ru-RU"/>
        </w:rPr>
        <w:t>.</w:t>
      </w:r>
    </w:p>
    <w:p w14:paraId="2FCD4FC6" w14:textId="126C59A6" w:rsidR="000015F0" w:rsidRPr="00F662D0" w:rsidRDefault="00244955" w:rsidP="00244955">
      <w:pPr>
        <w:rPr>
          <w:bCs/>
          <w:lang w:val="ru-RU"/>
        </w:rPr>
      </w:pPr>
      <w:r w:rsidRPr="00A01947">
        <w:rPr>
          <w:bCs/>
          <w:lang w:val="ru-RU"/>
        </w:rPr>
        <w:t>11.5</w:t>
      </w:r>
      <w:r w:rsidRPr="00A01947">
        <w:rPr>
          <w:bCs/>
          <w:lang w:val="ru-RU"/>
        </w:rPr>
        <w:tab/>
      </w:r>
      <w:bookmarkStart w:id="7" w:name="_Hlk92889232"/>
      <w:r w:rsidR="00A01947">
        <w:rPr>
          <w:bCs/>
          <w:lang w:val="ru-RU"/>
        </w:rPr>
        <w:t xml:space="preserve">В ответ на вопрос от </w:t>
      </w:r>
      <w:r w:rsidR="00B93471">
        <w:rPr>
          <w:bCs/>
          <w:lang w:val="ru-RU"/>
        </w:rPr>
        <w:t>еще одного</w:t>
      </w:r>
      <w:r w:rsidR="00A01947">
        <w:rPr>
          <w:bCs/>
          <w:lang w:val="ru-RU"/>
        </w:rPr>
        <w:t xml:space="preserve"> делегата Секретариат пояснил, что по состоянию на декабрь 2021 года </w:t>
      </w:r>
      <w:r w:rsidR="00B93471">
        <w:rPr>
          <w:bCs/>
          <w:lang w:val="ru-RU"/>
        </w:rPr>
        <w:t xml:space="preserve">на условиях прикомандирования (целевой фонд) работает по одному сотруднику </w:t>
      </w:r>
      <w:r w:rsidR="00A01947">
        <w:rPr>
          <w:bCs/>
          <w:lang w:val="ru-RU"/>
        </w:rPr>
        <w:t>в каждом бюро.</w:t>
      </w:r>
      <w:r w:rsidR="00E8737B">
        <w:rPr>
          <w:bCs/>
          <w:lang w:val="ru-RU"/>
        </w:rPr>
        <w:t xml:space="preserve"> Запросы на прикомандирование поступают от Государств-Членов. Секретариат рассматривает эти предложения исходя из потребностей и требований соответствующего Бюро. Период прикомандирования обычно составляет не более трех лет и не предполагает возможности продления. Прикомандированны</w:t>
      </w:r>
      <w:r w:rsidR="000824AC">
        <w:rPr>
          <w:bCs/>
          <w:lang w:val="ru-RU"/>
        </w:rPr>
        <w:t xml:space="preserve">е сотрудники </w:t>
      </w:r>
      <w:r w:rsidR="00E8737B">
        <w:rPr>
          <w:bCs/>
          <w:lang w:val="ru-RU"/>
        </w:rPr>
        <w:t>облада</w:t>
      </w:r>
      <w:r w:rsidR="000824AC">
        <w:rPr>
          <w:bCs/>
          <w:lang w:val="ru-RU"/>
        </w:rPr>
        <w:t>ю</w:t>
      </w:r>
      <w:r w:rsidR="00E8737B">
        <w:rPr>
          <w:bCs/>
          <w:lang w:val="ru-RU"/>
        </w:rPr>
        <w:t>т высоким уровнем технических знаний</w:t>
      </w:r>
      <w:r w:rsidR="000824AC">
        <w:rPr>
          <w:bCs/>
          <w:lang w:val="ru-RU"/>
        </w:rPr>
        <w:t xml:space="preserve"> и ценятся МСЭ. </w:t>
      </w:r>
      <w:r w:rsidR="00F662D0">
        <w:rPr>
          <w:bCs/>
          <w:lang w:val="ru-RU"/>
        </w:rPr>
        <w:t xml:space="preserve">Если они захотят претендовать на постоянную должность, то они будут рассматриваться как внешние кандидаты, а не внутренние. </w:t>
      </w:r>
    </w:p>
    <w:bookmarkEnd w:id="7"/>
    <w:p w14:paraId="79A5B11F" w14:textId="35A141CF" w:rsidR="00F662D0" w:rsidRPr="00E84984" w:rsidRDefault="00244955" w:rsidP="00244955">
      <w:pPr>
        <w:rPr>
          <w:bCs/>
          <w:lang w:val="ru-RU"/>
        </w:rPr>
      </w:pPr>
      <w:r w:rsidRPr="00F662D0">
        <w:rPr>
          <w:bCs/>
          <w:lang w:val="ru-RU"/>
        </w:rPr>
        <w:t>11.6</w:t>
      </w:r>
      <w:r w:rsidRPr="00F662D0">
        <w:rPr>
          <w:bCs/>
          <w:lang w:val="ru-RU"/>
        </w:rPr>
        <w:tab/>
      </w:r>
      <w:r w:rsidR="00F662D0">
        <w:rPr>
          <w:bCs/>
          <w:lang w:val="ru-RU"/>
        </w:rPr>
        <w:t xml:space="preserve">Один из делегатов высказался в поддержку документа. Однако другой делегат выразил мнение, что документ по руководящим указаниям </w:t>
      </w:r>
      <w:r w:rsidR="001C64CD">
        <w:rPr>
          <w:bCs/>
          <w:lang w:val="ru-RU"/>
        </w:rPr>
        <w:t xml:space="preserve">относительно взносов в натуральной форме не претерпел существенных изменений с момента прошлого собрания и потому </w:t>
      </w:r>
      <w:r w:rsidR="00B93471">
        <w:rPr>
          <w:bCs/>
          <w:lang w:val="ru-RU"/>
        </w:rPr>
        <w:t>вносить изменения</w:t>
      </w:r>
      <w:r w:rsidR="001C64CD">
        <w:rPr>
          <w:bCs/>
          <w:lang w:val="ru-RU"/>
        </w:rPr>
        <w:t xml:space="preserve"> </w:t>
      </w:r>
      <w:r w:rsidR="00E84984">
        <w:rPr>
          <w:bCs/>
          <w:lang w:val="ru-RU"/>
        </w:rPr>
        <w:t xml:space="preserve">в </w:t>
      </w:r>
      <w:r w:rsidR="00E84984" w:rsidRPr="00E84984">
        <w:rPr>
          <w:bCs/>
          <w:lang w:val="ru-RU"/>
        </w:rPr>
        <w:t>Финансов</w:t>
      </w:r>
      <w:r w:rsidR="00B93471">
        <w:rPr>
          <w:bCs/>
          <w:lang w:val="ru-RU"/>
        </w:rPr>
        <w:t>ы</w:t>
      </w:r>
      <w:r w:rsidR="002D31B7">
        <w:rPr>
          <w:bCs/>
          <w:lang w:val="ru-RU"/>
        </w:rPr>
        <w:t>й</w:t>
      </w:r>
      <w:r w:rsidR="00B93471">
        <w:rPr>
          <w:bCs/>
          <w:lang w:val="ru-RU"/>
        </w:rPr>
        <w:t xml:space="preserve"> </w:t>
      </w:r>
      <w:r w:rsidR="00E84984" w:rsidRPr="00E84984">
        <w:rPr>
          <w:bCs/>
          <w:lang w:val="ru-RU"/>
        </w:rPr>
        <w:t>регламент и Финансовы</w:t>
      </w:r>
      <w:r w:rsidR="00B93471">
        <w:rPr>
          <w:bCs/>
          <w:lang w:val="ru-RU"/>
        </w:rPr>
        <w:t>е</w:t>
      </w:r>
      <w:r w:rsidR="00E84984" w:rsidRPr="00E84984">
        <w:rPr>
          <w:bCs/>
          <w:lang w:val="ru-RU"/>
        </w:rPr>
        <w:t xml:space="preserve"> правил</w:t>
      </w:r>
      <w:r w:rsidR="00E84984">
        <w:rPr>
          <w:bCs/>
          <w:lang w:val="ru-RU"/>
        </w:rPr>
        <w:t>а</w:t>
      </w:r>
      <w:r w:rsidR="00B93471">
        <w:rPr>
          <w:bCs/>
          <w:lang w:val="ru-RU"/>
        </w:rPr>
        <w:t xml:space="preserve"> </w:t>
      </w:r>
      <w:r w:rsidR="002D31B7">
        <w:rPr>
          <w:bCs/>
          <w:lang w:val="ru-RU"/>
        </w:rPr>
        <w:t xml:space="preserve">на его основе </w:t>
      </w:r>
      <w:r w:rsidR="00B93471">
        <w:rPr>
          <w:bCs/>
          <w:lang w:val="ru-RU"/>
        </w:rPr>
        <w:t>еще рано</w:t>
      </w:r>
      <w:r w:rsidR="00E84984">
        <w:rPr>
          <w:bCs/>
          <w:lang w:val="ru-RU"/>
        </w:rPr>
        <w:t xml:space="preserve"> (Документ </w:t>
      </w:r>
      <w:r w:rsidR="00E84984" w:rsidRPr="00244955">
        <w:rPr>
          <w:bCs/>
          <w:lang w:val="en-US"/>
        </w:rPr>
        <w:t>CWG</w:t>
      </w:r>
      <w:r w:rsidR="00E84984" w:rsidRPr="00E84984">
        <w:rPr>
          <w:bCs/>
          <w:lang w:val="ru-RU"/>
        </w:rPr>
        <w:t>-</w:t>
      </w:r>
      <w:r w:rsidR="00E84984" w:rsidRPr="00244955">
        <w:rPr>
          <w:bCs/>
          <w:lang w:val="en-US"/>
        </w:rPr>
        <w:t>FHR</w:t>
      </w:r>
      <w:r w:rsidR="00E84984" w:rsidRPr="00E84984">
        <w:rPr>
          <w:bCs/>
          <w:lang w:val="ru-RU"/>
        </w:rPr>
        <w:t xml:space="preserve"> 15/6</w:t>
      </w:r>
      <w:r w:rsidR="00E84984">
        <w:rPr>
          <w:bCs/>
          <w:lang w:val="ru-RU"/>
        </w:rPr>
        <w:t xml:space="preserve">). </w:t>
      </w:r>
    </w:p>
    <w:p w14:paraId="52333B78" w14:textId="484AB0F7" w:rsidR="00D572C0" w:rsidRPr="00D572C0" w:rsidRDefault="00244955" w:rsidP="00244955">
      <w:pPr>
        <w:rPr>
          <w:bCs/>
          <w:lang w:val="ru-RU"/>
        </w:rPr>
      </w:pPr>
      <w:r w:rsidRPr="00D572C0">
        <w:rPr>
          <w:bCs/>
          <w:lang w:val="ru-RU"/>
        </w:rPr>
        <w:t>11.7</w:t>
      </w:r>
      <w:r w:rsidRPr="00D572C0">
        <w:rPr>
          <w:bCs/>
          <w:lang w:val="ru-RU"/>
        </w:rPr>
        <w:tab/>
      </w:r>
      <w:r w:rsidR="00D572C0">
        <w:rPr>
          <w:bCs/>
          <w:lang w:val="ru-RU"/>
        </w:rPr>
        <w:t xml:space="preserve">В свете вышеизложенного Председатель </w:t>
      </w:r>
      <w:r w:rsidR="00482A59">
        <w:rPr>
          <w:bCs/>
          <w:lang w:val="ru-RU"/>
        </w:rPr>
        <w:t>отметила</w:t>
      </w:r>
      <w:r w:rsidR="00D572C0">
        <w:rPr>
          <w:bCs/>
          <w:lang w:val="ru-RU"/>
        </w:rPr>
        <w:t>, что Секретариат предоставит дополнительную информацию по руководящим указаниям относительно взносов в натуральной форме и что необходимо продолжить обсуждения, а также предложить Государствам-Членам представить замечания и предложения по текущему проекту руководящих указаний. Таким</w:t>
      </w:r>
      <w:r w:rsidR="00D572C0" w:rsidRPr="00D572C0">
        <w:rPr>
          <w:bCs/>
          <w:lang w:val="ru-RU"/>
        </w:rPr>
        <w:t xml:space="preserve"> </w:t>
      </w:r>
      <w:r w:rsidR="00D572C0">
        <w:rPr>
          <w:bCs/>
          <w:lang w:val="ru-RU"/>
        </w:rPr>
        <w:t>образом</w:t>
      </w:r>
      <w:r w:rsidR="00D572C0" w:rsidRPr="00D572C0">
        <w:rPr>
          <w:bCs/>
          <w:lang w:val="ru-RU"/>
        </w:rPr>
        <w:t xml:space="preserve">, </w:t>
      </w:r>
      <w:r w:rsidR="00D572C0">
        <w:rPr>
          <w:bCs/>
          <w:lang w:val="ru-RU"/>
        </w:rPr>
        <w:t>Документы</w:t>
      </w:r>
      <w:r w:rsidR="00D572C0" w:rsidRPr="00D572C0">
        <w:rPr>
          <w:bCs/>
          <w:lang w:val="ru-RU"/>
        </w:rPr>
        <w:t xml:space="preserve"> </w:t>
      </w:r>
      <w:hyperlink r:id="rId31" w:history="1">
        <w:r w:rsidR="00D572C0" w:rsidRPr="00663F16">
          <w:rPr>
            <w:bCs/>
            <w:lang w:val="ru-RU"/>
          </w:rPr>
          <w:t>CWG</w:t>
        </w:r>
        <w:r w:rsidR="00D572C0" w:rsidRPr="00B25E8F">
          <w:rPr>
            <w:bCs/>
            <w:lang w:val="ru-RU"/>
          </w:rPr>
          <w:t>-</w:t>
        </w:r>
        <w:r w:rsidR="00D572C0" w:rsidRPr="00663F16">
          <w:rPr>
            <w:bCs/>
            <w:lang w:val="ru-RU"/>
          </w:rPr>
          <w:t>FHR</w:t>
        </w:r>
        <w:r w:rsidR="00D572C0" w:rsidRPr="00B25E8F">
          <w:rPr>
            <w:bCs/>
            <w:lang w:val="ru-RU"/>
          </w:rPr>
          <w:t>-14/4</w:t>
        </w:r>
      </w:hyperlink>
      <w:r w:rsidR="00D572C0" w:rsidRPr="00663F16">
        <w:rPr>
          <w:bCs/>
          <w:lang w:val="ru-RU"/>
        </w:rPr>
        <w:t xml:space="preserve"> и </w:t>
      </w:r>
      <w:hyperlink r:id="rId32" w:history="1">
        <w:r w:rsidR="00D572C0" w:rsidRPr="00663F16">
          <w:rPr>
            <w:bCs/>
            <w:lang w:val="ru-RU"/>
          </w:rPr>
          <w:t>CWG</w:t>
        </w:r>
        <w:r w:rsidR="00D572C0" w:rsidRPr="00B25E8F">
          <w:rPr>
            <w:bCs/>
            <w:lang w:val="ru-RU"/>
          </w:rPr>
          <w:t>-</w:t>
        </w:r>
        <w:r w:rsidR="00D572C0" w:rsidRPr="00663F16">
          <w:rPr>
            <w:bCs/>
            <w:lang w:val="ru-RU"/>
          </w:rPr>
          <w:t>FHR</w:t>
        </w:r>
        <w:r w:rsidR="00D572C0" w:rsidRPr="00B25E8F">
          <w:rPr>
            <w:bCs/>
            <w:lang w:val="ru-RU"/>
          </w:rPr>
          <w:t>-15/6</w:t>
        </w:r>
      </w:hyperlink>
      <w:r w:rsidR="00D572C0" w:rsidRPr="00663F16">
        <w:rPr>
          <w:bCs/>
          <w:lang w:val="ru-RU"/>
        </w:rPr>
        <w:t xml:space="preserve">, </w:t>
      </w:r>
      <w:r w:rsidR="008B3CC4" w:rsidRPr="00663F16">
        <w:rPr>
          <w:bCs/>
          <w:lang w:val="ru-RU"/>
        </w:rPr>
        <w:t>к</w:t>
      </w:r>
      <w:r w:rsidR="00482A59" w:rsidRPr="00663F16">
        <w:rPr>
          <w:bCs/>
          <w:lang w:val="ru-RU"/>
        </w:rPr>
        <w:t>асающиеся</w:t>
      </w:r>
      <w:r w:rsidR="00482A59">
        <w:rPr>
          <w:lang w:val="ru-RU"/>
        </w:rPr>
        <w:t xml:space="preserve"> поправок </w:t>
      </w:r>
      <w:r w:rsidR="00101FC5">
        <w:rPr>
          <w:lang w:val="ru-RU"/>
        </w:rPr>
        <w:t>к</w:t>
      </w:r>
      <w:r w:rsidR="00D572C0">
        <w:rPr>
          <w:lang w:val="ru-RU"/>
        </w:rPr>
        <w:t xml:space="preserve"> </w:t>
      </w:r>
      <w:r w:rsidR="00D572C0" w:rsidRPr="00E84984">
        <w:rPr>
          <w:bCs/>
          <w:lang w:val="ru-RU"/>
        </w:rPr>
        <w:t>Финансов</w:t>
      </w:r>
      <w:r w:rsidR="00101FC5">
        <w:rPr>
          <w:bCs/>
          <w:lang w:val="ru-RU"/>
        </w:rPr>
        <w:t>ому</w:t>
      </w:r>
      <w:r w:rsidR="008B3CC4">
        <w:rPr>
          <w:bCs/>
          <w:lang w:val="ru-RU"/>
        </w:rPr>
        <w:t xml:space="preserve"> </w:t>
      </w:r>
      <w:r w:rsidR="00D572C0" w:rsidRPr="00E84984">
        <w:rPr>
          <w:bCs/>
          <w:lang w:val="ru-RU"/>
        </w:rPr>
        <w:t>регламент</w:t>
      </w:r>
      <w:r w:rsidR="00101FC5">
        <w:rPr>
          <w:bCs/>
          <w:lang w:val="ru-RU"/>
        </w:rPr>
        <w:t>у</w:t>
      </w:r>
      <w:r w:rsidR="00D572C0" w:rsidRPr="00E84984">
        <w:rPr>
          <w:bCs/>
          <w:lang w:val="ru-RU"/>
        </w:rPr>
        <w:t xml:space="preserve"> и Финансовы</w:t>
      </w:r>
      <w:r w:rsidR="00101FC5">
        <w:rPr>
          <w:bCs/>
          <w:lang w:val="ru-RU"/>
        </w:rPr>
        <w:t>м</w:t>
      </w:r>
      <w:r w:rsidR="00D572C0" w:rsidRPr="00E84984">
        <w:rPr>
          <w:bCs/>
          <w:lang w:val="ru-RU"/>
        </w:rPr>
        <w:t xml:space="preserve"> правил</w:t>
      </w:r>
      <w:r w:rsidR="00482A59">
        <w:rPr>
          <w:bCs/>
          <w:lang w:val="ru-RU"/>
        </w:rPr>
        <w:t>а</w:t>
      </w:r>
      <w:r w:rsidR="00101FC5">
        <w:rPr>
          <w:bCs/>
          <w:lang w:val="ru-RU"/>
        </w:rPr>
        <w:t>м</w:t>
      </w:r>
      <w:r w:rsidR="00D572C0">
        <w:rPr>
          <w:bCs/>
          <w:lang w:val="ru-RU"/>
        </w:rPr>
        <w:t xml:space="preserve">, на этих сессиях не обсуждались. </w:t>
      </w:r>
    </w:p>
    <w:p w14:paraId="301D073E" w14:textId="5A572CC2" w:rsidR="00252BB8" w:rsidRPr="002E3CCC" w:rsidRDefault="00252BB8" w:rsidP="006C0DEB">
      <w:pPr>
        <w:pStyle w:val="Heading1"/>
        <w:rPr>
          <w:lang w:val="ru-RU"/>
        </w:rPr>
      </w:pPr>
      <w:r w:rsidRPr="006C0DEB">
        <w:rPr>
          <w:lang w:val="ru-RU"/>
        </w:rPr>
        <w:t>12</w:t>
      </w:r>
      <w:r w:rsidRPr="006C0DEB">
        <w:rPr>
          <w:lang w:val="ru-RU"/>
        </w:rPr>
        <w:tab/>
        <w:t xml:space="preserve">Рассмотрение вопроса о разработке </w:t>
      </w:r>
      <w:r>
        <w:rPr>
          <w:lang w:val="ru-RU"/>
        </w:rPr>
        <w:t xml:space="preserve">первого </w:t>
      </w:r>
      <w:r w:rsidRPr="006C0DEB">
        <w:rPr>
          <w:lang w:val="ru-RU"/>
        </w:rPr>
        <w:t xml:space="preserve">проекта Финансового плана и изменений к Решению </w:t>
      </w:r>
      <w:r w:rsidRPr="002B6316">
        <w:rPr>
          <w:lang w:val="ru-RU"/>
        </w:rPr>
        <w:t>5 (</w:t>
      </w:r>
      <w:r w:rsidRPr="006C0DEB">
        <w:rPr>
          <w:lang w:val="ru-RU"/>
        </w:rPr>
        <w:t>Доходы</w:t>
      </w:r>
      <w:r w:rsidRPr="002B6316">
        <w:rPr>
          <w:lang w:val="ru-RU"/>
        </w:rPr>
        <w:t xml:space="preserve"> </w:t>
      </w:r>
      <w:r w:rsidRPr="006C0DEB">
        <w:rPr>
          <w:lang w:val="ru-RU"/>
        </w:rPr>
        <w:t>и</w:t>
      </w:r>
      <w:r w:rsidRPr="002B6316">
        <w:rPr>
          <w:lang w:val="ru-RU"/>
        </w:rPr>
        <w:t xml:space="preserve"> </w:t>
      </w:r>
      <w:r w:rsidRPr="006C0DEB">
        <w:rPr>
          <w:lang w:val="ru-RU"/>
        </w:rPr>
        <w:t>расходы</w:t>
      </w:r>
      <w:r w:rsidRPr="002B6316">
        <w:rPr>
          <w:lang w:val="ru-RU"/>
        </w:rPr>
        <w:t xml:space="preserve"> </w:t>
      </w:r>
      <w:r w:rsidRPr="006C0DEB">
        <w:rPr>
          <w:lang w:val="ru-RU"/>
        </w:rPr>
        <w:t>Союза</w:t>
      </w:r>
      <w:r w:rsidRPr="002B6316">
        <w:rPr>
          <w:lang w:val="ru-RU"/>
        </w:rPr>
        <w:t xml:space="preserve"> </w:t>
      </w:r>
      <w:r w:rsidRPr="006C0DEB">
        <w:rPr>
          <w:lang w:val="ru-RU"/>
        </w:rPr>
        <w:t>на</w:t>
      </w:r>
      <w:r w:rsidRPr="002B6316">
        <w:rPr>
          <w:lang w:val="ru-RU"/>
        </w:rPr>
        <w:t xml:space="preserve"> </w:t>
      </w:r>
      <w:r w:rsidRPr="006C0DEB">
        <w:rPr>
          <w:lang w:val="ru-RU"/>
        </w:rPr>
        <w:t>период</w:t>
      </w:r>
      <w:r w:rsidRPr="002B6316">
        <w:rPr>
          <w:lang w:val="ru-RU"/>
        </w:rPr>
        <w:t xml:space="preserve"> 2024−2027</w:t>
      </w:r>
      <w:r>
        <w:rPr>
          <w:lang w:val="ru-RU"/>
        </w:rPr>
        <w:t> гг.</w:t>
      </w:r>
      <w:r w:rsidRPr="002B6316">
        <w:rPr>
          <w:lang w:val="ru-RU"/>
        </w:rPr>
        <w:t>)</w:t>
      </w:r>
      <w:r w:rsidR="00FC563E" w:rsidRPr="00FC563E">
        <w:rPr>
          <w:lang w:val="ru-RU"/>
        </w:rPr>
        <w:t xml:space="preserve"> </w:t>
      </w:r>
      <w:r w:rsidRPr="002E3CCC">
        <w:rPr>
          <w:lang w:val="ru-RU"/>
        </w:rPr>
        <w:t>(</w:t>
      </w:r>
      <w:r>
        <w:rPr>
          <w:lang w:val="ru-RU"/>
        </w:rPr>
        <w:t>Документ</w:t>
      </w:r>
      <w:r w:rsidRPr="002E3CCC">
        <w:rPr>
          <w:lang w:val="ru-RU"/>
        </w:rPr>
        <w:t xml:space="preserve"> </w:t>
      </w:r>
      <w:hyperlink r:id="rId33" w:history="1">
        <w:r w:rsidRPr="006C0DEB">
          <w:rPr>
            <w:rStyle w:val="Hyperlink"/>
            <w:bCs/>
            <w:lang w:val="en-US"/>
          </w:rPr>
          <w:t>CWG</w:t>
        </w:r>
        <w:r w:rsidRPr="002E3CCC">
          <w:rPr>
            <w:rStyle w:val="Hyperlink"/>
            <w:bCs/>
            <w:lang w:val="ru-RU"/>
          </w:rPr>
          <w:t>-</w:t>
        </w:r>
        <w:r w:rsidRPr="006C0DEB">
          <w:rPr>
            <w:rStyle w:val="Hyperlink"/>
            <w:bCs/>
            <w:lang w:val="en-US"/>
          </w:rPr>
          <w:t>FHR</w:t>
        </w:r>
        <w:r w:rsidRPr="002E3CCC">
          <w:rPr>
            <w:rStyle w:val="Hyperlink"/>
            <w:bCs/>
            <w:lang w:val="ru-RU"/>
          </w:rPr>
          <w:t>-</w:t>
        </w:r>
        <w:r w:rsidRPr="002E3CCC">
          <w:rPr>
            <w:rStyle w:val="Hyperlink"/>
            <w:lang w:val="ru-RU"/>
          </w:rPr>
          <w:t>15/10</w:t>
        </w:r>
      </w:hyperlink>
      <w:r w:rsidRPr="002E3CCC">
        <w:rPr>
          <w:rFonts w:eastAsiaTheme="minorHAnsi"/>
          <w:lang w:val="ru-RU"/>
        </w:rPr>
        <w:t xml:space="preserve">) </w:t>
      </w:r>
      <w:r>
        <w:rPr>
          <w:rFonts w:eastAsiaTheme="minorHAnsi"/>
          <w:lang w:val="ru-RU"/>
        </w:rPr>
        <w:t>и п</w:t>
      </w:r>
      <w:r w:rsidRPr="002E3CCC">
        <w:rPr>
          <w:rFonts w:eastAsiaTheme="minorHAnsi"/>
          <w:lang w:val="ru-RU"/>
        </w:rPr>
        <w:t>редварительная величина единицы взносов</w:t>
      </w:r>
      <w:r>
        <w:rPr>
          <w:rFonts w:eastAsiaTheme="minorHAnsi"/>
          <w:lang w:val="ru-RU"/>
        </w:rPr>
        <w:t xml:space="preserve"> </w:t>
      </w:r>
      <w:r w:rsidRPr="002E3CCC">
        <w:rPr>
          <w:lang w:val="ru-RU"/>
        </w:rPr>
        <w:t>(</w:t>
      </w:r>
      <w:r>
        <w:rPr>
          <w:lang w:val="ru-RU"/>
        </w:rPr>
        <w:t>Документ</w:t>
      </w:r>
      <w:r w:rsidRPr="002E3CCC">
        <w:rPr>
          <w:lang w:val="ru-RU"/>
        </w:rPr>
        <w:t xml:space="preserve"> </w:t>
      </w:r>
      <w:hyperlink r:id="rId34" w:history="1">
        <w:r w:rsidRPr="006C0DEB">
          <w:rPr>
            <w:rStyle w:val="Hyperlink"/>
            <w:bCs/>
            <w:lang w:val="en-US"/>
          </w:rPr>
          <w:t>CWG</w:t>
        </w:r>
        <w:r w:rsidRPr="002E3CCC">
          <w:rPr>
            <w:rStyle w:val="Hyperlink"/>
            <w:bCs/>
            <w:lang w:val="ru-RU"/>
          </w:rPr>
          <w:t>-</w:t>
        </w:r>
        <w:r w:rsidRPr="006C0DEB">
          <w:rPr>
            <w:rStyle w:val="Hyperlink"/>
            <w:bCs/>
            <w:lang w:val="en-US"/>
          </w:rPr>
          <w:t>FHR</w:t>
        </w:r>
        <w:r w:rsidRPr="002E3CCC">
          <w:rPr>
            <w:rStyle w:val="Hyperlink"/>
            <w:bCs/>
            <w:lang w:val="ru-RU"/>
          </w:rPr>
          <w:t>-</w:t>
        </w:r>
        <w:r w:rsidRPr="002E3CCC">
          <w:rPr>
            <w:rStyle w:val="Hyperlink"/>
            <w:lang w:val="ru-RU"/>
          </w:rPr>
          <w:t>15/11(</w:t>
        </w:r>
        <w:r w:rsidRPr="006C0DEB">
          <w:rPr>
            <w:rStyle w:val="Hyperlink"/>
            <w:lang w:val="en-US"/>
          </w:rPr>
          <w:t>Rev</w:t>
        </w:r>
        <w:r w:rsidRPr="002E3CCC">
          <w:rPr>
            <w:rStyle w:val="Hyperlink"/>
            <w:lang w:val="ru-RU"/>
          </w:rPr>
          <w:t>.1)</w:t>
        </w:r>
      </w:hyperlink>
      <w:r w:rsidRPr="002E3CCC">
        <w:rPr>
          <w:rFonts w:eastAsiaTheme="minorHAnsi"/>
          <w:lang w:val="ru-RU"/>
        </w:rPr>
        <w:t>)</w:t>
      </w:r>
    </w:p>
    <w:p w14:paraId="64ABB415" w14:textId="77777777" w:rsidR="00252BB8" w:rsidRDefault="00252BB8" w:rsidP="00244955">
      <w:pPr>
        <w:rPr>
          <w:lang w:val="ru-RU"/>
        </w:rPr>
      </w:pPr>
      <w:r w:rsidRPr="00E766FC">
        <w:rPr>
          <w:bCs/>
          <w:lang w:val="ru-RU"/>
        </w:rPr>
        <w:t>12.1</w:t>
      </w:r>
      <w:r w:rsidRPr="00E766FC">
        <w:rPr>
          <w:bCs/>
          <w:lang w:val="ru-RU"/>
        </w:rPr>
        <w:tab/>
      </w:r>
      <w:r>
        <w:rPr>
          <w:lang w:val="ru-RU"/>
        </w:rPr>
        <w:t>Секретариат</w:t>
      </w:r>
      <w:r w:rsidRPr="00EA3688">
        <w:rPr>
          <w:lang w:val="ru-RU"/>
        </w:rPr>
        <w:t xml:space="preserve"> </w:t>
      </w:r>
      <w:r>
        <w:rPr>
          <w:lang w:val="ru-RU"/>
        </w:rPr>
        <w:t>представил</w:t>
      </w:r>
      <w:r w:rsidRPr="00EA3688">
        <w:rPr>
          <w:lang w:val="ru-RU"/>
        </w:rPr>
        <w:t xml:space="preserve"> </w:t>
      </w:r>
      <w:r w:rsidRPr="002E3CCC">
        <w:rPr>
          <w:lang w:val="ru-RU"/>
        </w:rPr>
        <w:t>Документ</w:t>
      </w:r>
      <w:r w:rsidRPr="00EA3688">
        <w:rPr>
          <w:lang w:val="ru-RU"/>
        </w:rPr>
        <w:t xml:space="preserve"> </w:t>
      </w:r>
      <w:hyperlink r:id="rId35" w:history="1">
        <w:r w:rsidRPr="00663F16">
          <w:rPr>
            <w:lang w:val="ru-RU"/>
          </w:rPr>
          <w:t>CWG</w:t>
        </w:r>
        <w:r w:rsidRPr="00B25E8F">
          <w:rPr>
            <w:lang w:val="ru-RU"/>
          </w:rPr>
          <w:t>-</w:t>
        </w:r>
        <w:r w:rsidRPr="00663F16">
          <w:rPr>
            <w:lang w:val="ru-RU"/>
          </w:rPr>
          <w:t>FHR</w:t>
        </w:r>
        <w:r w:rsidRPr="00B25E8F">
          <w:rPr>
            <w:lang w:val="ru-RU"/>
          </w:rPr>
          <w:t>-15/10</w:t>
        </w:r>
      </w:hyperlink>
      <w:r>
        <w:rPr>
          <w:lang w:val="ru-RU"/>
        </w:rPr>
        <w:t xml:space="preserve"> по </w:t>
      </w:r>
      <w:r w:rsidRPr="00EA3688">
        <w:rPr>
          <w:lang w:val="ru-RU"/>
        </w:rPr>
        <w:t>перв</w:t>
      </w:r>
      <w:r>
        <w:rPr>
          <w:lang w:val="ru-RU"/>
        </w:rPr>
        <w:t>ому</w:t>
      </w:r>
      <w:r w:rsidRPr="00EA3688">
        <w:rPr>
          <w:lang w:val="ru-RU"/>
        </w:rPr>
        <w:t xml:space="preserve"> проект</w:t>
      </w:r>
      <w:r>
        <w:rPr>
          <w:lang w:val="ru-RU"/>
        </w:rPr>
        <w:t>у</w:t>
      </w:r>
      <w:r w:rsidRPr="00EA3688">
        <w:rPr>
          <w:lang w:val="ru-RU"/>
        </w:rPr>
        <w:t xml:space="preserve"> Финансового плана на</w:t>
      </w:r>
      <w:r>
        <w:rPr>
          <w:lang w:val="ru-RU"/>
        </w:rPr>
        <w:t xml:space="preserve"> </w:t>
      </w:r>
      <w:r w:rsidRPr="00DC7594">
        <w:rPr>
          <w:lang w:val="ru-RU"/>
        </w:rPr>
        <w:t>2024−2027</w:t>
      </w:r>
      <w:r>
        <w:rPr>
          <w:lang w:val="ru-RU"/>
        </w:rPr>
        <w:t xml:space="preserve"> годы, в котором содержится предварительный анализ расхождений между Финансовым планом на </w:t>
      </w:r>
      <w:r w:rsidRPr="00DC7594">
        <w:rPr>
          <w:lang w:val="ru-RU"/>
        </w:rPr>
        <w:t>2020−2023</w:t>
      </w:r>
      <w:r>
        <w:rPr>
          <w:lang w:val="ru-RU"/>
        </w:rPr>
        <w:t xml:space="preserve"> годы и бюджетами на </w:t>
      </w:r>
      <w:r w:rsidRPr="00DC7594">
        <w:rPr>
          <w:lang w:val="ru-RU"/>
        </w:rPr>
        <w:t>2020−2021</w:t>
      </w:r>
      <w:r>
        <w:rPr>
          <w:lang w:val="ru-RU"/>
        </w:rPr>
        <w:t> годы</w:t>
      </w:r>
      <w:r w:rsidRPr="00DC7594">
        <w:rPr>
          <w:lang w:val="ru-RU"/>
        </w:rPr>
        <w:t xml:space="preserve"> </w:t>
      </w:r>
      <w:r>
        <w:rPr>
          <w:lang w:val="ru-RU"/>
        </w:rPr>
        <w:t>и</w:t>
      </w:r>
      <w:r w:rsidRPr="00DC7594">
        <w:rPr>
          <w:lang w:val="ru-RU"/>
        </w:rPr>
        <w:t xml:space="preserve"> 2022−2023</w:t>
      </w:r>
      <w:r>
        <w:rPr>
          <w:lang w:val="ru-RU"/>
        </w:rPr>
        <w:t xml:space="preserve"> годы. Первый проект </w:t>
      </w:r>
      <w:r w:rsidRPr="00DC7594">
        <w:rPr>
          <w:lang w:val="ru-RU"/>
        </w:rPr>
        <w:t>Финансового плана на 2024−2027 годы</w:t>
      </w:r>
      <w:r>
        <w:rPr>
          <w:lang w:val="ru-RU"/>
        </w:rPr>
        <w:t xml:space="preserve"> предусматривает дефицит (доходы минус расходы) в размере 25,4 млн. швейцарских франков. Будут приложены дополнительные усилия для того, чтобы представить Совету 2022 года </w:t>
      </w:r>
      <w:r w:rsidRPr="00951C97">
        <w:rPr>
          <w:lang w:val="ru-RU"/>
        </w:rPr>
        <w:t>сбалансированный проект Финансового плана.</w:t>
      </w:r>
    </w:p>
    <w:p w14:paraId="2A286C50" w14:textId="77777777" w:rsidR="00252BB8" w:rsidRPr="005F7D0E" w:rsidRDefault="00252BB8" w:rsidP="00244955">
      <w:pPr>
        <w:rPr>
          <w:lang w:val="ru-RU"/>
        </w:rPr>
      </w:pPr>
      <w:r w:rsidRPr="005F7D0E">
        <w:rPr>
          <w:bCs/>
          <w:lang w:val="ru-RU"/>
        </w:rPr>
        <w:t>12.2</w:t>
      </w:r>
      <w:r w:rsidRPr="005F7D0E">
        <w:rPr>
          <w:bCs/>
          <w:lang w:val="ru-RU"/>
        </w:rPr>
        <w:tab/>
        <w:t>Финансовый план на 2024−2027</w:t>
      </w:r>
      <w:r w:rsidRPr="005F7D0E">
        <w:rPr>
          <w:bCs/>
          <w:lang w:val="en-US"/>
        </w:rPr>
        <w:t> </w:t>
      </w:r>
      <w:r w:rsidRPr="005F7D0E">
        <w:rPr>
          <w:bCs/>
          <w:lang w:val="ru-RU"/>
        </w:rPr>
        <w:t>годы составлен с учетом следующих аспектов</w:t>
      </w:r>
      <w:r w:rsidRPr="005F7D0E">
        <w:rPr>
          <w:lang w:val="ru-RU"/>
        </w:rPr>
        <w:t>:</w:t>
      </w:r>
    </w:p>
    <w:p w14:paraId="6BCFF501" w14:textId="77777777" w:rsidR="00252BB8" w:rsidRPr="005F7D0E" w:rsidRDefault="00252BB8" w:rsidP="00265A9A">
      <w:pPr>
        <w:pStyle w:val="enumlev1"/>
        <w:rPr>
          <w:lang w:val="ru-RU"/>
        </w:rPr>
      </w:pPr>
      <w:r w:rsidRPr="005F7D0E">
        <w:rPr>
          <w:lang w:val="ru-RU"/>
        </w:rPr>
        <w:lastRenderedPageBreak/>
        <w:t>•</w:t>
      </w:r>
      <w:r w:rsidRPr="005F7D0E">
        <w:rPr>
          <w:lang w:val="ru-RU"/>
        </w:rPr>
        <w:tab/>
        <w:t>финансовая составляющая (на основе структур доходов/расходов, предусмотренных в Финансовом регламенте);</w:t>
      </w:r>
    </w:p>
    <w:p w14:paraId="23F70D31" w14:textId="77777777" w:rsidR="00252BB8" w:rsidRPr="005F7D0E" w:rsidRDefault="00252BB8" w:rsidP="00265A9A">
      <w:pPr>
        <w:pStyle w:val="enumlev1"/>
        <w:rPr>
          <w:lang w:val="ru-RU"/>
        </w:rPr>
      </w:pPr>
      <w:r w:rsidRPr="005F7D0E">
        <w:rPr>
          <w:lang w:val="ru-RU"/>
        </w:rPr>
        <w:t>•</w:t>
      </w:r>
      <w:r w:rsidRPr="005F7D0E">
        <w:rPr>
          <w:lang w:val="ru-RU"/>
        </w:rPr>
        <w:tab/>
        <w:t>ориентированность на результаты (в соответствии со структурой стратегического плана).</w:t>
      </w:r>
    </w:p>
    <w:p w14:paraId="57C1E4F2" w14:textId="77777777" w:rsidR="00252BB8" w:rsidRPr="005F7D0E" w:rsidRDefault="00252BB8" w:rsidP="00244955">
      <w:pPr>
        <w:rPr>
          <w:lang w:val="ru-RU"/>
        </w:rPr>
      </w:pPr>
      <w:r w:rsidRPr="005F7D0E">
        <w:rPr>
          <w:lang w:val="ru-RU"/>
        </w:rPr>
        <w:t>12.3</w:t>
      </w:r>
      <w:r w:rsidRPr="005F7D0E">
        <w:rPr>
          <w:lang w:val="ru-RU"/>
        </w:rPr>
        <w:tab/>
        <w:t xml:space="preserve">При подготовке </w:t>
      </w:r>
      <w:r>
        <w:rPr>
          <w:lang w:val="ru-RU"/>
        </w:rPr>
        <w:t>Ф</w:t>
      </w:r>
      <w:r w:rsidRPr="005F7D0E">
        <w:rPr>
          <w:lang w:val="ru-RU"/>
        </w:rPr>
        <w:t>инансового плана использовались следующие ключевые факторы:</w:t>
      </w:r>
    </w:p>
    <w:p w14:paraId="4478F114" w14:textId="77777777" w:rsidR="00252BB8" w:rsidRPr="00E766FC" w:rsidRDefault="00252BB8" w:rsidP="006C0DEB">
      <w:pPr>
        <w:pStyle w:val="enumlev1"/>
        <w:rPr>
          <w:lang w:val="ru-RU"/>
        </w:rPr>
      </w:pPr>
      <w:r w:rsidRPr="00E766FC">
        <w:rPr>
          <w:lang w:val="ru-RU"/>
        </w:rPr>
        <w:t>•</w:t>
      </w:r>
      <w:r w:rsidRPr="00E766FC">
        <w:rPr>
          <w:lang w:val="ru-RU"/>
        </w:rPr>
        <w:tab/>
        <w:t>стратегическ</w:t>
      </w:r>
      <w:r>
        <w:rPr>
          <w:lang w:val="ru-RU"/>
        </w:rPr>
        <w:t>ий</w:t>
      </w:r>
      <w:r w:rsidRPr="00E766FC">
        <w:rPr>
          <w:lang w:val="ru-RU"/>
        </w:rPr>
        <w:t xml:space="preserve"> план и приоритетны</w:t>
      </w:r>
      <w:r>
        <w:rPr>
          <w:lang w:val="ru-RU"/>
        </w:rPr>
        <w:t>е</w:t>
      </w:r>
      <w:r w:rsidRPr="00E766FC">
        <w:rPr>
          <w:lang w:val="ru-RU"/>
        </w:rPr>
        <w:t xml:space="preserve"> област</w:t>
      </w:r>
      <w:r>
        <w:rPr>
          <w:lang w:val="ru-RU"/>
        </w:rPr>
        <w:t>и;</w:t>
      </w:r>
    </w:p>
    <w:p w14:paraId="6EC56BF2" w14:textId="77777777" w:rsidR="00252BB8" w:rsidRPr="00AE3328" w:rsidRDefault="00252BB8" w:rsidP="006C0DEB">
      <w:pPr>
        <w:pStyle w:val="enumlev1"/>
        <w:rPr>
          <w:lang w:val="ru-RU"/>
        </w:rPr>
      </w:pPr>
      <w:r w:rsidRPr="0083273C">
        <w:rPr>
          <w:lang w:val="ru-RU"/>
        </w:rPr>
        <w:t>•</w:t>
      </w:r>
      <w:r w:rsidRPr="00AE3328">
        <w:rPr>
          <w:lang w:val="ru-RU"/>
        </w:rPr>
        <w:tab/>
        <w:t>величина единицы взносов;</w:t>
      </w:r>
    </w:p>
    <w:p w14:paraId="26CB2165" w14:textId="77777777" w:rsidR="00252BB8" w:rsidRPr="00AE3328" w:rsidRDefault="00252BB8" w:rsidP="006C0DEB">
      <w:pPr>
        <w:pStyle w:val="enumlev1"/>
        <w:rPr>
          <w:lang w:val="ru-RU"/>
        </w:rPr>
      </w:pPr>
      <w:r w:rsidRPr="00AE3328">
        <w:rPr>
          <w:lang w:val="ru-RU"/>
        </w:rPr>
        <w:t>•</w:t>
      </w:r>
      <w:r w:rsidRPr="00AE3328">
        <w:rPr>
          <w:lang w:val="ru-RU"/>
        </w:rPr>
        <w:tab/>
        <w:t>общей уровень доходов за период (предельная величина расходов);</w:t>
      </w:r>
    </w:p>
    <w:p w14:paraId="59CCEA8B" w14:textId="77777777" w:rsidR="00252BB8" w:rsidRPr="00AE3328" w:rsidRDefault="00252BB8" w:rsidP="006C0DEB">
      <w:pPr>
        <w:pStyle w:val="enumlev1"/>
        <w:rPr>
          <w:lang w:val="ru-RU"/>
        </w:rPr>
      </w:pPr>
      <w:r w:rsidRPr="00AE3328">
        <w:rPr>
          <w:lang w:val="ru-RU"/>
        </w:rPr>
        <w:t>•</w:t>
      </w:r>
      <w:r w:rsidRPr="00AE3328">
        <w:rPr>
          <w:lang w:val="ru-RU"/>
        </w:rPr>
        <w:tab/>
        <w:t>программа работы.</w:t>
      </w:r>
    </w:p>
    <w:p w14:paraId="254EC1F2" w14:textId="77777777" w:rsidR="00252BB8" w:rsidRPr="00A90573" w:rsidRDefault="00252BB8" w:rsidP="00244955">
      <w:pPr>
        <w:rPr>
          <w:lang w:val="ru-RU"/>
        </w:rPr>
      </w:pPr>
      <w:r w:rsidRPr="00A90573">
        <w:rPr>
          <w:lang w:val="ru-RU"/>
        </w:rPr>
        <w:t xml:space="preserve">12.4 </w:t>
      </w:r>
      <w:r w:rsidRPr="00A90573">
        <w:rPr>
          <w:lang w:val="ru-RU"/>
        </w:rPr>
        <w:tab/>
      </w:r>
      <w:r>
        <w:rPr>
          <w:lang w:val="ru-RU"/>
        </w:rPr>
        <w:t>В</w:t>
      </w:r>
      <w:r w:rsidRPr="00A90573">
        <w:rPr>
          <w:lang w:val="ru-RU"/>
        </w:rPr>
        <w:t xml:space="preserve"> </w:t>
      </w:r>
      <w:r>
        <w:rPr>
          <w:lang w:val="ru-RU"/>
        </w:rPr>
        <w:t>проекте</w:t>
      </w:r>
      <w:r w:rsidRPr="00A90573">
        <w:rPr>
          <w:lang w:val="ru-RU"/>
        </w:rPr>
        <w:t xml:space="preserve"> </w:t>
      </w:r>
      <w:r>
        <w:rPr>
          <w:lang w:val="ru-RU"/>
        </w:rPr>
        <w:t>Финансового</w:t>
      </w:r>
      <w:r w:rsidRPr="00A90573">
        <w:rPr>
          <w:lang w:val="ru-RU"/>
        </w:rPr>
        <w:t xml:space="preserve"> </w:t>
      </w:r>
      <w:r>
        <w:rPr>
          <w:lang w:val="ru-RU"/>
        </w:rPr>
        <w:t>плана</w:t>
      </w:r>
      <w:r w:rsidRPr="00A90573">
        <w:rPr>
          <w:lang w:val="ru-RU"/>
        </w:rPr>
        <w:t xml:space="preserve"> </w:t>
      </w:r>
      <w:r>
        <w:rPr>
          <w:lang w:val="ru-RU"/>
        </w:rPr>
        <w:t>на</w:t>
      </w:r>
      <w:r w:rsidRPr="00A90573">
        <w:rPr>
          <w:lang w:val="ru-RU"/>
        </w:rPr>
        <w:t xml:space="preserve"> 2024−2027</w:t>
      </w:r>
      <w:r w:rsidRPr="00A90573">
        <w:rPr>
          <w:lang w:val="en-US"/>
        </w:rPr>
        <w:t> </w:t>
      </w:r>
      <w:r>
        <w:rPr>
          <w:lang w:val="ru-RU"/>
        </w:rPr>
        <w:t>годы</w:t>
      </w:r>
      <w:r w:rsidRPr="00A90573">
        <w:rPr>
          <w:lang w:val="ru-RU"/>
        </w:rPr>
        <w:t xml:space="preserve"> </w:t>
      </w:r>
      <w:r>
        <w:rPr>
          <w:lang w:val="ru-RU"/>
        </w:rPr>
        <w:t>учитывались</w:t>
      </w:r>
      <w:r w:rsidRPr="00A90573">
        <w:rPr>
          <w:lang w:val="ru-RU"/>
        </w:rPr>
        <w:t xml:space="preserve"> </w:t>
      </w:r>
      <w:r>
        <w:rPr>
          <w:lang w:val="ru-RU"/>
        </w:rPr>
        <w:t>следующие</w:t>
      </w:r>
      <w:r w:rsidRPr="00A90573">
        <w:rPr>
          <w:lang w:val="ru-RU"/>
        </w:rPr>
        <w:t xml:space="preserve"> </w:t>
      </w:r>
      <w:r>
        <w:rPr>
          <w:lang w:val="ru-RU"/>
        </w:rPr>
        <w:t>основы</w:t>
      </w:r>
      <w:r w:rsidRPr="00A90573">
        <w:rPr>
          <w:lang w:val="ru-RU"/>
        </w:rPr>
        <w:t xml:space="preserve"> </w:t>
      </w:r>
      <w:r>
        <w:rPr>
          <w:lang w:val="ru-RU"/>
        </w:rPr>
        <w:t>и</w:t>
      </w:r>
      <w:r w:rsidRPr="00A90573">
        <w:rPr>
          <w:lang w:val="ru-RU"/>
        </w:rPr>
        <w:t xml:space="preserve"> </w:t>
      </w:r>
      <w:r>
        <w:rPr>
          <w:lang w:val="ru-RU"/>
        </w:rPr>
        <w:t>предположения</w:t>
      </w:r>
      <w:r w:rsidRPr="00A90573">
        <w:rPr>
          <w:lang w:val="ru-RU"/>
        </w:rPr>
        <w:t>:</w:t>
      </w:r>
    </w:p>
    <w:p w14:paraId="59732685" w14:textId="77777777" w:rsidR="00252BB8" w:rsidRPr="00A90573" w:rsidRDefault="00252BB8" w:rsidP="00827A19">
      <w:pPr>
        <w:pStyle w:val="enumlev1"/>
        <w:rPr>
          <w:lang w:val="ru-RU"/>
        </w:rPr>
      </w:pPr>
      <w:r w:rsidRPr="00265A9A">
        <w:rPr>
          <w:lang w:val="ru-RU"/>
        </w:rPr>
        <w:t>•</w:t>
      </w:r>
      <w:r w:rsidRPr="00265A9A">
        <w:rPr>
          <w:lang w:val="ru-RU"/>
        </w:rPr>
        <w:tab/>
      </w:r>
      <w:r>
        <w:rPr>
          <w:lang w:val="ru-RU"/>
        </w:rPr>
        <w:t xml:space="preserve">доходы и расходы по бюджету на </w:t>
      </w:r>
      <w:r w:rsidRPr="00A90573">
        <w:rPr>
          <w:lang w:val="ru-RU"/>
        </w:rPr>
        <w:t>2022−2023</w:t>
      </w:r>
      <w:r>
        <w:rPr>
          <w:lang w:val="ru-RU"/>
        </w:rPr>
        <w:t> годы;</w:t>
      </w:r>
    </w:p>
    <w:p w14:paraId="3199B2B4" w14:textId="77777777" w:rsidR="00252BB8" w:rsidRPr="00244955" w:rsidRDefault="00252BB8" w:rsidP="00827A19">
      <w:pPr>
        <w:pStyle w:val="enumlev1"/>
        <w:rPr>
          <w:lang w:val="de-DE"/>
        </w:rPr>
      </w:pPr>
      <w:r w:rsidRPr="009C021A">
        <w:rPr>
          <w:lang w:val="ru-RU"/>
        </w:rPr>
        <w:t>•</w:t>
      </w:r>
      <w:r w:rsidRPr="009C021A">
        <w:rPr>
          <w:lang w:val="ru-RU"/>
        </w:rPr>
        <w:tab/>
        <w:t>уровень доходов отражает сложившуюся по состоянию на 1 ноября 2021 года ситуацию по начисленным взносам (Государства-Члены, Члены Секторов, Ассоциированные члены и Академические организации);</w:t>
      </w:r>
    </w:p>
    <w:p w14:paraId="70697CED" w14:textId="77777777" w:rsidR="00252BB8" w:rsidRPr="00A90573" w:rsidRDefault="00252BB8" w:rsidP="00827A19">
      <w:pPr>
        <w:pStyle w:val="enumlev1"/>
        <w:rPr>
          <w:lang w:val="ru-RU"/>
        </w:rPr>
      </w:pPr>
      <w:r w:rsidRPr="00A90573">
        <w:rPr>
          <w:lang w:val="ru-RU"/>
        </w:rPr>
        <w:t>•</w:t>
      </w:r>
      <w:r w:rsidRPr="00A90573">
        <w:rPr>
          <w:lang w:val="ru-RU"/>
        </w:rPr>
        <w:tab/>
      </w:r>
      <w:r>
        <w:rPr>
          <w:lang w:val="ru-RU"/>
        </w:rPr>
        <w:t xml:space="preserve">стандартные затраты, использованные для бюджета на </w:t>
      </w:r>
      <w:r w:rsidRPr="00CB75CD">
        <w:rPr>
          <w:lang w:val="ru-RU"/>
        </w:rPr>
        <w:t>2022−2023</w:t>
      </w:r>
      <w:r>
        <w:rPr>
          <w:lang w:val="ru-RU"/>
        </w:rPr>
        <w:t> годы;</w:t>
      </w:r>
    </w:p>
    <w:p w14:paraId="19EA92A0" w14:textId="77777777" w:rsidR="00252BB8" w:rsidRPr="009C021A" w:rsidRDefault="00252BB8" w:rsidP="00827A19">
      <w:pPr>
        <w:pStyle w:val="enumlev1"/>
        <w:rPr>
          <w:lang w:val="de-DE"/>
        </w:rPr>
      </w:pPr>
      <w:r w:rsidRPr="00AE3328">
        <w:rPr>
          <w:lang w:val="ru-RU"/>
        </w:rPr>
        <w:t>•</w:t>
      </w:r>
      <w:r w:rsidRPr="00AE3328">
        <w:rPr>
          <w:lang w:val="ru-RU"/>
        </w:rPr>
        <w:tab/>
      </w:r>
      <w:r w:rsidRPr="009C021A">
        <w:rPr>
          <w:lang w:val="de-DE"/>
        </w:rPr>
        <w:t xml:space="preserve">коэффициент вакантных должностей </w:t>
      </w:r>
      <w:r>
        <w:rPr>
          <w:lang w:val="ru-RU"/>
        </w:rPr>
        <w:t>не</w:t>
      </w:r>
      <w:r w:rsidRPr="009C021A">
        <w:rPr>
          <w:lang w:val="de-DE"/>
        </w:rPr>
        <w:t xml:space="preserve"> </w:t>
      </w:r>
      <w:r>
        <w:rPr>
          <w:lang w:val="ru-RU"/>
        </w:rPr>
        <w:t>применяется</w:t>
      </w:r>
      <w:r w:rsidRPr="009C021A">
        <w:rPr>
          <w:lang w:val="de-DE"/>
        </w:rPr>
        <w:t xml:space="preserve">, </w:t>
      </w:r>
      <w:r>
        <w:rPr>
          <w:lang w:val="ru-RU"/>
        </w:rPr>
        <w:t>поскольку</w:t>
      </w:r>
      <w:r w:rsidRPr="009C021A">
        <w:rPr>
          <w:lang w:val="de-DE"/>
        </w:rPr>
        <w:t xml:space="preserve"> 5-</w:t>
      </w:r>
      <w:r w:rsidRPr="003A2B04">
        <w:rPr>
          <w:lang w:val="ru-RU"/>
        </w:rPr>
        <w:t>процентный</w:t>
      </w:r>
      <w:r w:rsidRPr="009C021A">
        <w:rPr>
          <w:lang w:val="de-DE"/>
        </w:rPr>
        <w:t xml:space="preserve"> </w:t>
      </w:r>
      <w:r>
        <w:rPr>
          <w:lang w:val="ru-RU"/>
        </w:rPr>
        <w:t>коэфф</w:t>
      </w:r>
      <w:r w:rsidRPr="003A2B04">
        <w:rPr>
          <w:lang w:val="ru-RU"/>
        </w:rPr>
        <w:t>ициент</w:t>
      </w:r>
      <w:r w:rsidRPr="009C021A">
        <w:rPr>
          <w:lang w:val="de-DE"/>
        </w:rPr>
        <w:t xml:space="preserve"> </w:t>
      </w:r>
      <w:r w:rsidRPr="003A2B04">
        <w:rPr>
          <w:lang w:val="ru-RU"/>
        </w:rPr>
        <w:t>вакантных</w:t>
      </w:r>
      <w:r w:rsidRPr="009C021A">
        <w:rPr>
          <w:lang w:val="de-DE"/>
        </w:rPr>
        <w:t xml:space="preserve"> </w:t>
      </w:r>
      <w:r w:rsidRPr="003A2B04">
        <w:rPr>
          <w:lang w:val="ru-RU"/>
        </w:rPr>
        <w:t>должностей</w:t>
      </w:r>
      <w:r w:rsidRPr="009C021A">
        <w:rPr>
          <w:lang w:val="de-DE"/>
        </w:rPr>
        <w:t xml:space="preserve">, </w:t>
      </w:r>
      <w:r>
        <w:rPr>
          <w:lang w:val="ru-RU"/>
        </w:rPr>
        <w:t>установленный</w:t>
      </w:r>
      <w:r w:rsidRPr="009C021A">
        <w:rPr>
          <w:lang w:val="de-DE"/>
        </w:rPr>
        <w:t xml:space="preserve"> </w:t>
      </w:r>
      <w:r>
        <w:rPr>
          <w:lang w:val="ru-RU"/>
        </w:rPr>
        <w:t>в</w:t>
      </w:r>
      <w:r w:rsidRPr="009C021A">
        <w:rPr>
          <w:lang w:val="de-DE"/>
        </w:rPr>
        <w:t xml:space="preserve"> </w:t>
      </w:r>
      <w:r>
        <w:rPr>
          <w:lang w:val="ru-RU"/>
        </w:rPr>
        <w:t>Финансовом</w:t>
      </w:r>
      <w:r w:rsidRPr="009C021A">
        <w:rPr>
          <w:lang w:val="de-DE"/>
        </w:rPr>
        <w:t xml:space="preserve"> </w:t>
      </w:r>
      <w:r>
        <w:rPr>
          <w:lang w:val="ru-RU"/>
        </w:rPr>
        <w:t>плане</w:t>
      </w:r>
      <w:r w:rsidRPr="009C021A">
        <w:rPr>
          <w:lang w:val="de-DE"/>
        </w:rPr>
        <w:t xml:space="preserve"> </w:t>
      </w:r>
      <w:r>
        <w:rPr>
          <w:lang w:val="ru-RU"/>
        </w:rPr>
        <w:t>на</w:t>
      </w:r>
      <w:r w:rsidRPr="009C021A">
        <w:rPr>
          <w:lang w:val="de-DE"/>
        </w:rPr>
        <w:t xml:space="preserve"> </w:t>
      </w:r>
      <w:r>
        <w:rPr>
          <w:lang w:val="de-DE"/>
        </w:rPr>
        <w:t>2020−2023 годы</w:t>
      </w:r>
      <w:r w:rsidRPr="009C021A">
        <w:rPr>
          <w:lang w:val="de-DE"/>
        </w:rPr>
        <w:t xml:space="preserve">, </w:t>
      </w:r>
      <w:r>
        <w:rPr>
          <w:lang w:val="ru-RU"/>
        </w:rPr>
        <w:t>более</w:t>
      </w:r>
      <w:r w:rsidRPr="009C021A">
        <w:rPr>
          <w:lang w:val="de-DE"/>
        </w:rPr>
        <w:t xml:space="preserve"> </w:t>
      </w:r>
      <w:r>
        <w:rPr>
          <w:lang w:val="ru-RU"/>
        </w:rPr>
        <w:t>не</w:t>
      </w:r>
      <w:r w:rsidRPr="009C021A">
        <w:rPr>
          <w:lang w:val="de-DE"/>
        </w:rPr>
        <w:t xml:space="preserve"> </w:t>
      </w:r>
      <w:r>
        <w:rPr>
          <w:lang w:val="ru-RU"/>
        </w:rPr>
        <w:t>представляется</w:t>
      </w:r>
      <w:r w:rsidRPr="009C021A">
        <w:rPr>
          <w:lang w:val="de-DE"/>
        </w:rPr>
        <w:t xml:space="preserve"> </w:t>
      </w:r>
      <w:r>
        <w:rPr>
          <w:lang w:val="ru-RU"/>
        </w:rPr>
        <w:t>реалистичным</w:t>
      </w:r>
      <w:r w:rsidRPr="009C021A">
        <w:rPr>
          <w:lang w:val="de-DE"/>
        </w:rPr>
        <w:t xml:space="preserve"> </w:t>
      </w:r>
      <w:r>
        <w:rPr>
          <w:lang w:val="ru-RU"/>
        </w:rPr>
        <w:t>и</w:t>
      </w:r>
      <w:r w:rsidRPr="009C021A">
        <w:rPr>
          <w:lang w:val="de-DE"/>
        </w:rPr>
        <w:t xml:space="preserve"> </w:t>
      </w:r>
      <w:r>
        <w:rPr>
          <w:lang w:val="ru-RU"/>
        </w:rPr>
        <w:t xml:space="preserve">создает определенный риск для исполнения бюджета. </w:t>
      </w:r>
      <w:r w:rsidRPr="00AE3328">
        <w:rPr>
          <w:lang w:val="ru-RU"/>
        </w:rPr>
        <w:t xml:space="preserve">Число вакантных должностей уменьшилось, </w:t>
      </w:r>
      <w:r>
        <w:rPr>
          <w:lang w:val="ru-RU"/>
        </w:rPr>
        <w:t>и</w:t>
      </w:r>
      <w:r w:rsidRPr="00AE3328">
        <w:rPr>
          <w:lang w:val="ru-RU"/>
        </w:rPr>
        <w:t xml:space="preserve"> в последние годы значительно сократились задержки с набором персонала</w:t>
      </w:r>
      <w:r>
        <w:rPr>
          <w:lang w:val="ru-RU"/>
        </w:rPr>
        <w:t>;</w:t>
      </w:r>
    </w:p>
    <w:p w14:paraId="5707C7C9" w14:textId="526B6486" w:rsidR="00252BB8" w:rsidRPr="00244955" w:rsidRDefault="00252BB8" w:rsidP="00827A19">
      <w:pPr>
        <w:pStyle w:val="enumlev1"/>
        <w:rPr>
          <w:lang w:val="de-DE"/>
        </w:rPr>
      </w:pPr>
      <w:r w:rsidRPr="00265A9A">
        <w:rPr>
          <w:lang w:val="ru-RU"/>
        </w:rPr>
        <w:t>•</w:t>
      </w:r>
      <w:r w:rsidRPr="00265A9A">
        <w:rPr>
          <w:lang w:val="ru-RU"/>
        </w:rPr>
        <w:tab/>
      </w:r>
      <w:r w:rsidRPr="00AE3328">
        <w:rPr>
          <w:lang w:val="ru-RU"/>
        </w:rPr>
        <w:t>возможное будущее увеличение/сокращение затрат в период 2024−2027 годов (инфляция, рост заработной платы, повышение стоимости медицинского обслуживания и т. д.) в проекте Финансового плана на 2024</w:t>
      </w:r>
      <w:r w:rsidR="00FC563E" w:rsidRPr="00FC563E">
        <w:rPr>
          <w:lang w:val="ru-RU"/>
        </w:rPr>
        <w:t>–</w:t>
      </w:r>
      <w:r w:rsidRPr="00AE3328">
        <w:rPr>
          <w:lang w:val="ru-RU"/>
        </w:rPr>
        <w:t>2027 годы не отражено, но в случае необходимости может быть учтено при подготовке бюджетов на 2024−2025 и 2026−2027 годы.</w:t>
      </w:r>
    </w:p>
    <w:p w14:paraId="608844AE" w14:textId="77777777" w:rsidR="00252BB8" w:rsidRPr="00C05EFE" w:rsidRDefault="00252BB8" w:rsidP="00244955">
      <w:pPr>
        <w:rPr>
          <w:bCs/>
          <w:lang w:val="de-DE"/>
        </w:rPr>
      </w:pPr>
      <w:r w:rsidRPr="00C05EFE">
        <w:rPr>
          <w:bCs/>
          <w:lang w:val="de-DE"/>
        </w:rPr>
        <w:t>12.5</w:t>
      </w:r>
      <w:r w:rsidRPr="00C05EFE">
        <w:rPr>
          <w:bCs/>
          <w:lang w:val="de-DE"/>
        </w:rPr>
        <w:tab/>
      </w:r>
      <w:r w:rsidRPr="00C05EFE">
        <w:rPr>
          <w:bCs/>
          <w:lang w:val="ru-RU"/>
        </w:rPr>
        <w:t>Секретариат</w:t>
      </w:r>
      <w:r w:rsidRPr="00C05EFE">
        <w:rPr>
          <w:bCs/>
          <w:lang w:val="de-DE"/>
        </w:rPr>
        <w:t xml:space="preserve"> </w:t>
      </w:r>
      <w:r w:rsidRPr="00C05EFE">
        <w:rPr>
          <w:bCs/>
          <w:lang w:val="ru-RU"/>
        </w:rPr>
        <w:t>рассмотрел</w:t>
      </w:r>
      <w:r w:rsidRPr="00C05EFE">
        <w:rPr>
          <w:bCs/>
          <w:lang w:val="de-DE"/>
        </w:rPr>
        <w:t xml:space="preserve"> </w:t>
      </w:r>
      <w:r w:rsidRPr="00C05EFE">
        <w:rPr>
          <w:bCs/>
          <w:lang w:val="ru-RU"/>
        </w:rPr>
        <w:t>ряд</w:t>
      </w:r>
      <w:r w:rsidRPr="00C05EFE">
        <w:rPr>
          <w:bCs/>
          <w:lang w:val="de-DE"/>
        </w:rPr>
        <w:t xml:space="preserve"> </w:t>
      </w:r>
      <w:r w:rsidRPr="00C05EFE">
        <w:rPr>
          <w:bCs/>
          <w:lang w:val="ru-RU"/>
        </w:rPr>
        <w:t>вопросов</w:t>
      </w:r>
      <w:r w:rsidRPr="00C05EFE">
        <w:rPr>
          <w:bCs/>
          <w:lang w:val="de-DE"/>
        </w:rPr>
        <w:t xml:space="preserve"> </w:t>
      </w:r>
      <w:r w:rsidRPr="00C05EFE">
        <w:rPr>
          <w:bCs/>
          <w:lang w:val="ru-RU"/>
        </w:rPr>
        <w:t>от</w:t>
      </w:r>
      <w:r w:rsidRPr="00C05EFE">
        <w:rPr>
          <w:bCs/>
          <w:lang w:val="de-DE"/>
        </w:rPr>
        <w:t xml:space="preserve"> </w:t>
      </w:r>
      <w:r w:rsidRPr="00C05EFE">
        <w:rPr>
          <w:bCs/>
          <w:lang w:val="ru-RU"/>
        </w:rPr>
        <w:t>делегатов</w:t>
      </w:r>
      <w:r w:rsidRPr="00C05EFE">
        <w:rPr>
          <w:bCs/>
          <w:lang w:val="de-DE"/>
        </w:rPr>
        <w:t xml:space="preserve">, </w:t>
      </w:r>
      <w:r>
        <w:rPr>
          <w:bCs/>
          <w:lang w:val="ru-RU"/>
        </w:rPr>
        <w:t>среди</w:t>
      </w:r>
      <w:r w:rsidRPr="00C05EFE">
        <w:rPr>
          <w:bCs/>
          <w:lang w:val="de-DE"/>
        </w:rPr>
        <w:t xml:space="preserve"> </w:t>
      </w:r>
      <w:r>
        <w:rPr>
          <w:bCs/>
          <w:lang w:val="ru-RU"/>
        </w:rPr>
        <w:t>которых</w:t>
      </w:r>
      <w:r w:rsidRPr="00C05EFE">
        <w:rPr>
          <w:bCs/>
          <w:lang w:val="de-DE"/>
        </w:rPr>
        <w:t xml:space="preserve"> </w:t>
      </w:r>
      <w:r>
        <w:rPr>
          <w:bCs/>
          <w:lang w:val="ru-RU"/>
        </w:rPr>
        <w:t>были</w:t>
      </w:r>
      <w:r w:rsidRPr="00C05EFE">
        <w:rPr>
          <w:bCs/>
          <w:lang w:val="de-DE"/>
        </w:rPr>
        <w:t xml:space="preserve"> </w:t>
      </w:r>
      <w:r w:rsidRPr="00C05EFE">
        <w:rPr>
          <w:bCs/>
          <w:lang w:val="ru-RU"/>
        </w:rPr>
        <w:t>вопросы</w:t>
      </w:r>
      <w:r w:rsidRPr="00C05EFE">
        <w:rPr>
          <w:bCs/>
          <w:lang w:val="de-DE"/>
        </w:rPr>
        <w:t xml:space="preserve">, </w:t>
      </w:r>
      <w:r w:rsidRPr="00C05EFE">
        <w:rPr>
          <w:bCs/>
          <w:lang w:val="ru-RU"/>
        </w:rPr>
        <w:t>представленные</w:t>
      </w:r>
      <w:r w:rsidRPr="00C05EFE">
        <w:rPr>
          <w:bCs/>
          <w:lang w:val="de-DE"/>
        </w:rPr>
        <w:t xml:space="preserve"> </w:t>
      </w:r>
      <w:r w:rsidRPr="00C05EFE">
        <w:rPr>
          <w:bCs/>
          <w:lang w:val="ru-RU"/>
        </w:rPr>
        <w:t>ранее</w:t>
      </w:r>
      <w:r w:rsidRPr="00C05EFE">
        <w:rPr>
          <w:bCs/>
          <w:lang w:val="de-DE"/>
        </w:rPr>
        <w:t xml:space="preserve">, </w:t>
      </w:r>
      <w:r>
        <w:rPr>
          <w:bCs/>
          <w:lang w:val="ru-RU"/>
        </w:rPr>
        <w:t>а</w:t>
      </w:r>
      <w:r w:rsidRPr="00C05EFE">
        <w:rPr>
          <w:bCs/>
          <w:lang w:val="de-DE"/>
        </w:rPr>
        <w:t xml:space="preserve"> </w:t>
      </w:r>
      <w:r>
        <w:rPr>
          <w:bCs/>
          <w:lang w:val="ru-RU"/>
        </w:rPr>
        <w:t>также</w:t>
      </w:r>
      <w:r w:rsidRPr="00C05EFE">
        <w:rPr>
          <w:bCs/>
          <w:lang w:val="de-DE"/>
        </w:rPr>
        <w:t xml:space="preserve"> </w:t>
      </w:r>
      <w:r w:rsidRPr="00C05EFE">
        <w:rPr>
          <w:bCs/>
          <w:lang w:val="ru-RU"/>
        </w:rPr>
        <w:t>вопросы</w:t>
      </w:r>
      <w:r w:rsidRPr="00C05EFE">
        <w:rPr>
          <w:bCs/>
          <w:lang w:val="de-DE"/>
        </w:rPr>
        <w:t xml:space="preserve">, </w:t>
      </w:r>
      <w:r w:rsidRPr="00C05EFE">
        <w:rPr>
          <w:bCs/>
          <w:lang w:val="ru-RU"/>
        </w:rPr>
        <w:t>поднятые</w:t>
      </w:r>
      <w:r w:rsidRPr="00C05EFE">
        <w:rPr>
          <w:bCs/>
          <w:lang w:val="de-DE"/>
        </w:rPr>
        <w:t xml:space="preserve"> </w:t>
      </w:r>
      <w:r>
        <w:rPr>
          <w:bCs/>
          <w:lang w:val="ru-RU"/>
        </w:rPr>
        <w:t>во</w:t>
      </w:r>
      <w:r w:rsidRPr="00C05EFE">
        <w:rPr>
          <w:bCs/>
          <w:lang w:val="de-DE"/>
        </w:rPr>
        <w:t xml:space="preserve"> </w:t>
      </w:r>
      <w:r>
        <w:rPr>
          <w:bCs/>
          <w:lang w:val="ru-RU"/>
        </w:rPr>
        <w:t>время</w:t>
      </w:r>
      <w:r w:rsidRPr="00C05EFE">
        <w:rPr>
          <w:bCs/>
          <w:lang w:val="de-DE"/>
        </w:rPr>
        <w:t xml:space="preserve"> </w:t>
      </w:r>
      <w:r>
        <w:rPr>
          <w:bCs/>
          <w:lang w:val="ru-RU"/>
        </w:rPr>
        <w:t>сессии</w:t>
      </w:r>
      <w:r w:rsidRPr="00C05EFE">
        <w:rPr>
          <w:bCs/>
          <w:lang w:val="de-DE"/>
        </w:rPr>
        <w:t>:</w:t>
      </w:r>
    </w:p>
    <w:p w14:paraId="66BFBF2B" w14:textId="77777777" w:rsidR="00252BB8" w:rsidRPr="00FB3C88" w:rsidRDefault="00252BB8" w:rsidP="00525E2E">
      <w:pPr>
        <w:pStyle w:val="enumlev1"/>
        <w:rPr>
          <w:lang w:val="ru-RU"/>
        </w:rPr>
      </w:pPr>
      <w:r w:rsidRPr="00FB3C88">
        <w:rPr>
          <w:lang w:val="ru-RU"/>
        </w:rPr>
        <w:t>•</w:t>
      </w:r>
      <w:r w:rsidRPr="00FB3C88">
        <w:rPr>
          <w:lang w:val="ru-RU"/>
        </w:rPr>
        <w:tab/>
      </w:r>
      <w:r>
        <w:rPr>
          <w:lang w:val="ru-RU"/>
        </w:rPr>
        <w:t>прогнозируемое</w:t>
      </w:r>
      <w:r w:rsidRPr="00FB3C88">
        <w:rPr>
          <w:lang w:val="ru-RU"/>
        </w:rPr>
        <w:t xml:space="preserve"> </w:t>
      </w:r>
      <w:r>
        <w:rPr>
          <w:lang w:val="ru-RU"/>
        </w:rPr>
        <w:t>увеличение</w:t>
      </w:r>
      <w:r w:rsidRPr="00FB3C88">
        <w:rPr>
          <w:lang w:val="ru-RU"/>
        </w:rPr>
        <w:t xml:space="preserve"> </w:t>
      </w:r>
      <w:r>
        <w:rPr>
          <w:lang w:val="ru-RU"/>
        </w:rPr>
        <w:t>бюджета</w:t>
      </w:r>
      <w:r w:rsidRPr="00FB3C88">
        <w:rPr>
          <w:lang w:val="ru-RU"/>
        </w:rPr>
        <w:t xml:space="preserve"> Генерального секретариата: </w:t>
      </w:r>
      <w:r>
        <w:rPr>
          <w:lang w:val="ru-RU"/>
        </w:rPr>
        <w:t>главным</w:t>
      </w:r>
      <w:r w:rsidRPr="00FB3C88">
        <w:rPr>
          <w:lang w:val="ru-RU"/>
        </w:rPr>
        <w:t xml:space="preserve"> </w:t>
      </w:r>
      <w:r>
        <w:rPr>
          <w:lang w:val="ru-RU"/>
        </w:rPr>
        <w:t>образом</w:t>
      </w:r>
      <w:r w:rsidRPr="00FB3C88">
        <w:rPr>
          <w:lang w:val="ru-RU"/>
        </w:rPr>
        <w:t xml:space="preserve"> </w:t>
      </w:r>
      <w:r>
        <w:rPr>
          <w:lang w:val="ru-RU"/>
        </w:rPr>
        <w:t>в</w:t>
      </w:r>
      <w:r w:rsidRPr="00FB3C88">
        <w:rPr>
          <w:lang w:val="ru-RU"/>
        </w:rPr>
        <w:t xml:space="preserve"> </w:t>
      </w:r>
      <w:r>
        <w:rPr>
          <w:lang w:val="ru-RU"/>
        </w:rPr>
        <w:t>связи</w:t>
      </w:r>
      <w:r w:rsidRPr="00FB3C88">
        <w:rPr>
          <w:lang w:val="ru-RU"/>
        </w:rPr>
        <w:t xml:space="preserve"> </w:t>
      </w:r>
      <w:r>
        <w:rPr>
          <w:lang w:val="ru-RU"/>
        </w:rPr>
        <w:t>с</w:t>
      </w:r>
      <w:r w:rsidRPr="00FB3C88">
        <w:rPr>
          <w:lang w:val="ru-RU"/>
        </w:rPr>
        <w:t xml:space="preserve"> </w:t>
      </w:r>
      <w:r>
        <w:rPr>
          <w:lang w:val="ru-RU"/>
        </w:rPr>
        <w:t>затратами</w:t>
      </w:r>
      <w:r w:rsidRPr="00FB3C88">
        <w:rPr>
          <w:lang w:val="ru-RU"/>
        </w:rPr>
        <w:t xml:space="preserve"> </w:t>
      </w:r>
      <w:r>
        <w:rPr>
          <w:lang w:val="ru-RU"/>
        </w:rPr>
        <w:t>на</w:t>
      </w:r>
      <w:r w:rsidRPr="00FB3C88">
        <w:rPr>
          <w:lang w:val="ru-RU"/>
        </w:rPr>
        <w:t xml:space="preserve"> </w:t>
      </w:r>
      <w:r>
        <w:rPr>
          <w:lang w:val="ru-RU"/>
        </w:rPr>
        <w:t>содержание</w:t>
      </w:r>
      <w:r w:rsidRPr="00FB3C88">
        <w:rPr>
          <w:lang w:val="ru-RU"/>
        </w:rPr>
        <w:t xml:space="preserve"> </w:t>
      </w:r>
      <w:r>
        <w:rPr>
          <w:lang w:val="ru-RU"/>
        </w:rPr>
        <w:t>нового</w:t>
      </w:r>
      <w:r w:rsidRPr="00FB3C88">
        <w:rPr>
          <w:lang w:val="ru-RU"/>
        </w:rPr>
        <w:t xml:space="preserve"> </w:t>
      </w:r>
      <w:r>
        <w:rPr>
          <w:lang w:val="ru-RU"/>
        </w:rPr>
        <w:t>здания</w:t>
      </w:r>
      <w:r w:rsidRPr="00FB3C88">
        <w:rPr>
          <w:lang w:val="ru-RU"/>
        </w:rPr>
        <w:t xml:space="preserve"> </w:t>
      </w:r>
      <w:r>
        <w:rPr>
          <w:lang w:val="ru-RU"/>
        </w:rPr>
        <w:t>в</w:t>
      </w:r>
      <w:r w:rsidRPr="00FB3C88">
        <w:rPr>
          <w:lang w:val="ru-RU"/>
        </w:rPr>
        <w:t xml:space="preserve"> 2026</w:t>
      </w:r>
      <w:r w:rsidRPr="00D46136">
        <w:rPr>
          <w:lang w:val="de-DE"/>
        </w:rPr>
        <w:t> </w:t>
      </w:r>
      <w:r>
        <w:rPr>
          <w:lang w:val="ru-RU"/>
        </w:rPr>
        <w:t>году</w:t>
      </w:r>
      <w:r w:rsidRPr="00FB3C88">
        <w:rPr>
          <w:lang w:val="ru-RU"/>
        </w:rPr>
        <w:t xml:space="preserve"> </w:t>
      </w:r>
      <w:r>
        <w:rPr>
          <w:lang w:val="ru-RU"/>
        </w:rPr>
        <w:t>и</w:t>
      </w:r>
      <w:r w:rsidRPr="00FB3C88">
        <w:rPr>
          <w:lang w:val="ru-RU"/>
        </w:rPr>
        <w:t xml:space="preserve"> </w:t>
      </w:r>
      <w:r>
        <w:rPr>
          <w:lang w:val="ru-RU"/>
        </w:rPr>
        <w:t>выплатой</w:t>
      </w:r>
      <w:r w:rsidRPr="00FB3C88">
        <w:rPr>
          <w:lang w:val="ru-RU"/>
        </w:rPr>
        <w:t xml:space="preserve"> </w:t>
      </w:r>
      <w:r>
        <w:rPr>
          <w:lang w:val="ru-RU"/>
        </w:rPr>
        <w:t>годовой</w:t>
      </w:r>
      <w:r w:rsidRPr="00FB3C88">
        <w:rPr>
          <w:lang w:val="ru-RU"/>
        </w:rPr>
        <w:t xml:space="preserve"> </w:t>
      </w:r>
      <w:r>
        <w:rPr>
          <w:lang w:val="ru-RU"/>
        </w:rPr>
        <w:t>ренты</w:t>
      </w:r>
      <w:r w:rsidRPr="00FB3C88">
        <w:rPr>
          <w:lang w:val="ru-RU"/>
        </w:rPr>
        <w:t xml:space="preserve"> </w:t>
      </w:r>
      <w:r>
        <w:rPr>
          <w:lang w:val="ru-RU"/>
        </w:rPr>
        <w:t>в</w:t>
      </w:r>
      <w:r w:rsidRPr="00FB3C88">
        <w:rPr>
          <w:lang w:val="ru-RU"/>
        </w:rPr>
        <w:t xml:space="preserve"> 2027</w:t>
      </w:r>
      <w:r w:rsidRPr="00D46136">
        <w:rPr>
          <w:lang w:val="de-DE"/>
        </w:rPr>
        <w:t> </w:t>
      </w:r>
      <w:r>
        <w:rPr>
          <w:lang w:val="ru-RU"/>
        </w:rPr>
        <w:t>году</w:t>
      </w:r>
      <w:r w:rsidRPr="00FB3C88">
        <w:rPr>
          <w:lang w:val="ru-RU"/>
        </w:rPr>
        <w:t xml:space="preserve">, ЮНСМИС, </w:t>
      </w:r>
      <w:r>
        <w:rPr>
          <w:lang w:val="ru-RU"/>
        </w:rPr>
        <w:t xml:space="preserve">восстановлением </w:t>
      </w:r>
      <w:r w:rsidRPr="00FB3C88">
        <w:rPr>
          <w:lang w:val="ru-RU"/>
        </w:rPr>
        <w:t xml:space="preserve">после пандемии </w:t>
      </w:r>
      <w:r w:rsidRPr="00D46136">
        <w:rPr>
          <w:lang w:val="de-DE"/>
        </w:rPr>
        <w:t>COVID</w:t>
      </w:r>
      <w:r w:rsidRPr="00FB3C88">
        <w:rPr>
          <w:lang w:val="ru-RU"/>
        </w:rPr>
        <w:t>-19</w:t>
      </w:r>
      <w:r>
        <w:rPr>
          <w:lang w:val="ru-RU"/>
        </w:rPr>
        <w:t xml:space="preserve"> и исключением коэффициента вакантных должностей. Приведена </w:t>
      </w:r>
      <w:r w:rsidRPr="00FB3C88">
        <w:rPr>
          <w:lang w:val="ru-RU"/>
        </w:rPr>
        <w:t>разбивка расходов на изменени</w:t>
      </w:r>
      <w:r>
        <w:rPr>
          <w:lang w:val="ru-RU"/>
        </w:rPr>
        <w:t>я в</w:t>
      </w:r>
      <w:r w:rsidRPr="00FB3C88">
        <w:rPr>
          <w:lang w:val="ru-RU"/>
        </w:rPr>
        <w:t xml:space="preserve"> программ</w:t>
      </w:r>
      <w:r>
        <w:rPr>
          <w:lang w:val="ru-RU"/>
        </w:rPr>
        <w:t>ах</w:t>
      </w:r>
      <w:r w:rsidRPr="00FB3C88">
        <w:rPr>
          <w:lang w:val="ru-RU"/>
        </w:rPr>
        <w:t xml:space="preserve"> Генерального секретариата</w:t>
      </w:r>
      <w:r>
        <w:rPr>
          <w:lang w:val="ru-RU"/>
        </w:rPr>
        <w:t xml:space="preserve"> в размере 15 млн. швейцарских франков;</w:t>
      </w:r>
    </w:p>
    <w:p w14:paraId="6515CD67" w14:textId="77E393B4" w:rsidR="00252BB8" w:rsidRPr="00941308" w:rsidRDefault="00252BB8" w:rsidP="00525E2E">
      <w:pPr>
        <w:pStyle w:val="enumlev1"/>
        <w:rPr>
          <w:lang w:val="ru-RU"/>
        </w:rPr>
      </w:pPr>
      <w:r w:rsidRPr="00941308">
        <w:rPr>
          <w:lang w:val="ru-RU"/>
        </w:rPr>
        <w:t>•</w:t>
      </w:r>
      <w:r w:rsidRPr="00941308">
        <w:rPr>
          <w:lang w:val="ru-RU"/>
        </w:rPr>
        <w:tab/>
      </w:r>
      <w:r>
        <w:rPr>
          <w:lang w:val="ru-RU"/>
        </w:rPr>
        <w:t>прогнозируемое</w:t>
      </w:r>
      <w:r w:rsidRPr="00941308">
        <w:rPr>
          <w:lang w:val="ru-RU"/>
        </w:rPr>
        <w:t xml:space="preserve"> </w:t>
      </w:r>
      <w:r>
        <w:rPr>
          <w:lang w:val="ru-RU"/>
        </w:rPr>
        <w:t>ограниченное</w:t>
      </w:r>
      <w:r w:rsidRPr="00941308">
        <w:rPr>
          <w:lang w:val="ru-RU"/>
        </w:rPr>
        <w:t xml:space="preserve"> </w:t>
      </w:r>
      <w:r>
        <w:rPr>
          <w:lang w:val="ru-RU"/>
        </w:rPr>
        <w:t>увеличение</w:t>
      </w:r>
      <w:r w:rsidRPr="00941308">
        <w:rPr>
          <w:lang w:val="ru-RU"/>
        </w:rPr>
        <w:t xml:space="preserve"> </w:t>
      </w:r>
      <w:r>
        <w:rPr>
          <w:lang w:val="ru-RU"/>
        </w:rPr>
        <w:t>бюджета</w:t>
      </w:r>
      <w:r w:rsidRPr="00941308">
        <w:rPr>
          <w:lang w:val="ru-RU"/>
        </w:rPr>
        <w:t xml:space="preserve"> </w:t>
      </w:r>
      <w:r>
        <w:rPr>
          <w:lang w:val="ru-RU"/>
        </w:rPr>
        <w:t>МСЭ</w:t>
      </w:r>
      <w:r w:rsidRPr="00941308">
        <w:rPr>
          <w:lang w:val="ru-RU"/>
        </w:rPr>
        <w:t>-</w:t>
      </w:r>
      <w:r>
        <w:rPr>
          <w:lang w:val="en-US"/>
        </w:rPr>
        <w:t>R</w:t>
      </w:r>
      <w:r w:rsidRPr="00941308">
        <w:rPr>
          <w:lang w:val="ru-RU"/>
        </w:rPr>
        <w:t xml:space="preserve"> </w:t>
      </w:r>
      <w:r>
        <w:rPr>
          <w:lang w:val="ru-RU"/>
        </w:rPr>
        <w:t>и</w:t>
      </w:r>
      <w:r w:rsidRPr="00941308">
        <w:rPr>
          <w:lang w:val="ru-RU"/>
        </w:rPr>
        <w:t xml:space="preserve"> </w:t>
      </w:r>
      <w:r>
        <w:rPr>
          <w:lang w:val="ru-RU"/>
        </w:rPr>
        <w:t>МСЭ</w:t>
      </w:r>
      <w:r w:rsidRPr="00941308">
        <w:rPr>
          <w:lang w:val="ru-RU"/>
        </w:rPr>
        <w:t>-</w:t>
      </w:r>
      <w:r>
        <w:rPr>
          <w:lang w:val="ru-RU"/>
        </w:rPr>
        <w:t>Т</w:t>
      </w:r>
      <w:r w:rsidRPr="00941308">
        <w:rPr>
          <w:lang w:val="ru-RU"/>
        </w:rPr>
        <w:t xml:space="preserve">: </w:t>
      </w:r>
      <w:r>
        <w:rPr>
          <w:lang w:val="ru-RU"/>
        </w:rPr>
        <w:t>ввиду</w:t>
      </w:r>
      <w:r w:rsidRPr="00941308">
        <w:rPr>
          <w:lang w:val="ru-RU"/>
        </w:rPr>
        <w:t xml:space="preserve"> </w:t>
      </w:r>
      <w:r>
        <w:rPr>
          <w:lang w:val="ru-RU"/>
        </w:rPr>
        <w:t>исключения</w:t>
      </w:r>
      <w:r w:rsidRPr="00941308">
        <w:rPr>
          <w:lang w:val="ru-RU"/>
        </w:rPr>
        <w:t xml:space="preserve"> 5</w:t>
      </w:r>
      <w:r w:rsidR="00FC563E">
        <w:rPr>
          <w:lang w:val="ru-RU"/>
        </w:rPr>
        <w:noBreakHyphen/>
      </w:r>
      <w:r>
        <w:rPr>
          <w:lang w:val="ru-RU"/>
        </w:rPr>
        <w:t>процентного</w:t>
      </w:r>
      <w:r w:rsidRPr="00941308">
        <w:rPr>
          <w:lang w:val="ru-RU"/>
        </w:rPr>
        <w:t xml:space="preserve"> </w:t>
      </w:r>
      <w:r>
        <w:rPr>
          <w:lang w:val="ru-RU"/>
        </w:rPr>
        <w:t>коэффициента</w:t>
      </w:r>
      <w:r w:rsidRPr="00941308">
        <w:rPr>
          <w:lang w:val="ru-RU"/>
        </w:rPr>
        <w:t xml:space="preserve"> </w:t>
      </w:r>
      <w:r>
        <w:rPr>
          <w:lang w:val="ru-RU"/>
        </w:rPr>
        <w:t>вакантных</w:t>
      </w:r>
      <w:r w:rsidRPr="00941308">
        <w:rPr>
          <w:lang w:val="ru-RU"/>
        </w:rPr>
        <w:t xml:space="preserve"> </w:t>
      </w:r>
      <w:r>
        <w:rPr>
          <w:lang w:val="ru-RU"/>
        </w:rPr>
        <w:t xml:space="preserve">должностей, которое частично компенсируется сокращением путевых расходов и </w:t>
      </w:r>
      <w:r w:rsidRPr="00941308">
        <w:rPr>
          <w:lang w:val="ru-RU"/>
        </w:rPr>
        <w:t>SSA</w:t>
      </w:r>
      <w:r>
        <w:rPr>
          <w:lang w:val="ru-RU"/>
        </w:rPr>
        <w:t>;</w:t>
      </w:r>
    </w:p>
    <w:p w14:paraId="1075E121" w14:textId="77777777" w:rsidR="00252BB8" w:rsidRPr="00D75B11" w:rsidRDefault="00252BB8" w:rsidP="00525E2E">
      <w:pPr>
        <w:pStyle w:val="enumlev1"/>
        <w:rPr>
          <w:lang w:val="de-DE"/>
        </w:rPr>
      </w:pPr>
      <w:r w:rsidRPr="0083273C">
        <w:rPr>
          <w:lang w:val="ru-RU"/>
        </w:rPr>
        <w:t>•</w:t>
      </w:r>
      <w:r w:rsidRPr="0083273C">
        <w:rPr>
          <w:lang w:val="ru-RU"/>
        </w:rPr>
        <w:tab/>
      </w:r>
      <w:r w:rsidRPr="00D75B11">
        <w:rPr>
          <w:lang w:val="ru-RU"/>
        </w:rPr>
        <w:t>прогнозируемое сокращение бюджета МСЭ-D: главным образом в связи с едино</w:t>
      </w:r>
      <w:r>
        <w:rPr>
          <w:lang w:val="ru-RU"/>
        </w:rPr>
        <w:t>временным</w:t>
      </w:r>
      <w:r w:rsidRPr="00D75B11">
        <w:rPr>
          <w:lang w:val="ru-RU"/>
        </w:rPr>
        <w:t xml:space="preserve"> ассигнованием в размере 3 млн. швейцарских франков </w:t>
      </w:r>
      <w:r>
        <w:rPr>
          <w:lang w:val="ru-RU"/>
        </w:rPr>
        <w:t>на реализацию</w:t>
      </w:r>
      <w:r w:rsidRPr="00D75B11">
        <w:rPr>
          <w:lang w:val="ru-RU"/>
        </w:rPr>
        <w:t xml:space="preserve"> региональных инициатив 2020–2021 годов</w:t>
      </w:r>
      <w:r>
        <w:rPr>
          <w:lang w:val="ru-RU"/>
        </w:rPr>
        <w:t xml:space="preserve">, сокращением путевых расходов и </w:t>
      </w:r>
      <w:r w:rsidRPr="00D75B11">
        <w:rPr>
          <w:lang w:val="ru-RU"/>
        </w:rPr>
        <w:t>SSA</w:t>
      </w:r>
      <w:r>
        <w:rPr>
          <w:lang w:val="ru-RU"/>
        </w:rPr>
        <w:t>, а также понижением ставок окладов сотрудников категории общего обслуживания в</w:t>
      </w:r>
      <w:r w:rsidRPr="00D75B11">
        <w:rPr>
          <w:lang w:val="ru-RU"/>
        </w:rPr>
        <w:t xml:space="preserve"> отделени</w:t>
      </w:r>
      <w:r>
        <w:rPr>
          <w:lang w:val="ru-RU"/>
        </w:rPr>
        <w:t>ях</w:t>
      </w:r>
      <w:r w:rsidRPr="00D75B11">
        <w:rPr>
          <w:lang w:val="ru-RU"/>
        </w:rPr>
        <w:t xml:space="preserve"> МСЭ на местах</w:t>
      </w:r>
      <w:r w:rsidRPr="0083273C">
        <w:rPr>
          <w:lang w:val="ru-RU"/>
        </w:rPr>
        <w:t xml:space="preserve"> </w:t>
      </w:r>
      <w:r w:rsidRPr="00D75B11">
        <w:rPr>
          <w:lang w:val="ru-RU"/>
        </w:rPr>
        <w:t>в результате укрепления швейцарского франка по отношению к местн</w:t>
      </w:r>
      <w:r>
        <w:rPr>
          <w:lang w:val="ru-RU"/>
        </w:rPr>
        <w:t>ым</w:t>
      </w:r>
      <w:r w:rsidRPr="00D75B11">
        <w:rPr>
          <w:lang w:val="ru-RU"/>
        </w:rPr>
        <w:t xml:space="preserve"> валют</w:t>
      </w:r>
      <w:r>
        <w:rPr>
          <w:lang w:val="ru-RU"/>
        </w:rPr>
        <w:t>ам.</w:t>
      </w:r>
      <w:r w:rsidRPr="0083273C">
        <w:rPr>
          <w:lang w:val="ru-RU"/>
        </w:rPr>
        <w:t xml:space="preserve"> </w:t>
      </w:r>
      <w:r>
        <w:rPr>
          <w:lang w:val="ru-RU"/>
        </w:rPr>
        <w:t>П</w:t>
      </w:r>
      <w:r w:rsidRPr="00A41F8A">
        <w:rPr>
          <w:lang w:val="ru-RU"/>
        </w:rPr>
        <w:t xml:space="preserve">риведена разбивка </w:t>
      </w:r>
      <w:r>
        <w:rPr>
          <w:lang w:val="ru-RU"/>
        </w:rPr>
        <w:t xml:space="preserve">расходов </w:t>
      </w:r>
      <w:r w:rsidRPr="00A41F8A">
        <w:rPr>
          <w:lang w:val="ru-RU"/>
        </w:rPr>
        <w:t>на изменени</w:t>
      </w:r>
      <w:r>
        <w:rPr>
          <w:lang w:val="ru-RU"/>
        </w:rPr>
        <w:t>я в</w:t>
      </w:r>
      <w:r w:rsidRPr="00A41F8A">
        <w:rPr>
          <w:lang w:val="ru-RU"/>
        </w:rPr>
        <w:t xml:space="preserve"> программ</w:t>
      </w:r>
      <w:r>
        <w:rPr>
          <w:lang w:val="ru-RU"/>
        </w:rPr>
        <w:t>ах</w:t>
      </w:r>
      <w:r w:rsidRPr="00A41F8A">
        <w:rPr>
          <w:lang w:val="ru-RU"/>
        </w:rPr>
        <w:t xml:space="preserve"> МСЭ-D в размере </w:t>
      </w:r>
      <w:r>
        <w:rPr>
          <w:lang w:val="ru-RU"/>
        </w:rPr>
        <w:t>–6,3</w:t>
      </w:r>
      <w:r w:rsidRPr="00A41F8A">
        <w:rPr>
          <w:lang w:val="ru-RU"/>
        </w:rPr>
        <w:t xml:space="preserve"> млн. швейцарских франков;</w:t>
      </w:r>
    </w:p>
    <w:p w14:paraId="154A7A5E" w14:textId="77777777" w:rsidR="00252BB8" w:rsidRPr="00032BF0" w:rsidRDefault="00252BB8" w:rsidP="00525E2E">
      <w:pPr>
        <w:pStyle w:val="enumlev1"/>
        <w:rPr>
          <w:lang w:val="ru-RU"/>
        </w:rPr>
      </w:pPr>
      <w:r w:rsidRPr="007B3849">
        <w:rPr>
          <w:lang w:val="ru-RU"/>
        </w:rPr>
        <w:t>•</w:t>
      </w:r>
      <w:r w:rsidRPr="007B3849">
        <w:rPr>
          <w:lang w:val="ru-RU"/>
        </w:rPr>
        <w:tab/>
      </w:r>
      <w:r>
        <w:rPr>
          <w:lang w:val="ru-RU"/>
        </w:rPr>
        <w:t>прогнозируемое</w:t>
      </w:r>
      <w:r w:rsidRPr="00032BF0">
        <w:rPr>
          <w:lang w:val="ru-RU"/>
        </w:rPr>
        <w:t xml:space="preserve"> </w:t>
      </w:r>
      <w:r>
        <w:rPr>
          <w:lang w:val="ru-RU"/>
        </w:rPr>
        <w:t>сокращение</w:t>
      </w:r>
      <w:r w:rsidRPr="00032BF0">
        <w:rPr>
          <w:lang w:val="ru-RU"/>
        </w:rPr>
        <w:t xml:space="preserve"> доходов по линии возмещения затрат: </w:t>
      </w:r>
      <w:r>
        <w:rPr>
          <w:lang w:val="ru-RU"/>
        </w:rPr>
        <w:t>прогнозы</w:t>
      </w:r>
      <w:r w:rsidRPr="00032BF0">
        <w:rPr>
          <w:lang w:val="ru-RU"/>
        </w:rPr>
        <w:t xml:space="preserve"> </w:t>
      </w:r>
      <w:r>
        <w:rPr>
          <w:lang w:val="ru-RU"/>
        </w:rPr>
        <w:t>основаны</w:t>
      </w:r>
      <w:r w:rsidRPr="00032BF0">
        <w:rPr>
          <w:lang w:val="ru-RU"/>
        </w:rPr>
        <w:t xml:space="preserve"> </w:t>
      </w:r>
      <w:r>
        <w:rPr>
          <w:lang w:val="ru-RU"/>
        </w:rPr>
        <w:t>на</w:t>
      </w:r>
      <w:r w:rsidRPr="00032BF0">
        <w:rPr>
          <w:lang w:val="ru-RU"/>
        </w:rPr>
        <w:t xml:space="preserve"> </w:t>
      </w:r>
      <w:r>
        <w:rPr>
          <w:lang w:val="ru-RU"/>
        </w:rPr>
        <w:t>прошлом</w:t>
      </w:r>
      <w:r w:rsidRPr="00032BF0">
        <w:rPr>
          <w:lang w:val="ru-RU"/>
        </w:rPr>
        <w:t xml:space="preserve"> </w:t>
      </w:r>
      <w:r>
        <w:rPr>
          <w:lang w:val="ru-RU"/>
        </w:rPr>
        <w:t>опыте</w:t>
      </w:r>
      <w:r w:rsidRPr="00032BF0">
        <w:rPr>
          <w:lang w:val="ru-RU"/>
        </w:rPr>
        <w:t xml:space="preserve"> </w:t>
      </w:r>
      <w:r>
        <w:rPr>
          <w:lang w:val="ru-RU"/>
        </w:rPr>
        <w:t>и</w:t>
      </w:r>
      <w:r w:rsidRPr="00032BF0">
        <w:rPr>
          <w:lang w:val="ru-RU"/>
        </w:rPr>
        <w:t xml:space="preserve"> </w:t>
      </w:r>
      <w:r>
        <w:rPr>
          <w:lang w:val="ru-RU"/>
        </w:rPr>
        <w:t>текущих</w:t>
      </w:r>
      <w:r w:rsidRPr="00032BF0">
        <w:rPr>
          <w:lang w:val="ru-RU"/>
        </w:rPr>
        <w:t xml:space="preserve"> </w:t>
      </w:r>
      <w:r>
        <w:rPr>
          <w:lang w:val="ru-RU"/>
        </w:rPr>
        <w:t>тенденциях</w:t>
      </w:r>
      <w:r w:rsidRPr="00032BF0">
        <w:rPr>
          <w:lang w:val="ru-RU"/>
        </w:rPr>
        <w:t xml:space="preserve">, </w:t>
      </w:r>
      <w:r>
        <w:rPr>
          <w:lang w:val="ru-RU"/>
        </w:rPr>
        <w:t>связанных</w:t>
      </w:r>
      <w:r w:rsidRPr="00032BF0">
        <w:rPr>
          <w:lang w:val="ru-RU"/>
        </w:rPr>
        <w:t xml:space="preserve"> </w:t>
      </w:r>
      <w:r>
        <w:rPr>
          <w:lang w:val="ru-RU"/>
        </w:rPr>
        <w:t>с</w:t>
      </w:r>
      <w:r w:rsidRPr="00032BF0">
        <w:rPr>
          <w:lang w:val="ru-RU"/>
        </w:rPr>
        <w:t xml:space="preserve"> обработк</w:t>
      </w:r>
      <w:r>
        <w:rPr>
          <w:lang w:val="ru-RU"/>
        </w:rPr>
        <w:t>ой</w:t>
      </w:r>
      <w:r w:rsidRPr="00032BF0">
        <w:rPr>
          <w:lang w:val="ru-RU"/>
        </w:rPr>
        <w:t xml:space="preserve"> заявок на регистрацию спутниковых сетей (</w:t>
      </w:r>
      <w:r w:rsidRPr="00D46136">
        <w:rPr>
          <w:lang w:val="de-DE"/>
        </w:rPr>
        <w:t>SNF</w:t>
      </w:r>
      <w:r w:rsidRPr="00032BF0">
        <w:rPr>
          <w:lang w:val="ru-RU"/>
        </w:rPr>
        <w:t>), вспомогательны</w:t>
      </w:r>
      <w:r>
        <w:rPr>
          <w:lang w:val="ru-RU"/>
        </w:rPr>
        <w:t>ми</w:t>
      </w:r>
      <w:r w:rsidRPr="00032BF0">
        <w:rPr>
          <w:lang w:val="ru-RU"/>
        </w:rPr>
        <w:t xml:space="preserve"> затрат</w:t>
      </w:r>
      <w:r>
        <w:rPr>
          <w:lang w:val="ru-RU"/>
        </w:rPr>
        <w:t>ами</w:t>
      </w:r>
      <w:r w:rsidRPr="00032BF0">
        <w:rPr>
          <w:lang w:val="ru-RU"/>
        </w:rPr>
        <w:t xml:space="preserve"> по проектам </w:t>
      </w:r>
      <w:r>
        <w:rPr>
          <w:lang w:val="ru-RU"/>
        </w:rPr>
        <w:t xml:space="preserve">и регистрацией </w:t>
      </w:r>
      <w:r w:rsidRPr="00032BF0">
        <w:rPr>
          <w:lang w:val="ru-RU"/>
        </w:rPr>
        <w:t>UIFN</w:t>
      </w:r>
      <w:r>
        <w:rPr>
          <w:lang w:val="ru-RU"/>
        </w:rPr>
        <w:t xml:space="preserve">. Предусмотрено увеличение продаж публикаций, исходя из программы публикаций и </w:t>
      </w:r>
      <w:r>
        <w:rPr>
          <w:lang w:val="ru-RU"/>
        </w:rPr>
        <w:lastRenderedPageBreak/>
        <w:t>постепенного повышения стоимости публикаций на 10 процентов. Представлена п</w:t>
      </w:r>
      <w:r w:rsidRPr="00032BF0">
        <w:rPr>
          <w:lang w:val="ru-RU"/>
        </w:rPr>
        <w:t>одробная информация о затратах, связанных с такими сокращениями и увеличением доходов по линии возмещения затрат</w:t>
      </w:r>
      <w:r>
        <w:rPr>
          <w:lang w:val="ru-RU"/>
        </w:rPr>
        <w:t>;</w:t>
      </w:r>
    </w:p>
    <w:p w14:paraId="654537A5" w14:textId="77777777" w:rsidR="00252BB8" w:rsidRPr="007B3849" w:rsidRDefault="00252BB8" w:rsidP="00525E2E">
      <w:pPr>
        <w:pStyle w:val="enumlev1"/>
        <w:rPr>
          <w:lang w:val="ru-RU"/>
        </w:rPr>
      </w:pPr>
      <w:r w:rsidRPr="007B3849">
        <w:rPr>
          <w:lang w:val="ru-RU"/>
        </w:rPr>
        <w:t>•</w:t>
      </w:r>
      <w:r w:rsidRPr="007B3849">
        <w:rPr>
          <w:lang w:val="ru-RU"/>
        </w:rPr>
        <w:tab/>
      </w:r>
      <w:r>
        <w:rPr>
          <w:lang w:val="ru-RU"/>
        </w:rPr>
        <w:t>дополнительная</w:t>
      </w:r>
      <w:r w:rsidRPr="007B3849">
        <w:rPr>
          <w:lang w:val="ru-RU"/>
        </w:rPr>
        <w:t xml:space="preserve"> </w:t>
      </w:r>
      <w:r>
        <w:rPr>
          <w:lang w:val="ru-RU"/>
        </w:rPr>
        <w:t>информация</w:t>
      </w:r>
      <w:r w:rsidRPr="007B3849">
        <w:rPr>
          <w:lang w:val="ru-RU"/>
        </w:rPr>
        <w:t xml:space="preserve"> </w:t>
      </w:r>
      <w:r>
        <w:rPr>
          <w:lang w:val="ru-RU"/>
        </w:rPr>
        <w:t>по</w:t>
      </w:r>
      <w:r w:rsidRPr="007B3849">
        <w:rPr>
          <w:lang w:val="ru-RU"/>
        </w:rPr>
        <w:t xml:space="preserve"> </w:t>
      </w:r>
      <w:r>
        <w:rPr>
          <w:lang w:val="ru-RU"/>
        </w:rPr>
        <w:t>проекту</w:t>
      </w:r>
      <w:r w:rsidRPr="007B3849">
        <w:rPr>
          <w:lang w:val="ru-RU"/>
        </w:rPr>
        <w:t xml:space="preserve"> </w:t>
      </w:r>
      <w:r>
        <w:rPr>
          <w:lang w:val="ru-RU"/>
        </w:rPr>
        <w:t>Финансового</w:t>
      </w:r>
      <w:r w:rsidRPr="007B3849">
        <w:rPr>
          <w:lang w:val="ru-RU"/>
        </w:rPr>
        <w:t xml:space="preserve"> </w:t>
      </w:r>
      <w:r>
        <w:rPr>
          <w:lang w:val="ru-RU"/>
        </w:rPr>
        <w:t>плана</w:t>
      </w:r>
      <w:r w:rsidRPr="007B3849">
        <w:rPr>
          <w:lang w:val="ru-RU"/>
        </w:rPr>
        <w:t xml:space="preserve">: </w:t>
      </w:r>
      <w:r>
        <w:rPr>
          <w:lang w:val="ru-RU"/>
        </w:rPr>
        <w:t>в проекте Финансового плана, который будет представлен Совету 2022 года и затем Полномочной конференции 2022 года, будет отражена подробная дополнительная информация для проведения</w:t>
      </w:r>
      <w:r w:rsidRPr="007B3849">
        <w:rPr>
          <w:lang w:val="ru-RU"/>
        </w:rPr>
        <w:t xml:space="preserve"> </w:t>
      </w:r>
      <w:r>
        <w:rPr>
          <w:lang w:val="ru-RU"/>
        </w:rPr>
        <w:t>углубленного</w:t>
      </w:r>
      <w:r w:rsidRPr="007B3849">
        <w:rPr>
          <w:lang w:val="ru-RU"/>
        </w:rPr>
        <w:t xml:space="preserve"> </w:t>
      </w:r>
      <w:r>
        <w:rPr>
          <w:lang w:val="ru-RU"/>
        </w:rPr>
        <w:t>анализа;</w:t>
      </w:r>
    </w:p>
    <w:p w14:paraId="2B74AA6E" w14:textId="77777777" w:rsidR="00252BB8" w:rsidRPr="0082342D" w:rsidRDefault="00252BB8" w:rsidP="00525E2E">
      <w:pPr>
        <w:pStyle w:val="enumlev1"/>
        <w:rPr>
          <w:lang w:val="ru-RU"/>
        </w:rPr>
      </w:pPr>
      <w:r w:rsidRPr="0082342D">
        <w:rPr>
          <w:lang w:val="ru-RU"/>
        </w:rPr>
        <w:t>•</w:t>
      </w:r>
      <w:r w:rsidRPr="0082342D">
        <w:rPr>
          <w:lang w:val="ru-RU"/>
        </w:rPr>
        <w:tab/>
      </w:r>
      <w:r>
        <w:rPr>
          <w:lang w:val="ru-RU"/>
        </w:rPr>
        <w:t>Финансовый</w:t>
      </w:r>
      <w:r w:rsidRPr="0082342D">
        <w:rPr>
          <w:lang w:val="ru-RU"/>
        </w:rPr>
        <w:t xml:space="preserve"> </w:t>
      </w:r>
      <w:r>
        <w:rPr>
          <w:lang w:val="ru-RU"/>
        </w:rPr>
        <w:t>план</w:t>
      </w:r>
      <w:r w:rsidRPr="0082342D">
        <w:rPr>
          <w:lang w:val="ru-RU"/>
        </w:rPr>
        <w:t xml:space="preserve">, </w:t>
      </w:r>
      <w:r>
        <w:rPr>
          <w:lang w:val="ru-RU"/>
        </w:rPr>
        <w:t>ориентированный</w:t>
      </w:r>
      <w:r w:rsidRPr="0082342D">
        <w:rPr>
          <w:lang w:val="ru-RU"/>
        </w:rPr>
        <w:t xml:space="preserve"> </w:t>
      </w:r>
      <w:r>
        <w:rPr>
          <w:lang w:val="ru-RU"/>
        </w:rPr>
        <w:t>на</w:t>
      </w:r>
      <w:r w:rsidRPr="0082342D">
        <w:rPr>
          <w:lang w:val="ru-RU"/>
        </w:rPr>
        <w:t xml:space="preserve"> </w:t>
      </w:r>
      <w:r>
        <w:rPr>
          <w:lang w:val="ru-RU"/>
        </w:rPr>
        <w:t>результаты</w:t>
      </w:r>
      <w:r w:rsidRPr="0082342D">
        <w:rPr>
          <w:lang w:val="ru-RU"/>
        </w:rPr>
        <w:t xml:space="preserve">: </w:t>
      </w:r>
      <w:r>
        <w:rPr>
          <w:lang w:val="ru-RU"/>
        </w:rPr>
        <w:t>после</w:t>
      </w:r>
      <w:r w:rsidRPr="0082342D">
        <w:rPr>
          <w:lang w:val="ru-RU"/>
        </w:rPr>
        <w:t xml:space="preserve"> </w:t>
      </w:r>
      <w:r>
        <w:rPr>
          <w:lang w:val="ru-RU"/>
        </w:rPr>
        <w:t>того</w:t>
      </w:r>
      <w:r w:rsidRPr="0082342D">
        <w:rPr>
          <w:lang w:val="ru-RU"/>
        </w:rPr>
        <w:t xml:space="preserve"> как </w:t>
      </w:r>
      <w:r>
        <w:rPr>
          <w:lang w:val="ru-RU"/>
        </w:rPr>
        <w:t>проект</w:t>
      </w:r>
      <w:r w:rsidRPr="0082342D">
        <w:rPr>
          <w:lang w:val="ru-RU"/>
        </w:rPr>
        <w:t xml:space="preserve"> </w:t>
      </w:r>
      <w:r>
        <w:rPr>
          <w:lang w:val="ru-RU"/>
        </w:rPr>
        <w:t>стратегического</w:t>
      </w:r>
      <w:r w:rsidRPr="0082342D">
        <w:rPr>
          <w:lang w:val="ru-RU"/>
        </w:rPr>
        <w:t xml:space="preserve"> </w:t>
      </w:r>
      <w:r>
        <w:rPr>
          <w:lang w:val="ru-RU"/>
        </w:rPr>
        <w:t>плана</w:t>
      </w:r>
      <w:r w:rsidRPr="0082342D">
        <w:rPr>
          <w:lang w:val="ru-RU"/>
        </w:rPr>
        <w:t xml:space="preserve"> </w:t>
      </w:r>
      <w:r>
        <w:rPr>
          <w:lang w:val="ru-RU"/>
        </w:rPr>
        <w:t>приобретет</w:t>
      </w:r>
      <w:r w:rsidRPr="0082342D">
        <w:rPr>
          <w:lang w:val="ru-RU"/>
        </w:rPr>
        <w:t xml:space="preserve"> </w:t>
      </w:r>
      <w:r>
        <w:rPr>
          <w:lang w:val="ru-RU"/>
        </w:rPr>
        <w:t>более</w:t>
      </w:r>
      <w:r w:rsidRPr="0082342D">
        <w:rPr>
          <w:lang w:val="ru-RU"/>
        </w:rPr>
        <w:t xml:space="preserve"> </w:t>
      </w:r>
      <w:r>
        <w:rPr>
          <w:lang w:val="ru-RU"/>
        </w:rPr>
        <w:t>стабильный</w:t>
      </w:r>
      <w:r w:rsidRPr="0082342D">
        <w:rPr>
          <w:lang w:val="ru-RU"/>
        </w:rPr>
        <w:t xml:space="preserve"> </w:t>
      </w:r>
      <w:r>
        <w:rPr>
          <w:lang w:val="ru-RU"/>
        </w:rPr>
        <w:t>характер</w:t>
      </w:r>
      <w:r w:rsidRPr="0082342D">
        <w:rPr>
          <w:lang w:val="ru-RU"/>
        </w:rPr>
        <w:t xml:space="preserve"> (Дополнение </w:t>
      </w:r>
      <w:r w:rsidRPr="0082342D">
        <w:rPr>
          <w:lang w:val="en-US"/>
        </w:rPr>
        <w:t>A</w:t>
      </w:r>
      <w:r w:rsidRPr="0082342D">
        <w:rPr>
          <w:lang w:val="ru-RU"/>
        </w:rPr>
        <w:t xml:space="preserve"> к </w:t>
      </w:r>
      <w:r>
        <w:rPr>
          <w:lang w:val="ru-RU"/>
        </w:rPr>
        <w:t>действующей</w:t>
      </w:r>
      <w:r w:rsidRPr="0082342D">
        <w:rPr>
          <w:lang w:val="ru-RU"/>
        </w:rPr>
        <w:t xml:space="preserve"> Резолюции 71 </w:t>
      </w:r>
      <w:r>
        <w:rPr>
          <w:lang w:val="ru-RU"/>
        </w:rPr>
        <w:t>и</w:t>
      </w:r>
      <w:r w:rsidRPr="0082342D">
        <w:rPr>
          <w:lang w:val="ru-RU"/>
        </w:rPr>
        <w:t xml:space="preserve"> </w:t>
      </w:r>
      <w:r>
        <w:rPr>
          <w:lang w:val="ru-RU"/>
        </w:rPr>
        <w:t>Таблица</w:t>
      </w:r>
      <w:r w:rsidRPr="0082342D">
        <w:rPr>
          <w:lang w:val="ru-RU"/>
        </w:rPr>
        <w:t xml:space="preserve"> 2 </w:t>
      </w:r>
      <w:r>
        <w:rPr>
          <w:lang w:val="ru-RU"/>
        </w:rPr>
        <w:t>Приложения</w:t>
      </w:r>
      <w:r w:rsidRPr="0082342D">
        <w:rPr>
          <w:lang w:val="en-US"/>
        </w:rPr>
        <w:t> </w:t>
      </w:r>
      <w:r w:rsidRPr="0082342D">
        <w:rPr>
          <w:lang w:val="ru-RU"/>
        </w:rPr>
        <w:t xml:space="preserve">1 </w:t>
      </w:r>
      <w:r>
        <w:rPr>
          <w:lang w:val="ru-RU"/>
        </w:rPr>
        <w:t>к</w:t>
      </w:r>
      <w:r w:rsidRPr="0082342D">
        <w:rPr>
          <w:lang w:val="ru-RU"/>
        </w:rPr>
        <w:t xml:space="preserve"> </w:t>
      </w:r>
      <w:r>
        <w:rPr>
          <w:lang w:val="ru-RU"/>
        </w:rPr>
        <w:t>действующему</w:t>
      </w:r>
      <w:r w:rsidRPr="0082342D">
        <w:rPr>
          <w:lang w:val="ru-RU"/>
        </w:rPr>
        <w:t xml:space="preserve"> </w:t>
      </w:r>
      <w:r>
        <w:rPr>
          <w:lang w:val="ru-RU"/>
        </w:rPr>
        <w:t>Решению</w:t>
      </w:r>
      <w:r w:rsidRPr="0082342D">
        <w:rPr>
          <w:lang w:val="en-US"/>
        </w:rPr>
        <w:t> </w:t>
      </w:r>
      <w:r>
        <w:rPr>
          <w:lang w:val="ru-RU"/>
        </w:rPr>
        <w:t xml:space="preserve">5), будет проведено </w:t>
      </w:r>
      <w:r w:rsidRPr="0082342D">
        <w:rPr>
          <w:lang w:val="ru-RU"/>
        </w:rPr>
        <w:t>перераспределение расходов</w:t>
      </w:r>
      <w:r>
        <w:rPr>
          <w:lang w:val="ru-RU"/>
        </w:rPr>
        <w:t xml:space="preserve"> и представлен проект Финансового плана в формате, ориентированном на результаты;</w:t>
      </w:r>
    </w:p>
    <w:p w14:paraId="35BB109C" w14:textId="77777777" w:rsidR="00252BB8" w:rsidRPr="009C76F2" w:rsidRDefault="00252BB8" w:rsidP="00525E2E">
      <w:pPr>
        <w:pStyle w:val="enumlev1"/>
        <w:rPr>
          <w:lang w:val="ru-RU"/>
        </w:rPr>
      </w:pPr>
      <w:r w:rsidRPr="009C76F2">
        <w:rPr>
          <w:lang w:val="ru-RU"/>
        </w:rPr>
        <w:t>•</w:t>
      </w:r>
      <w:r w:rsidRPr="009C76F2">
        <w:rPr>
          <w:lang w:val="ru-RU"/>
        </w:rPr>
        <w:tab/>
      </w:r>
      <w:r>
        <w:rPr>
          <w:lang w:val="ru-RU"/>
        </w:rPr>
        <w:t>меры</w:t>
      </w:r>
      <w:r w:rsidRPr="009C76F2">
        <w:rPr>
          <w:lang w:val="ru-RU"/>
        </w:rPr>
        <w:t xml:space="preserve"> </w:t>
      </w:r>
      <w:r>
        <w:rPr>
          <w:lang w:val="ru-RU"/>
        </w:rPr>
        <w:t>по</w:t>
      </w:r>
      <w:r w:rsidRPr="009C76F2">
        <w:rPr>
          <w:lang w:val="ru-RU"/>
        </w:rPr>
        <w:t xml:space="preserve"> </w:t>
      </w:r>
      <w:r>
        <w:rPr>
          <w:lang w:val="ru-RU"/>
        </w:rPr>
        <w:t>обеспечению</w:t>
      </w:r>
      <w:r w:rsidRPr="009C76F2">
        <w:rPr>
          <w:lang w:val="ru-RU"/>
        </w:rPr>
        <w:t xml:space="preserve"> </w:t>
      </w:r>
      <w:r>
        <w:rPr>
          <w:lang w:val="ru-RU"/>
        </w:rPr>
        <w:t>баланса</w:t>
      </w:r>
      <w:r w:rsidRPr="009C76F2">
        <w:rPr>
          <w:lang w:val="ru-RU"/>
        </w:rPr>
        <w:t xml:space="preserve"> </w:t>
      </w:r>
      <w:r>
        <w:rPr>
          <w:lang w:val="ru-RU"/>
        </w:rPr>
        <w:t>Финансового</w:t>
      </w:r>
      <w:r w:rsidRPr="009C76F2">
        <w:rPr>
          <w:lang w:val="ru-RU"/>
        </w:rPr>
        <w:t xml:space="preserve"> </w:t>
      </w:r>
      <w:r>
        <w:rPr>
          <w:lang w:val="ru-RU"/>
        </w:rPr>
        <w:t>плана</w:t>
      </w:r>
      <w:r w:rsidRPr="009C76F2">
        <w:rPr>
          <w:lang w:val="ru-RU"/>
        </w:rPr>
        <w:t xml:space="preserve">: </w:t>
      </w:r>
      <w:r>
        <w:rPr>
          <w:lang w:val="ru-RU"/>
        </w:rPr>
        <w:t>группа</w:t>
      </w:r>
      <w:r w:rsidRPr="009C76F2">
        <w:rPr>
          <w:lang w:val="ru-RU"/>
        </w:rPr>
        <w:t xml:space="preserve"> </w:t>
      </w:r>
      <w:r>
        <w:rPr>
          <w:lang w:val="ru-RU"/>
        </w:rPr>
        <w:t>Секретариата</w:t>
      </w:r>
      <w:r w:rsidRPr="009C76F2">
        <w:rPr>
          <w:lang w:val="ru-RU"/>
        </w:rPr>
        <w:t xml:space="preserve">, возглавляемая заместителем Генерального секретаря и состоящая из </w:t>
      </w:r>
      <w:r>
        <w:rPr>
          <w:lang w:val="ru-RU"/>
        </w:rPr>
        <w:t>заместителей</w:t>
      </w:r>
      <w:r w:rsidRPr="009C76F2">
        <w:rPr>
          <w:lang w:val="ru-RU"/>
        </w:rPr>
        <w:t xml:space="preserve"> </w:t>
      </w:r>
      <w:r>
        <w:rPr>
          <w:lang w:val="ru-RU"/>
        </w:rPr>
        <w:t>Директоров</w:t>
      </w:r>
      <w:r w:rsidRPr="009C76F2">
        <w:rPr>
          <w:lang w:val="ru-RU"/>
        </w:rPr>
        <w:t xml:space="preserve"> </w:t>
      </w:r>
      <w:r>
        <w:rPr>
          <w:lang w:val="ru-RU"/>
        </w:rPr>
        <w:t>каждого</w:t>
      </w:r>
      <w:r w:rsidRPr="009C76F2">
        <w:rPr>
          <w:lang w:val="ru-RU"/>
        </w:rPr>
        <w:t xml:space="preserve"> </w:t>
      </w:r>
      <w:r>
        <w:rPr>
          <w:lang w:val="ru-RU"/>
        </w:rPr>
        <w:t>из</w:t>
      </w:r>
      <w:r w:rsidRPr="009C76F2">
        <w:rPr>
          <w:lang w:val="ru-RU"/>
        </w:rPr>
        <w:t xml:space="preserve"> </w:t>
      </w:r>
      <w:r>
        <w:rPr>
          <w:lang w:val="ru-RU"/>
        </w:rPr>
        <w:t>Секторов</w:t>
      </w:r>
      <w:r w:rsidRPr="009C76F2">
        <w:rPr>
          <w:lang w:val="ru-RU"/>
        </w:rPr>
        <w:t xml:space="preserve"> </w:t>
      </w:r>
      <w:r>
        <w:rPr>
          <w:lang w:val="ru-RU"/>
        </w:rPr>
        <w:t>и</w:t>
      </w:r>
      <w:r w:rsidRPr="009C76F2">
        <w:rPr>
          <w:lang w:val="ru-RU"/>
        </w:rPr>
        <w:t xml:space="preserve"> руководител</w:t>
      </w:r>
      <w:r>
        <w:rPr>
          <w:lang w:val="ru-RU"/>
        </w:rPr>
        <w:t>ей</w:t>
      </w:r>
      <w:r w:rsidRPr="009C76F2">
        <w:rPr>
          <w:lang w:val="ru-RU"/>
        </w:rPr>
        <w:t xml:space="preserve"> департаментов</w:t>
      </w:r>
      <w:r>
        <w:rPr>
          <w:lang w:val="ru-RU"/>
        </w:rPr>
        <w:t>, рассматривает несколько подходов и мер для обеспечения баланса Финансового плана, который будет представлен Совету 2022 года;</w:t>
      </w:r>
    </w:p>
    <w:p w14:paraId="6478F18F" w14:textId="77777777" w:rsidR="00252BB8" w:rsidRPr="006E0C7A" w:rsidRDefault="00252BB8" w:rsidP="00525E2E">
      <w:pPr>
        <w:pStyle w:val="enumlev1"/>
        <w:rPr>
          <w:lang w:val="de-DE"/>
        </w:rPr>
      </w:pPr>
      <w:r w:rsidRPr="00943DB9">
        <w:rPr>
          <w:lang w:val="ru-RU"/>
        </w:rPr>
        <w:t>•</w:t>
      </w:r>
      <w:r w:rsidRPr="00943DB9">
        <w:rPr>
          <w:lang w:val="ru-RU"/>
        </w:rPr>
        <w:tab/>
      </w:r>
      <w:r>
        <w:rPr>
          <w:lang w:val="ru-RU"/>
        </w:rPr>
        <w:t>обоснование</w:t>
      </w:r>
      <w:r w:rsidRPr="006E0C7A">
        <w:rPr>
          <w:lang w:val="de-DE"/>
        </w:rPr>
        <w:t xml:space="preserve"> </w:t>
      </w:r>
      <w:r>
        <w:rPr>
          <w:lang w:val="ru-RU"/>
        </w:rPr>
        <w:t>изначального</w:t>
      </w:r>
      <w:r w:rsidRPr="006E0C7A">
        <w:rPr>
          <w:lang w:val="de-DE"/>
        </w:rPr>
        <w:t xml:space="preserve"> </w:t>
      </w:r>
      <w:r>
        <w:rPr>
          <w:lang w:val="ru-RU"/>
        </w:rPr>
        <w:t>дефицита</w:t>
      </w:r>
      <w:r w:rsidRPr="006E0C7A">
        <w:rPr>
          <w:lang w:val="de-DE"/>
        </w:rPr>
        <w:t xml:space="preserve"> </w:t>
      </w:r>
      <w:r>
        <w:rPr>
          <w:lang w:val="ru-RU"/>
        </w:rPr>
        <w:t>в</w:t>
      </w:r>
      <w:r w:rsidRPr="006E0C7A">
        <w:rPr>
          <w:lang w:val="de-DE"/>
        </w:rPr>
        <w:t xml:space="preserve"> </w:t>
      </w:r>
      <w:r>
        <w:rPr>
          <w:lang w:val="ru-RU"/>
        </w:rPr>
        <w:t>размере</w:t>
      </w:r>
      <w:r w:rsidRPr="006E0C7A">
        <w:rPr>
          <w:lang w:val="de-DE"/>
        </w:rPr>
        <w:t xml:space="preserve"> 74 </w:t>
      </w:r>
      <w:r>
        <w:rPr>
          <w:lang w:val="ru-RU"/>
        </w:rPr>
        <w:t>млн</w:t>
      </w:r>
      <w:r w:rsidRPr="006E0C7A">
        <w:rPr>
          <w:lang w:val="de-DE"/>
        </w:rPr>
        <w:t xml:space="preserve">. </w:t>
      </w:r>
      <w:r>
        <w:rPr>
          <w:lang w:val="ru-RU"/>
        </w:rPr>
        <w:t>швейцарских</w:t>
      </w:r>
      <w:r w:rsidRPr="006E0C7A">
        <w:rPr>
          <w:lang w:val="de-DE"/>
        </w:rPr>
        <w:t xml:space="preserve"> </w:t>
      </w:r>
      <w:r>
        <w:rPr>
          <w:lang w:val="ru-RU"/>
        </w:rPr>
        <w:t>франков</w:t>
      </w:r>
      <w:r w:rsidRPr="006E0C7A">
        <w:rPr>
          <w:lang w:val="de-DE"/>
        </w:rPr>
        <w:t xml:space="preserve">: </w:t>
      </w:r>
      <w:r>
        <w:rPr>
          <w:lang w:val="ru-RU"/>
        </w:rPr>
        <w:t>в</w:t>
      </w:r>
      <w:r w:rsidRPr="006E0C7A">
        <w:rPr>
          <w:lang w:val="de-DE"/>
        </w:rPr>
        <w:t xml:space="preserve"> </w:t>
      </w:r>
      <w:r>
        <w:rPr>
          <w:lang w:val="ru-RU"/>
        </w:rPr>
        <w:t>предварительном</w:t>
      </w:r>
      <w:r w:rsidRPr="006E0C7A">
        <w:rPr>
          <w:lang w:val="de-DE"/>
        </w:rPr>
        <w:t xml:space="preserve"> </w:t>
      </w:r>
      <w:r>
        <w:rPr>
          <w:lang w:val="ru-RU"/>
        </w:rPr>
        <w:t>проекте</w:t>
      </w:r>
      <w:r w:rsidRPr="006E0C7A">
        <w:rPr>
          <w:lang w:val="de-DE"/>
        </w:rPr>
        <w:t xml:space="preserve"> </w:t>
      </w:r>
      <w:r>
        <w:rPr>
          <w:lang w:val="ru-RU"/>
        </w:rPr>
        <w:t>Финансового</w:t>
      </w:r>
      <w:r w:rsidRPr="006E0C7A">
        <w:rPr>
          <w:lang w:val="de-DE"/>
        </w:rPr>
        <w:t xml:space="preserve"> </w:t>
      </w:r>
      <w:r>
        <w:rPr>
          <w:lang w:val="ru-RU"/>
        </w:rPr>
        <w:t>плана</w:t>
      </w:r>
      <w:r w:rsidRPr="006E0C7A">
        <w:rPr>
          <w:lang w:val="de-DE"/>
        </w:rPr>
        <w:t xml:space="preserve"> </w:t>
      </w:r>
      <w:r>
        <w:rPr>
          <w:lang w:val="ru-RU"/>
        </w:rPr>
        <w:t>были</w:t>
      </w:r>
      <w:r w:rsidRPr="006E0C7A">
        <w:rPr>
          <w:lang w:val="de-DE"/>
        </w:rPr>
        <w:t xml:space="preserve"> </w:t>
      </w:r>
      <w:r>
        <w:rPr>
          <w:lang w:val="ru-RU"/>
        </w:rPr>
        <w:t>отражены</w:t>
      </w:r>
      <w:r w:rsidRPr="006E0C7A">
        <w:rPr>
          <w:lang w:val="de-DE"/>
        </w:rPr>
        <w:t xml:space="preserve"> </w:t>
      </w:r>
      <w:r>
        <w:rPr>
          <w:lang w:val="ru-RU"/>
        </w:rPr>
        <w:t>вклады</w:t>
      </w:r>
      <w:r w:rsidRPr="006E0C7A">
        <w:rPr>
          <w:lang w:val="de-DE"/>
        </w:rPr>
        <w:t xml:space="preserve"> </w:t>
      </w:r>
      <w:r>
        <w:rPr>
          <w:lang w:val="ru-RU"/>
        </w:rPr>
        <w:t>Генерального</w:t>
      </w:r>
      <w:r w:rsidRPr="006E0C7A">
        <w:rPr>
          <w:lang w:val="de-DE"/>
        </w:rPr>
        <w:t xml:space="preserve"> </w:t>
      </w:r>
      <w:r>
        <w:rPr>
          <w:lang w:val="ru-RU"/>
        </w:rPr>
        <w:t>секретариата</w:t>
      </w:r>
      <w:r w:rsidRPr="006E0C7A">
        <w:rPr>
          <w:lang w:val="de-DE"/>
        </w:rPr>
        <w:t xml:space="preserve"> </w:t>
      </w:r>
      <w:r>
        <w:rPr>
          <w:lang w:val="ru-RU"/>
        </w:rPr>
        <w:t>и</w:t>
      </w:r>
      <w:r w:rsidRPr="006E0C7A">
        <w:rPr>
          <w:lang w:val="de-DE"/>
        </w:rPr>
        <w:t xml:space="preserve"> </w:t>
      </w:r>
      <w:r>
        <w:rPr>
          <w:lang w:val="ru-RU"/>
        </w:rPr>
        <w:t>трех</w:t>
      </w:r>
      <w:r w:rsidRPr="006E0C7A">
        <w:rPr>
          <w:lang w:val="de-DE"/>
        </w:rPr>
        <w:t xml:space="preserve"> </w:t>
      </w:r>
      <w:r>
        <w:rPr>
          <w:lang w:val="ru-RU"/>
        </w:rPr>
        <w:t>Бюро</w:t>
      </w:r>
      <w:r w:rsidRPr="006E0C7A">
        <w:rPr>
          <w:lang w:val="de-DE"/>
        </w:rPr>
        <w:t xml:space="preserve">, </w:t>
      </w:r>
      <w:r>
        <w:rPr>
          <w:lang w:val="ru-RU"/>
        </w:rPr>
        <w:t>содержащие</w:t>
      </w:r>
      <w:r>
        <w:rPr>
          <w:lang w:val="de-DE"/>
        </w:rPr>
        <w:t xml:space="preserve"> </w:t>
      </w:r>
      <w:r>
        <w:rPr>
          <w:lang w:val="ru-RU"/>
        </w:rPr>
        <w:t>новые</w:t>
      </w:r>
      <w:r w:rsidRPr="006E0C7A">
        <w:rPr>
          <w:lang w:val="de-DE"/>
        </w:rPr>
        <w:t xml:space="preserve"> </w:t>
      </w:r>
      <w:r>
        <w:rPr>
          <w:lang w:val="ru-RU"/>
        </w:rPr>
        <w:t>запросы</w:t>
      </w:r>
      <w:r w:rsidRPr="006E0C7A">
        <w:rPr>
          <w:lang w:val="de-DE"/>
        </w:rPr>
        <w:t xml:space="preserve">, </w:t>
      </w:r>
      <w:r>
        <w:rPr>
          <w:lang w:val="ru-RU"/>
        </w:rPr>
        <w:t>которые</w:t>
      </w:r>
      <w:r w:rsidRPr="006E0C7A">
        <w:rPr>
          <w:lang w:val="de-DE"/>
        </w:rPr>
        <w:t xml:space="preserve"> </w:t>
      </w:r>
      <w:r>
        <w:rPr>
          <w:lang w:val="ru-RU"/>
        </w:rPr>
        <w:t>не</w:t>
      </w:r>
      <w:r w:rsidRPr="006E0C7A">
        <w:rPr>
          <w:lang w:val="de-DE"/>
        </w:rPr>
        <w:t xml:space="preserve"> </w:t>
      </w:r>
      <w:r>
        <w:rPr>
          <w:lang w:val="ru-RU"/>
        </w:rPr>
        <w:t>были</w:t>
      </w:r>
      <w:r w:rsidRPr="006E0C7A">
        <w:rPr>
          <w:lang w:val="de-DE"/>
        </w:rPr>
        <w:t xml:space="preserve"> </w:t>
      </w:r>
      <w:r>
        <w:rPr>
          <w:lang w:val="ru-RU"/>
        </w:rPr>
        <w:t>охвачены</w:t>
      </w:r>
      <w:r w:rsidRPr="006E0C7A">
        <w:rPr>
          <w:lang w:val="de-DE"/>
        </w:rPr>
        <w:t xml:space="preserve"> </w:t>
      </w:r>
      <w:r>
        <w:rPr>
          <w:lang w:val="ru-RU"/>
        </w:rPr>
        <w:t>в</w:t>
      </w:r>
      <w:r w:rsidRPr="006E0C7A">
        <w:rPr>
          <w:lang w:val="de-DE"/>
        </w:rPr>
        <w:t xml:space="preserve"> </w:t>
      </w:r>
      <w:r>
        <w:rPr>
          <w:lang w:val="ru-RU"/>
        </w:rPr>
        <w:t>текущем</w:t>
      </w:r>
      <w:r w:rsidRPr="006E0C7A">
        <w:rPr>
          <w:lang w:val="de-DE"/>
        </w:rPr>
        <w:t xml:space="preserve"> </w:t>
      </w:r>
      <w:r>
        <w:rPr>
          <w:lang w:val="ru-RU"/>
        </w:rPr>
        <w:t>бюджете</w:t>
      </w:r>
      <w:r w:rsidRPr="006E0C7A">
        <w:rPr>
          <w:lang w:val="de-DE"/>
        </w:rPr>
        <w:t xml:space="preserve">, </w:t>
      </w:r>
      <w:r>
        <w:rPr>
          <w:lang w:val="ru-RU"/>
        </w:rPr>
        <w:t>а</w:t>
      </w:r>
      <w:r w:rsidRPr="006E0C7A">
        <w:rPr>
          <w:lang w:val="de-DE"/>
        </w:rPr>
        <w:t xml:space="preserve"> </w:t>
      </w:r>
      <w:r>
        <w:rPr>
          <w:lang w:val="ru-RU"/>
        </w:rPr>
        <w:t>также</w:t>
      </w:r>
      <w:r w:rsidRPr="006E0C7A">
        <w:rPr>
          <w:lang w:val="de-DE"/>
        </w:rPr>
        <w:t xml:space="preserve"> </w:t>
      </w:r>
      <w:r>
        <w:rPr>
          <w:lang w:val="ru-RU"/>
        </w:rPr>
        <w:t>сокращение</w:t>
      </w:r>
      <w:r w:rsidRPr="006E0C7A">
        <w:rPr>
          <w:lang w:val="de-DE"/>
        </w:rPr>
        <w:t xml:space="preserve"> </w:t>
      </w:r>
      <w:r>
        <w:rPr>
          <w:lang w:val="ru-RU"/>
        </w:rPr>
        <w:t>доходов</w:t>
      </w:r>
      <w:r w:rsidRPr="006E0C7A">
        <w:rPr>
          <w:lang w:val="de-DE"/>
        </w:rPr>
        <w:t xml:space="preserve">. </w:t>
      </w:r>
      <w:r>
        <w:rPr>
          <w:lang w:val="ru-RU"/>
        </w:rPr>
        <w:t xml:space="preserve">Секретариат представил подробную информацию по запрашиваемому увеличению затрат, прогнозируемому сокращению доходов и </w:t>
      </w:r>
      <w:r w:rsidRPr="00615696">
        <w:rPr>
          <w:lang w:val="ru-RU"/>
        </w:rPr>
        <w:t xml:space="preserve">увеличению объема </w:t>
      </w:r>
      <w:r>
        <w:rPr>
          <w:lang w:val="ru-RU"/>
        </w:rPr>
        <w:t>ассигнований в</w:t>
      </w:r>
      <w:r w:rsidRPr="00615696">
        <w:rPr>
          <w:lang w:val="ru-RU"/>
        </w:rPr>
        <w:t xml:space="preserve"> </w:t>
      </w:r>
      <w:r w:rsidRPr="006E0C7A">
        <w:rPr>
          <w:lang w:val="ru-RU"/>
        </w:rPr>
        <w:t>Капитальный фонд ИКТ</w:t>
      </w:r>
      <w:r>
        <w:rPr>
          <w:lang w:val="ru-RU"/>
        </w:rPr>
        <w:t>;</w:t>
      </w:r>
    </w:p>
    <w:p w14:paraId="0ED7E055" w14:textId="77777777" w:rsidR="00252BB8" w:rsidRPr="00D232C8" w:rsidRDefault="00252BB8" w:rsidP="00525E2E">
      <w:pPr>
        <w:pStyle w:val="enumlev1"/>
        <w:rPr>
          <w:lang w:val="de-DE"/>
        </w:rPr>
      </w:pPr>
      <w:r w:rsidRPr="005F7EDF">
        <w:rPr>
          <w:lang w:val="ru-RU"/>
        </w:rPr>
        <w:t>•</w:t>
      </w:r>
      <w:r w:rsidRPr="005F7EDF">
        <w:rPr>
          <w:lang w:val="ru-RU"/>
        </w:rPr>
        <w:tab/>
      </w:r>
      <w:r>
        <w:rPr>
          <w:lang w:val="ru-RU"/>
        </w:rPr>
        <w:t>мобилизация</w:t>
      </w:r>
      <w:r w:rsidRPr="00D232C8">
        <w:rPr>
          <w:lang w:val="de-DE"/>
        </w:rPr>
        <w:t xml:space="preserve"> </w:t>
      </w:r>
      <w:r>
        <w:rPr>
          <w:lang w:val="ru-RU"/>
        </w:rPr>
        <w:t>ресурсов</w:t>
      </w:r>
      <w:r w:rsidRPr="00D232C8">
        <w:rPr>
          <w:lang w:val="de-DE"/>
        </w:rPr>
        <w:t xml:space="preserve">: </w:t>
      </w:r>
      <w:r w:rsidRPr="00D232C8">
        <w:rPr>
          <w:lang w:val="ru-RU"/>
        </w:rPr>
        <w:t>финансирование</w:t>
      </w:r>
      <w:r w:rsidRPr="00D232C8">
        <w:rPr>
          <w:lang w:val="de-DE"/>
        </w:rPr>
        <w:t xml:space="preserve"> </w:t>
      </w:r>
      <w:r w:rsidRPr="00D232C8">
        <w:rPr>
          <w:lang w:val="ru-RU"/>
        </w:rPr>
        <w:t>из</w:t>
      </w:r>
      <w:r w:rsidRPr="00D232C8">
        <w:rPr>
          <w:lang w:val="de-DE"/>
        </w:rPr>
        <w:t xml:space="preserve"> </w:t>
      </w:r>
      <w:r w:rsidRPr="00D232C8">
        <w:rPr>
          <w:lang w:val="ru-RU"/>
        </w:rPr>
        <w:t>внебюджетных</w:t>
      </w:r>
      <w:r w:rsidRPr="00D232C8">
        <w:rPr>
          <w:lang w:val="de-DE"/>
        </w:rPr>
        <w:t xml:space="preserve"> </w:t>
      </w:r>
      <w:r w:rsidRPr="00D232C8">
        <w:rPr>
          <w:lang w:val="ru-RU"/>
        </w:rPr>
        <w:t>источников</w:t>
      </w:r>
      <w:r w:rsidRPr="00D232C8">
        <w:rPr>
          <w:lang w:val="de-DE"/>
        </w:rPr>
        <w:t xml:space="preserve">, </w:t>
      </w:r>
      <w:r w:rsidRPr="00D232C8">
        <w:rPr>
          <w:lang w:val="ru-RU"/>
        </w:rPr>
        <w:t>а</w:t>
      </w:r>
      <w:r w:rsidRPr="00D232C8">
        <w:rPr>
          <w:lang w:val="de-DE"/>
        </w:rPr>
        <w:t xml:space="preserve"> </w:t>
      </w:r>
      <w:r w:rsidRPr="00D232C8">
        <w:rPr>
          <w:lang w:val="ru-RU"/>
        </w:rPr>
        <w:t>не</w:t>
      </w:r>
      <w:r w:rsidRPr="00D232C8">
        <w:rPr>
          <w:lang w:val="de-DE"/>
        </w:rPr>
        <w:t xml:space="preserve"> </w:t>
      </w:r>
      <w:r w:rsidRPr="00D232C8">
        <w:rPr>
          <w:lang w:val="ru-RU"/>
        </w:rPr>
        <w:t>из</w:t>
      </w:r>
      <w:r w:rsidRPr="00D232C8">
        <w:rPr>
          <w:lang w:val="de-DE"/>
        </w:rPr>
        <w:t xml:space="preserve"> </w:t>
      </w:r>
      <w:r w:rsidRPr="00D232C8">
        <w:rPr>
          <w:lang w:val="ru-RU"/>
        </w:rPr>
        <w:t>средств</w:t>
      </w:r>
      <w:r w:rsidRPr="00D232C8">
        <w:rPr>
          <w:lang w:val="de-DE"/>
        </w:rPr>
        <w:t xml:space="preserve"> </w:t>
      </w:r>
      <w:r w:rsidRPr="00D232C8">
        <w:rPr>
          <w:lang w:val="ru-RU"/>
        </w:rPr>
        <w:t>основного</w:t>
      </w:r>
      <w:r w:rsidRPr="00D232C8">
        <w:rPr>
          <w:lang w:val="de-DE"/>
        </w:rPr>
        <w:t xml:space="preserve"> </w:t>
      </w:r>
      <w:r w:rsidRPr="00D232C8">
        <w:rPr>
          <w:lang w:val="ru-RU"/>
        </w:rPr>
        <w:t>бюджета</w:t>
      </w:r>
      <w:r w:rsidRPr="00D232C8">
        <w:rPr>
          <w:lang w:val="de-DE"/>
        </w:rPr>
        <w:t xml:space="preserve">. </w:t>
      </w:r>
      <w:r>
        <w:rPr>
          <w:lang w:val="ru-RU"/>
        </w:rPr>
        <w:t>Несмотря</w:t>
      </w:r>
      <w:r w:rsidRPr="00D232C8">
        <w:rPr>
          <w:lang w:val="de-DE"/>
        </w:rPr>
        <w:t xml:space="preserve"> </w:t>
      </w:r>
      <w:r>
        <w:rPr>
          <w:lang w:val="ru-RU"/>
        </w:rPr>
        <w:t>на</w:t>
      </w:r>
      <w:r w:rsidRPr="00D232C8">
        <w:rPr>
          <w:lang w:val="de-DE"/>
        </w:rPr>
        <w:t xml:space="preserve"> </w:t>
      </w:r>
      <w:r>
        <w:rPr>
          <w:lang w:val="ru-RU"/>
        </w:rPr>
        <w:t>трудности</w:t>
      </w:r>
      <w:r w:rsidRPr="00D232C8">
        <w:rPr>
          <w:lang w:val="de-DE"/>
        </w:rPr>
        <w:t xml:space="preserve"> </w:t>
      </w:r>
      <w:r>
        <w:rPr>
          <w:lang w:val="ru-RU"/>
        </w:rPr>
        <w:t>в</w:t>
      </w:r>
      <w:r w:rsidRPr="00D232C8">
        <w:rPr>
          <w:lang w:val="de-DE"/>
        </w:rPr>
        <w:t xml:space="preserve"> </w:t>
      </w:r>
      <w:r>
        <w:rPr>
          <w:lang w:val="ru-RU"/>
        </w:rPr>
        <w:t>достижении</w:t>
      </w:r>
      <w:r w:rsidRPr="00D232C8">
        <w:rPr>
          <w:lang w:val="de-DE"/>
        </w:rPr>
        <w:t xml:space="preserve"> </w:t>
      </w:r>
      <w:r>
        <w:rPr>
          <w:lang w:val="ru-RU"/>
        </w:rPr>
        <w:t>существенных</w:t>
      </w:r>
      <w:r w:rsidRPr="00D232C8">
        <w:rPr>
          <w:lang w:val="de-DE"/>
        </w:rPr>
        <w:t xml:space="preserve"> </w:t>
      </w:r>
      <w:r>
        <w:rPr>
          <w:lang w:val="ru-RU"/>
        </w:rPr>
        <w:t>результатов</w:t>
      </w:r>
      <w:r w:rsidRPr="00D232C8">
        <w:rPr>
          <w:lang w:val="de-DE"/>
        </w:rPr>
        <w:t xml:space="preserve">, </w:t>
      </w:r>
      <w:r>
        <w:rPr>
          <w:lang w:val="ru-RU"/>
        </w:rPr>
        <w:t>Секретариат</w:t>
      </w:r>
      <w:r w:rsidRPr="00D232C8">
        <w:rPr>
          <w:lang w:val="de-DE"/>
        </w:rPr>
        <w:t xml:space="preserve"> </w:t>
      </w:r>
      <w:r>
        <w:rPr>
          <w:lang w:val="ru-RU"/>
        </w:rPr>
        <w:t>продолжает</w:t>
      </w:r>
      <w:r w:rsidRPr="00D232C8">
        <w:rPr>
          <w:lang w:val="de-DE"/>
        </w:rPr>
        <w:t xml:space="preserve"> </w:t>
      </w:r>
      <w:r>
        <w:rPr>
          <w:lang w:val="ru-RU"/>
        </w:rPr>
        <w:t xml:space="preserve">поиск новых источников поступлений для </w:t>
      </w:r>
      <w:r w:rsidRPr="005F7EDF">
        <w:rPr>
          <w:lang w:val="ru-RU"/>
        </w:rPr>
        <w:t>получения большего объема</w:t>
      </w:r>
      <w:r>
        <w:rPr>
          <w:lang w:val="ru-RU"/>
        </w:rPr>
        <w:t xml:space="preserve"> доходов; </w:t>
      </w:r>
    </w:p>
    <w:p w14:paraId="0AC5C724" w14:textId="70A66815" w:rsidR="00252BB8" w:rsidRPr="00244955" w:rsidRDefault="00252BB8" w:rsidP="00525E2E">
      <w:pPr>
        <w:pStyle w:val="enumlev1"/>
        <w:rPr>
          <w:lang w:val="de-DE"/>
        </w:rPr>
      </w:pPr>
      <w:r w:rsidRPr="004F76D7">
        <w:rPr>
          <w:lang w:val="de-DE"/>
        </w:rPr>
        <w:t>•</w:t>
      </w:r>
      <w:r w:rsidRPr="004F76D7">
        <w:rPr>
          <w:lang w:val="de-DE"/>
        </w:rPr>
        <w:tab/>
      </w:r>
      <w:r w:rsidRPr="005F7EDF">
        <w:rPr>
          <w:lang w:val="de-DE"/>
        </w:rPr>
        <w:t>IMAC:</w:t>
      </w:r>
      <w:r w:rsidRPr="004F76D7">
        <w:rPr>
          <w:lang w:val="de-DE"/>
        </w:rPr>
        <w:t xml:space="preserve"> </w:t>
      </w:r>
      <w:r>
        <w:rPr>
          <w:lang w:val="ru-RU"/>
        </w:rPr>
        <w:t>члены</w:t>
      </w:r>
      <w:r w:rsidRPr="004F76D7">
        <w:rPr>
          <w:lang w:val="de-DE"/>
        </w:rPr>
        <w:t xml:space="preserve"> </w:t>
      </w:r>
      <w:r>
        <w:rPr>
          <w:lang w:val="ru-RU"/>
        </w:rPr>
        <w:t>являются</w:t>
      </w:r>
      <w:r w:rsidRPr="004F76D7">
        <w:rPr>
          <w:lang w:val="de-DE"/>
        </w:rPr>
        <w:t xml:space="preserve"> </w:t>
      </w:r>
      <w:r>
        <w:rPr>
          <w:lang w:val="ru-RU"/>
        </w:rPr>
        <w:t>представителями</w:t>
      </w:r>
      <w:r w:rsidRPr="004F76D7">
        <w:rPr>
          <w:lang w:val="de-DE"/>
        </w:rPr>
        <w:t xml:space="preserve"> </w:t>
      </w:r>
      <w:r>
        <w:rPr>
          <w:lang w:val="ru-RU"/>
        </w:rPr>
        <w:t>одного</w:t>
      </w:r>
      <w:r w:rsidRPr="004F76D7">
        <w:rPr>
          <w:lang w:val="de-DE"/>
        </w:rPr>
        <w:t xml:space="preserve"> </w:t>
      </w:r>
      <w:r>
        <w:rPr>
          <w:lang w:val="ru-RU"/>
        </w:rPr>
        <w:t>региона</w:t>
      </w:r>
      <w:r w:rsidRPr="004F76D7">
        <w:rPr>
          <w:lang w:val="de-DE"/>
        </w:rPr>
        <w:t>;</w:t>
      </w:r>
      <w:r w:rsidRPr="005F7EDF">
        <w:rPr>
          <w:lang w:val="de-DE"/>
        </w:rPr>
        <w:t xml:space="preserve"> </w:t>
      </w:r>
      <w:r>
        <w:rPr>
          <w:lang w:val="ru-RU"/>
        </w:rPr>
        <w:t>услуги</w:t>
      </w:r>
      <w:r w:rsidRPr="004F76D7">
        <w:rPr>
          <w:lang w:val="de-DE"/>
        </w:rPr>
        <w:t xml:space="preserve"> </w:t>
      </w:r>
      <w:r>
        <w:rPr>
          <w:lang w:val="ru-RU"/>
        </w:rPr>
        <w:t>предоставляются</w:t>
      </w:r>
      <w:r w:rsidRPr="004F76D7">
        <w:rPr>
          <w:lang w:val="de-DE"/>
        </w:rPr>
        <w:t xml:space="preserve"> </w:t>
      </w:r>
      <w:r>
        <w:rPr>
          <w:lang w:val="ru-RU"/>
        </w:rPr>
        <w:t>на</w:t>
      </w:r>
      <w:r w:rsidRPr="004F76D7">
        <w:rPr>
          <w:lang w:val="de-DE"/>
        </w:rPr>
        <w:t xml:space="preserve"> </w:t>
      </w:r>
      <w:r>
        <w:rPr>
          <w:lang w:val="ru-RU"/>
        </w:rPr>
        <w:t>безвозмездной</w:t>
      </w:r>
      <w:r w:rsidRPr="004F76D7">
        <w:rPr>
          <w:lang w:val="de-DE"/>
        </w:rPr>
        <w:t xml:space="preserve"> </w:t>
      </w:r>
      <w:r>
        <w:rPr>
          <w:lang w:val="ru-RU"/>
        </w:rPr>
        <w:t>основе</w:t>
      </w:r>
      <w:r w:rsidRPr="004F76D7">
        <w:rPr>
          <w:lang w:val="de-DE"/>
        </w:rPr>
        <w:t xml:space="preserve">, </w:t>
      </w:r>
      <w:r>
        <w:rPr>
          <w:lang w:val="ru-RU"/>
        </w:rPr>
        <w:t>оплачиваются</w:t>
      </w:r>
      <w:r w:rsidRPr="004F76D7">
        <w:rPr>
          <w:lang w:val="de-DE"/>
        </w:rPr>
        <w:t xml:space="preserve"> </w:t>
      </w:r>
      <w:r>
        <w:rPr>
          <w:lang w:val="ru-RU"/>
        </w:rPr>
        <w:t>только</w:t>
      </w:r>
      <w:r w:rsidRPr="004F76D7">
        <w:rPr>
          <w:lang w:val="de-DE"/>
        </w:rPr>
        <w:t xml:space="preserve"> </w:t>
      </w:r>
      <w:r>
        <w:rPr>
          <w:lang w:val="ru-RU"/>
        </w:rPr>
        <w:t>авиабилеты</w:t>
      </w:r>
      <w:r w:rsidRPr="004F76D7">
        <w:rPr>
          <w:lang w:val="de-DE"/>
        </w:rPr>
        <w:t xml:space="preserve"> </w:t>
      </w:r>
      <w:r>
        <w:rPr>
          <w:lang w:val="ru-RU"/>
        </w:rPr>
        <w:t>и</w:t>
      </w:r>
      <w:r w:rsidRPr="004F76D7">
        <w:rPr>
          <w:lang w:val="de-DE"/>
        </w:rPr>
        <w:t xml:space="preserve"> </w:t>
      </w:r>
      <w:r>
        <w:rPr>
          <w:lang w:val="ru-RU"/>
        </w:rPr>
        <w:t>суточные</w:t>
      </w:r>
      <w:r w:rsidRPr="004F76D7">
        <w:rPr>
          <w:lang w:val="de-DE"/>
        </w:rPr>
        <w:t>;</w:t>
      </w:r>
    </w:p>
    <w:p w14:paraId="607574A3" w14:textId="77777777" w:rsidR="00252BB8" w:rsidRPr="004F76D7" w:rsidRDefault="00252BB8" w:rsidP="00525E2E">
      <w:pPr>
        <w:pStyle w:val="enumlev1"/>
        <w:rPr>
          <w:lang w:val="ru-RU"/>
        </w:rPr>
      </w:pPr>
      <w:r w:rsidRPr="005343FA">
        <w:rPr>
          <w:lang w:val="ru-RU"/>
        </w:rPr>
        <w:t>•</w:t>
      </w:r>
      <w:r w:rsidRPr="005343FA">
        <w:rPr>
          <w:lang w:val="ru-RU"/>
        </w:rPr>
        <w:tab/>
      </w:r>
      <w:r w:rsidRPr="004F76D7">
        <w:rPr>
          <w:lang w:val="de-DE"/>
        </w:rPr>
        <w:t>доход</w:t>
      </w:r>
      <w:r>
        <w:rPr>
          <w:lang w:val="ru-RU"/>
        </w:rPr>
        <w:t>ы</w:t>
      </w:r>
      <w:r w:rsidRPr="004F76D7">
        <w:rPr>
          <w:lang w:val="de-DE"/>
        </w:rPr>
        <w:t xml:space="preserve"> от проведения мероприятий ITU Telecom: </w:t>
      </w:r>
      <w:r>
        <w:rPr>
          <w:lang w:val="ru-RU"/>
        </w:rPr>
        <w:t>в</w:t>
      </w:r>
      <w:r w:rsidRPr="004F76D7">
        <w:rPr>
          <w:lang w:val="de-DE"/>
        </w:rPr>
        <w:t xml:space="preserve"> </w:t>
      </w:r>
      <w:r>
        <w:rPr>
          <w:lang w:val="ru-RU"/>
        </w:rPr>
        <w:t>проект</w:t>
      </w:r>
      <w:r w:rsidRPr="004F76D7">
        <w:rPr>
          <w:lang w:val="de-DE"/>
        </w:rPr>
        <w:t xml:space="preserve"> </w:t>
      </w:r>
      <w:r>
        <w:rPr>
          <w:lang w:val="ru-RU"/>
        </w:rPr>
        <w:t>Финансового</w:t>
      </w:r>
      <w:r w:rsidRPr="004F76D7">
        <w:rPr>
          <w:lang w:val="de-DE"/>
        </w:rPr>
        <w:t xml:space="preserve"> </w:t>
      </w:r>
      <w:r>
        <w:rPr>
          <w:lang w:val="ru-RU"/>
        </w:rPr>
        <w:t>плана</w:t>
      </w:r>
      <w:r w:rsidRPr="004F76D7">
        <w:rPr>
          <w:lang w:val="de-DE"/>
        </w:rPr>
        <w:t xml:space="preserve"> </w:t>
      </w:r>
      <w:r>
        <w:rPr>
          <w:lang w:val="ru-RU"/>
        </w:rPr>
        <w:t>включено</w:t>
      </w:r>
      <w:r>
        <w:rPr>
          <w:lang w:val="de-DE"/>
        </w:rPr>
        <w:t xml:space="preserve"> 6 </w:t>
      </w:r>
      <w:r>
        <w:rPr>
          <w:lang w:val="ru-RU"/>
        </w:rPr>
        <w:t>млн</w:t>
      </w:r>
      <w:r w:rsidRPr="004F76D7">
        <w:rPr>
          <w:lang w:val="de-DE"/>
        </w:rPr>
        <w:t xml:space="preserve">. </w:t>
      </w:r>
      <w:r>
        <w:rPr>
          <w:lang w:val="ru-RU"/>
        </w:rPr>
        <w:t>швейцарских</w:t>
      </w:r>
      <w:r w:rsidRPr="004F76D7">
        <w:rPr>
          <w:lang w:val="de-DE"/>
        </w:rPr>
        <w:t xml:space="preserve"> </w:t>
      </w:r>
      <w:r>
        <w:rPr>
          <w:lang w:val="ru-RU"/>
        </w:rPr>
        <w:t>франков</w:t>
      </w:r>
      <w:r w:rsidRPr="004F76D7">
        <w:rPr>
          <w:lang w:val="de-DE"/>
        </w:rPr>
        <w:t xml:space="preserve"> (1,5 </w:t>
      </w:r>
      <w:r>
        <w:rPr>
          <w:lang w:val="ru-RU"/>
        </w:rPr>
        <w:t>млн</w:t>
      </w:r>
      <w:r w:rsidRPr="004F76D7">
        <w:rPr>
          <w:lang w:val="de-DE"/>
        </w:rPr>
        <w:t xml:space="preserve">. </w:t>
      </w:r>
      <w:r>
        <w:rPr>
          <w:lang w:val="ru-RU"/>
        </w:rPr>
        <w:t>швейцарских</w:t>
      </w:r>
      <w:r w:rsidRPr="004F76D7">
        <w:rPr>
          <w:lang w:val="de-DE"/>
        </w:rPr>
        <w:t xml:space="preserve"> </w:t>
      </w:r>
      <w:r>
        <w:rPr>
          <w:lang w:val="ru-RU"/>
        </w:rPr>
        <w:t>франков</w:t>
      </w:r>
      <w:r w:rsidRPr="004F76D7">
        <w:rPr>
          <w:lang w:val="de-DE"/>
        </w:rPr>
        <w:t xml:space="preserve"> </w:t>
      </w:r>
      <w:r>
        <w:rPr>
          <w:lang w:val="ru-RU"/>
        </w:rPr>
        <w:t>в</w:t>
      </w:r>
      <w:r w:rsidRPr="004F76D7">
        <w:rPr>
          <w:lang w:val="de-DE"/>
        </w:rPr>
        <w:t xml:space="preserve"> </w:t>
      </w:r>
      <w:r>
        <w:rPr>
          <w:lang w:val="ru-RU"/>
        </w:rPr>
        <w:t>год</w:t>
      </w:r>
      <w:r w:rsidRPr="004F76D7">
        <w:rPr>
          <w:lang w:val="de-DE"/>
        </w:rPr>
        <w:t xml:space="preserve">). </w:t>
      </w:r>
      <w:r>
        <w:rPr>
          <w:lang w:val="ru-RU"/>
        </w:rPr>
        <w:t>В ходе последних</w:t>
      </w:r>
      <w:r w:rsidRPr="004F76D7">
        <w:rPr>
          <w:lang w:val="de-DE"/>
        </w:rPr>
        <w:t xml:space="preserve"> виртуальных консультаций Советников</w:t>
      </w:r>
      <w:r>
        <w:rPr>
          <w:lang w:val="ru-RU"/>
        </w:rPr>
        <w:t xml:space="preserve"> был представлен отчет </w:t>
      </w:r>
      <w:r w:rsidRPr="004F76D7">
        <w:rPr>
          <w:lang w:val="ru-RU"/>
        </w:rPr>
        <w:t>консультационной компани</w:t>
      </w:r>
      <w:r>
        <w:rPr>
          <w:lang w:val="ru-RU"/>
        </w:rPr>
        <w:t>и</w:t>
      </w:r>
      <w:r w:rsidRPr="004F76D7">
        <w:rPr>
          <w:lang w:val="ru-RU"/>
        </w:rPr>
        <w:t xml:space="preserve"> Dalberg</w:t>
      </w:r>
      <w:r>
        <w:rPr>
          <w:lang w:val="ru-RU"/>
        </w:rPr>
        <w:t xml:space="preserve">. Тем не менее </w:t>
      </w:r>
      <w:r w:rsidRPr="00C91243">
        <w:rPr>
          <w:lang w:val="ru-RU"/>
        </w:rPr>
        <w:t>для привлечения большего объема</w:t>
      </w:r>
      <w:r>
        <w:rPr>
          <w:lang w:val="ru-RU"/>
        </w:rPr>
        <w:t xml:space="preserve"> средств</w:t>
      </w:r>
      <w:r w:rsidRPr="005343FA">
        <w:rPr>
          <w:lang w:val="ru-RU"/>
        </w:rPr>
        <w:t xml:space="preserve"> </w:t>
      </w:r>
      <w:r>
        <w:rPr>
          <w:lang w:val="ru-RU"/>
        </w:rPr>
        <w:t xml:space="preserve">необходимо </w:t>
      </w:r>
      <w:r w:rsidRPr="005343FA">
        <w:rPr>
          <w:lang w:val="ru-RU"/>
        </w:rPr>
        <w:t>рассмотреть дополнительные бизнес-модели</w:t>
      </w:r>
      <w:r>
        <w:rPr>
          <w:lang w:val="ru-RU"/>
        </w:rPr>
        <w:t>;</w:t>
      </w:r>
    </w:p>
    <w:p w14:paraId="150872C6" w14:textId="77777777" w:rsidR="00252BB8" w:rsidRPr="00D255BC" w:rsidRDefault="00252BB8" w:rsidP="00525E2E">
      <w:pPr>
        <w:pStyle w:val="enumlev1"/>
        <w:rPr>
          <w:lang w:val="ru-RU"/>
        </w:rPr>
      </w:pPr>
      <w:r w:rsidRPr="00D255BC">
        <w:rPr>
          <w:lang w:val="ru-RU"/>
        </w:rPr>
        <w:t>•</w:t>
      </w:r>
      <w:r w:rsidRPr="00D255BC">
        <w:rPr>
          <w:lang w:val="ru-RU"/>
        </w:rPr>
        <w:tab/>
      </w:r>
      <w:r w:rsidRPr="005343FA">
        <w:rPr>
          <w:lang w:val="ru-RU"/>
        </w:rPr>
        <w:t>величин</w:t>
      </w:r>
      <w:r>
        <w:rPr>
          <w:lang w:val="ru-RU"/>
        </w:rPr>
        <w:t>а</w:t>
      </w:r>
      <w:r w:rsidRPr="005343FA">
        <w:rPr>
          <w:lang w:val="ru-RU"/>
        </w:rPr>
        <w:t xml:space="preserve"> единицы взносов</w:t>
      </w:r>
      <w:r>
        <w:rPr>
          <w:lang w:val="ru-RU"/>
        </w:rPr>
        <w:t xml:space="preserve"> в размере 318 000 швейцарских франков, установленная с 2006 года: представление предложений об изменении величины взносов </w:t>
      </w:r>
      <w:r w:rsidRPr="00D255BC">
        <w:rPr>
          <w:lang w:val="ru-RU"/>
        </w:rPr>
        <w:t>относ</w:t>
      </w:r>
      <w:r>
        <w:rPr>
          <w:lang w:val="ru-RU"/>
        </w:rPr>
        <w:t>и</w:t>
      </w:r>
      <w:r w:rsidRPr="00D255BC">
        <w:rPr>
          <w:lang w:val="ru-RU"/>
        </w:rPr>
        <w:t xml:space="preserve">тся к мандату </w:t>
      </w:r>
      <w:r>
        <w:rPr>
          <w:lang w:val="ru-RU"/>
        </w:rPr>
        <w:t>Государств-Членов, а не Секретариата. Полномочная конференция имеет полномочия принимать решения о размере единицы взносов;</w:t>
      </w:r>
    </w:p>
    <w:p w14:paraId="0027DC71" w14:textId="306D2DC9" w:rsidR="00252BB8" w:rsidRPr="00B52995" w:rsidRDefault="00252BB8" w:rsidP="00525E2E">
      <w:pPr>
        <w:pStyle w:val="enumlev1"/>
        <w:rPr>
          <w:lang w:val="ru-RU"/>
        </w:rPr>
      </w:pPr>
      <w:r w:rsidRPr="00B52995">
        <w:rPr>
          <w:lang w:val="ru-RU"/>
        </w:rPr>
        <w:t>•</w:t>
      </w:r>
      <w:r w:rsidRPr="00B52995">
        <w:rPr>
          <w:lang w:val="ru-RU"/>
        </w:rPr>
        <w:tab/>
      </w:r>
      <w:r w:rsidRPr="00D255BC">
        <w:rPr>
          <w:lang w:val="de-DE"/>
        </w:rPr>
        <w:t xml:space="preserve">финансирование косвенных затрат по проекту </w:t>
      </w:r>
      <w:r>
        <w:rPr>
          <w:lang w:val="ru-RU"/>
        </w:rPr>
        <w:t>нового</w:t>
      </w:r>
      <w:r w:rsidRPr="00B52995">
        <w:rPr>
          <w:lang w:val="ru-RU"/>
        </w:rPr>
        <w:t xml:space="preserve"> </w:t>
      </w:r>
      <w:r>
        <w:rPr>
          <w:lang w:val="ru-RU"/>
        </w:rPr>
        <w:t>здания</w:t>
      </w:r>
      <w:r w:rsidRPr="00B52995">
        <w:rPr>
          <w:lang w:val="ru-RU"/>
        </w:rPr>
        <w:t xml:space="preserve"> </w:t>
      </w:r>
      <w:r w:rsidRPr="00D255BC">
        <w:rPr>
          <w:lang w:val="de-DE"/>
        </w:rPr>
        <w:t>в размере</w:t>
      </w:r>
      <w:r w:rsidRPr="00B52995">
        <w:rPr>
          <w:lang w:val="ru-RU"/>
        </w:rPr>
        <w:t xml:space="preserve"> 13,5 </w:t>
      </w:r>
      <w:r>
        <w:rPr>
          <w:lang w:val="ru-RU"/>
        </w:rPr>
        <w:t>млн</w:t>
      </w:r>
      <w:r w:rsidRPr="00B52995">
        <w:rPr>
          <w:lang w:val="ru-RU"/>
        </w:rPr>
        <w:t xml:space="preserve">. </w:t>
      </w:r>
      <w:r>
        <w:rPr>
          <w:lang w:val="ru-RU"/>
        </w:rPr>
        <w:t>швейцарских</w:t>
      </w:r>
      <w:r w:rsidRPr="00B52995">
        <w:rPr>
          <w:lang w:val="ru-RU"/>
        </w:rPr>
        <w:t xml:space="preserve"> </w:t>
      </w:r>
      <w:r>
        <w:rPr>
          <w:lang w:val="ru-RU"/>
        </w:rPr>
        <w:t>франков</w:t>
      </w:r>
      <w:r w:rsidRPr="00B52995">
        <w:rPr>
          <w:lang w:val="ru-RU"/>
        </w:rPr>
        <w:t xml:space="preserve">: </w:t>
      </w:r>
      <w:r>
        <w:rPr>
          <w:lang w:val="ru-RU"/>
        </w:rPr>
        <w:t>на</w:t>
      </w:r>
      <w:r w:rsidRPr="00B52995">
        <w:rPr>
          <w:lang w:val="ru-RU"/>
        </w:rPr>
        <w:t xml:space="preserve"> </w:t>
      </w:r>
      <w:r>
        <w:rPr>
          <w:lang w:val="ru-RU"/>
        </w:rPr>
        <w:t>текущий</w:t>
      </w:r>
      <w:r w:rsidRPr="00B52995">
        <w:rPr>
          <w:lang w:val="ru-RU"/>
        </w:rPr>
        <w:t xml:space="preserve"> </w:t>
      </w:r>
      <w:r>
        <w:rPr>
          <w:lang w:val="ru-RU"/>
        </w:rPr>
        <w:t>момент</w:t>
      </w:r>
      <w:r w:rsidRPr="00B52995">
        <w:rPr>
          <w:lang w:val="ru-RU"/>
        </w:rPr>
        <w:t xml:space="preserve"> </w:t>
      </w:r>
      <w:r>
        <w:rPr>
          <w:lang w:val="ru-RU"/>
        </w:rPr>
        <w:t>отражено в</w:t>
      </w:r>
      <w:r w:rsidRPr="00B52995">
        <w:rPr>
          <w:lang w:val="ru-RU"/>
        </w:rPr>
        <w:t xml:space="preserve"> </w:t>
      </w:r>
      <w:r>
        <w:rPr>
          <w:lang w:val="ru-RU"/>
        </w:rPr>
        <w:t>категории</w:t>
      </w:r>
      <w:r w:rsidRPr="00B52995">
        <w:rPr>
          <w:lang w:val="ru-RU"/>
        </w:rPr>
        <w:t xml:space="preserve"> </w:t>
      </w:r>
      <w:r w:rsidRPr="00B52995">
        <w:rPr>
          <w:lang w:val="en-US"/>
        </w:rPr>
        <w:t>U</w:t>
      </w:r>
      <w:r>
        <w:rPr>
          <w:lang w:val="en-US"/>
        </w:rPr>
        <w:t>MAC</w:t>
      </w:r>
      <w:r w:rsidRPr="00B52995">
        <w:rPr>
          <w:lang w:val="ru-RU"/>
        </w:rPr>
        <w:t xml:space="preserve"> в Таблице 3 </w:t>
      </w:r>
      <w:r w:rsidR="00FC563E">
        <w:rPr>
          <w:lang w:val="ru-RU"/>
        </w:rPr>
        <w:t>д</w:t>
      </w:r>
      <w:r w:rsidRPr="00B52995">
        <w:rPr>
          <w:lang w:val="ru-RU"/>
        </w:rPr>
        <w:t xml:space="preserve">окумента, но, как было </w:t>
      </w:r>
      <w:r>
        <w:rPr>
          <w:lang w:val="ru-RU"/>
        </w:rPr>
        <w:t xml:space="preserve">отмечено </w:t>
      </w:r>
      <w:r w:rsidRPr="00B52995">
        <w:rPr>
          <w:lang w:val="ru-RU"/>
        </w:rPr>
        <w:t xml:space="preserve">одним из делегатов, </w:t>
      </w:r>
      <w:r>
        <w:rPr>
          <w:lang w:val="ru-RU"/>
        </w:rPr>
        <w:t xml:space="preserve">желательно, чтобы </w:t>
      </w:r>
      <w:r w:rsidRPr="00B52995">
        <w:rPr>
          <w:lang w:val="ru-RU"/>
        </w:rPr>
        <w:t xml:space="preserve">источником финансирования </w:t>
      </w:r>
      <w:r>
        <w:rPr>
          <w:lang w:val="ru-RU"/>
        </w:rPr>
        <w:t>были</w:t>
      </w:r>
      <w:r w:rsidRPr="00B52995">
        <w:rPr>
          <w:lang w:val="ru-RU"/>
        </w:rPr>
        <w:t xml:space="preserve"> добровольные </w:t>
      </w:r>
      <w:r>
        <w:rPr>
          <w:lang w:val="ru-RU"/>
        </w:rPr>
        <w:t>взносы, а не средства основного бюджета;</w:t>
      </w:r>
      <w:r w:rsidRPr="00B52995">
        <w:rPr>
          <w:lang w:val="ru-RU"/>
        </w:rPr>
        <w:t xml:space="preserve"> </w:t>
      </w:r>
    </w:p>
    <w:p w14:paraId="14408B9B" w14:textId="77777777" w:rsidR="00252BB8" w:rsidRPr="00244955" w:rsidRDefault="00252BB8" w:rsidP="00525E2E">
      <w:pPr>
        <w:pStyle w:val="enumlev1"/>
        <w:rPr>
          <w:lang w:val="de-DE"/>
        </w:rPr>
      </w:pPr>
      <w:r w:rsidRPr="00C450ED">
        <w:rPr>
          <w:lang w:val="ru-RU"/>
        </w:rPr>
        <w:t>•</w:t>
      </w:r>
      <w:r w:rsidRPr="00C450ED">
        <w:rPr>
          <w:lang w:val="ru-RU"/>
        </w:rPr>
        <w:tab/>
      </w:r>
      <w:r w:rsidRPr="00244955">
        <w:rPr>
          <w:lang w:val="de-DE"/>
        </w:rPr>
        <w:t xml:space="preserve">UMAC: </w:t>
      </w:r>
      <w:r>
        <w:rPr>
          <w:lang w:val="ru-RU"/>
        </w:rPr>
        <w:t>также могут быть включены в Финансовый план в зависимости от приоритетности;</w:t>
      </w:r>
    </w:p>
    <w:p w14:paraId="0B3887C3" w14:textId="77777777" w:rsidR="00252BB8" w:rsidRPr="00C31787" w:rsidRDefault="00252BB8" w:rsidP="00525E2E">
      <w:pPr>
        <w:pStyle w:val="enumlev1"/>
        <w:rPr>
          <w:lang w:val="de-DE"/>
        </w:rPr>
      </w:pPr>
      <w:r w:rsidRPr="00C31787">
        <w:rPr>
          <w:lang w:val="de-DE"/>
        </w:rPr>
        <w:t>•</w:t>
      </w:r>
      <w:r w:rsidRPr="00C31787">
        <w:rPr>
          <w:lang w:val="de-DE"/>
        </w:rPr>
        <w:tab/>
      </w:r>
      <w:r>
        <w:rPr>
          <w:lang w:val="ru-RU"/>
        </w:rPr>
        <w:t>ресурсы</w:t>
      </w:r>
      <w:r w:rsidRPr="00C31787">
        <w:rPr>
          <w:lang w:val="de-DE"/>
        </w:rPr>
        <w:t xml:space="preserve"> </w:t>
      </w:r>
      <w:r>
        <w:rPr>
          <w:lang w:val="ru-RU"/>
        </w:rPr>
        <w:t>для</w:t>
      </w:r>
      <w:r w:rsidRPr="00C31787">
        <w:rPr>
          <w:lang w:val="de-DE"/>
        </w:rPr>
        <w:t xml:space="preserve"> </w:t>
      </w:r>
      <w:r>
        <w:rPr>
          <w:lang w:val="ru-RU"/>
        </w:rPr>
        <w:t>выполнения</w:t>
      </w:r>
      <w:r w:rsidRPr="00C31787">
        <w:rPr>
          <w:lang w:val="de-DE"/>
        </w:rPr>
        <w:t xml:space="preserve"> </w:t>
      </w:r>
      <w:r>
        <w:rPr>
          <w:lang w:val="ru-RU"/>
        </w:rPr>
        <w:t>рекомендаций</w:t>
      </w:r>
      <w:r w:rsidRPr="00C31787">
        <w:rPr>
          <w:lang w:val="de-DE"/>
        </w:rPr>
        <w:t xml:space="preserve"> </w:t>
      </w:r>
      <w:r>
        <w:rPr>
          <w:lang w:val="ru-RU"/>
        </w:rPr>
        <w:t>по</w:t>
      </w:r>
      <w:r w:rsidRPr="00C31787">
        <w:rPr>
          <w:lang w:val="de-DE"/>
        </w:rPr>
        <w:t xml:space="preserve"> </w:t>
      </w:r>
      <w:r>
        <w:rPr>
          <w:lang w:val="ru-RU"/>
        </w:rPr>
        <w:t>итогам</w:t>
      </w:r>
      <w:r w:rsidRPr="00C31787">
        <w:rPr>
          <w:lang w:val="de-DE"/>
        </w:rPr>
        <w:t xml:space="preserve"> </w:t>
      </w:r>
      <w:r>
        <w:rPr>
          <w:lang w:val="ru-RU"/>
        </w:rPr>
        <w:t>аудита</w:t>
      </w:r>
      <w:r w:rsidRPr="00C31787">
        <w:rPr>
          <w:lang w:val="de-DE"/>
        </w:rPr>
        <w:t xml:space="preserve">: </w:t>
      </w:r>
      <w:r>
        <w:rPr>
          <w:lang w:val="ru-RU"/>
        </w:rPr>
        <w:t>в</w:t>
      </w:r>
      <w:r w:rsidRPr="00C31787">
        <w:rPr>
          <w:lang w:val="de-DE"/>
        </w:rPr>
        <w:t xml:space="preserve"> </w:t>
      </w:r>
      <w:r>
        <w:rPr>
          <w:lang w:val="ru-RU"/>
        </w:rPr>
        <w:t>настоящий</w:t>
      </w:r>
      <w:r w:rsidRPr="00C31787">
        <w:rPr>
          <w:lang w:val="de-DE"/>
        </w:rPr>
        <w:t xml:space="preserve"> </w:t>
      </w:r>
      <w:r>
        <w:rPr>
          <w:lang w:val="ru-RU"/>
        </w:rPr>
        <w:t>момент</w:t>
      </w:r>
      <w:r w:rsidRPr="00C31787">
        <w:rPr>
          <w:lang w:val="de-DE"/>
        </w:rPr>
        <w:t xml:space="preserve"> </w:t>
      </w:r>
      <w:r>
        <w:rPr>
          <w:lang w:val="ru-RU"/>
        </w:rPr>
        <w:t>для</w:t>
      </w:r>
      <w:r w:rsidRPr="00C31787">
        <w:rPr>
          <w:lang w:val="de-DE"/>
        </w:rPr>
        <w:t xml:space="preserve"> </w:t>
      </w:r>
      <w:r>
        <w:rPr>
          <w:lang w:val="ru-RU"/>
        </w:rPr>
        <w:t>выполнения</w:t>
      </w:r>
      <w:r w:rsidRPr="00C31787">
        <w:rPr>
          <w:lang w:val="de-DE"/>
        </w:rPr>
        <w:t xml:space="preserve"> </w:t>
      </w:r>
      <w:r>
        <w:rPr>
          <w:lang w:val="ru-RU"/>
        </w:rPr>
        <w:t>рекомендаций</w:t>
      </w:r>
      <w:r w:rsidRPr="00C31787">
        <w:rPr>
          <w:lang w:val="de-DE"/>
        </w:rPr>
        <w:t xml:space="preserve"> </w:t>
      </w:r>
      <w:r>
        <w:rPr>
          <w:lang w:val="ru-RU"/>
        </w:rPr>
        <w:t>по</w:t>
      </w:r>
      <w:r w:rsidRPr="00C31787">
        <w:rPr>
          <w:lang w:val="de-DE"/>
        </w:rPr>
        <w:t xml:space="preserve"> </w:t>
      </w:r>
      <w:r>
        <w:rPr>
          <w:lang w:val="ru-RU"/>
        </w:rPr>
        <w:t>итогам</w:t>
      </w:r>
      <w:r w:rsidRPr="00C31787">
        <w:rPr>
          <w:lang w:val="de-DE"/>
        </w:rPr>
        <w:t xml:space="preserve"> </w:t>
      </w:r>
      <w:r>
        <w:rPr>
          <w:lang w:val="ru-RU"/>
        </w:rPr>
        <w:t>аудита</w:t>
      </w:r>
      <w:r w:rsidRPr="00C31787">
        <w:rPr>
          <w:lang w:val="de-DE"/>
        </w:rPr>
        <w:t xml:space="preserve">, </w:t>
      </w:r>
      <w:r>
        <w:rPr>
          <w:lang w:val="ru-RU"/>
        </w:rPr>
        <w:t>включая</w:t>
      </w:r>
      <w:r w:rsidRPr="00C31787">
        <w:rPr>
          <w:lang w:val="de-DE"/>
        </w:rPr>
        <w:t xml:space="preserve"> судебно-бухгалтерскую экспертизу</w:t>
      </w:r>
      <w:r>
        <w:rPr>
          <w:lang w:val="de-DE"/>
        </w:rPr>
        <w:t xml:space="preserve">, </w:t>
      </w:r>
      <w:r>
        <w:rPr>
          <w:lang w:val="ru-RU"/>
        </w:rPr>
        <w:t>Секретариат</w:t>
      </w:r>
      <w:r w:rsidRPr="00C31787">
        <w:rPr>
          <w:lang w:val="de-DE"/>
        </w:rPr>
        <w:t xml:space="preserve"> </w:t>
      </w:r>
      <w:r>
        <w:rPr>
          <w:lang w:val="ru-RU"/>
        </w:rPr>
        <w:t>использует</w:t>
      </w:r>
      <w:r w:rsidRPr="00C31787">
        <w:rPr>
          <w:lang w:val="de-DE"/>
        </w:rPr>
        <w:t xml:space="preserve"> </w:t>
      </w:r>
      <w:r>
        <w:rPr>
          <w:lang w:val="ru-RU"/>
        </w:rPr>
        <w:t>имеющиеся</w:t>
      </w:r>
      <w:r w:rsidRPr="00C31787">
        <w:rPr>
          <w:lang w:val="de-DE"/>
        </w:rPr>
        <w:t xml:space="preserve"> </w:t>
      </w:r>
      <w:r>
        <w:rPr>
          <w:lang w:val="ru-RU"/>
        </w:rPr>
        <w:t>ресурсы</w:t>
      </w:r>
      <w:r w:rsidRPr="00C31787">
        <w:rPr>
          <w:lang w:val="de-DE"/>
        </w:rPr>
        <w:t xml:space="preserve"> FRMD, HRMD </w:t>
      </w:r>
      <w:r>
        <w:rPr>
          <w:lang w:val="ru-RU"/>
        </w:rPr>
        <w:t>и</w:t>
      </w:r>
      <w:r w:rsidRPr="00C31787">
        <w:rPr>
          <w:lang w:val="de-DE"/>
        </w:rPr>
        <w:t xml:space="preserve"> </w:t>
      </w:r>
      <w:r>
        <w:rPr>
          <w:lang w:val="ru-RU"/>
        </w:rPr>
        <w:t>Бюро</w:t>
      </w:r>
      <w:r w:rsidRPr="00C31787">
        <w:rPr>
          <w:lang w:val="de-DE"/>
        </w:rPr>
        <w:t>;</w:t>
      </w:r>
    </w:p>
    <w:p w14:paraId="12BD0C81" w14:textId="77777777" w:rsidR="00252BB8" w:rsidRPr="00C31787" w:rsidRDefault="00252BB8" w:rsidP="00525E2E">
      <w:pPr>
        <w:pStyle w:val="enumlev1"/>
        <w:rPr>
          <w:lang w:val="de-DE"/>
        </w:rPr>
      </w:pPr>
      <w:r w:rsidRPr="00032B45">
        <w:rPr>
          <w:lang w:val="ru-RU"/>
        </w:rPr>
        <w:t>•</w:t>
      </w:r>
      <w:r w:rsidRPr="00032B45">
        <w:rPr>
          <w:lang w:val="ru-RU"/>
        </w:rPr>
        <w:tab/>
      </w:r>
      <w:r>
        <w:rPr>
          <w:lang w:val="ru-RU"/>
        </w:rPr>
        <w:t>региональные</w:t>
      </w:r>
      <w:r w:rsidRPr="00C31787">
        <w:rPr>
          <w:lang w:val="de-DE"/>
        </w:rPr>
        <w:t xml:space="preserve"> </w:t>
      </w:r>
      <w:r>
        <w:rPr>
          <w:lang w:val="ru-RU"/>
        </w:rPr>
        <w:t>инициативы</w:t>
      </w:r>
      <w:r w:rsidRPr="00C31787">
        <w:rPr>
          <w:lang w:val="de-DE"/>
        </w:rPr>
        <w:t xml:space="preserve">: </w:t>
      </w:r>
      <w:r>
        <w:rPr>
          <w:lang w:val="ru-RU"/>
        </w:rPr>
        <w:t>БРЭ</w:t>
      </w:r>
      <w:r w:rsidRPr="00C31787">
        <w:rPr>
          <w:lang w:val="de-DE"/>
        </w:rPr>
        <w:t xml:space="preserve"> </w:t>
      </w:r>
      <w:r>
        <w:rPr>
          <w:lang w:val="ru-RU"/>
        </w:rPr>
        <w:t>продолжает</w:t>
      </w:r>
      <w:r w:rsidRPr="00C31787">
        <w:rPr>
          <w:lang w:val="de-DE"/>
        </w:rPr>
        <w:t xml:space="preserve"> </w:t>
      </w:r>
      <w:r>
        <w:rPr>
          <w:lang w:val="ru-RU"/>
        </w:rPr>
        <w:t>активную</w:t>
      </w:r>
      <w:r w:rsidRPr="00C31787">
        <w:rPr>
          <w:lang w:val="de-DE"/>
        </w:rPr>
        <w:t xml:space="preserve"> </w:t>
      </w:r>
      <w:r>
        <w:rPr>
          <w:lang w:val="ru-RU"/>
        </w:rPr>
        <w:t>работу</w:t>
      </w:r>
      <w:r w:rsidRPr="00C31787">
        <w:rPr>
          <w:lang w:val="de-DE"/>
        </w:rPr>
        <w:t xml:space="preserve"> </w:t>
      </w:r>
      <w:r>
        <w:rPr>
          <w:lang w:val="ru-RU"/>
        </w:rPr>
        <w:t>по</w:t>
      </w:r>
      <w:r w:rsidRPr="00C31787">
        <w:rPr>
          <w:lang w:val="de-DE"/>
        </w:rPr>
        <w:t xml:space="preserve"> </w:t>
      </w:r>
      <w:r>
        <w:rPr>
          <w:lang w:val="ru-RU"/>
        </w:rPr>
        <w:t>мобилизации</w:t>
      </w:r>
      <w:r w:rsidRPr="00C31787">
        <w:rPr>
          <w:lang w:val="de-DE"/>
        </w:rPr>
        <w:t xml:space="preserve"> </w:t>
      </w:r>
      <w:r>
        <w:rPr>
          <w:lang w:val="ru-RU"/>
        </w:rPr>
        <w:t>дополнительных</w:t>
      </w:r>
      <w:r w:rsidRPr="00C31787">
        <w:rPr>
          <w:lang w:val="de-DE"/>
        </w:rPr>
        <w:t xml:space="preserve"> </w:t>
      </w:r>
      <w:r>
        <w:rPr>
          <w:lang w:val="ru-RU"/>
        </w:rPr>
        <w:t>ресурсов</w:t>
      </w:r>
      <w:r w:rsidRPr="00C31787">
        <w:rPr>
          <w:lang w:val="de-DE"/>
        </w:rPr>
        <w:t xml:space="preserve"> </w:t>
      </w:r>
      <w:r>
        <w:rPr>
          <w:lang w:val="ru-RU"/>
        </w:rPr>
        <w:t>и</w:t>
      </w:r>
      <w:r w:rsidRPr="00C31787">
        <w:rPr>
          <w:lang w:val="de-DE"/>
        </w:rPr>
        <w:t xml:space="preserve"> </w:t>
      </w:r>
      <w:r>
        <w:rPr>
          <w:lang w:val="ru-RU"/>
        </w:rPr>
        <w:t>реализации</w:t>
      </w:r>
      <w:r w:rsidRPr="00C31787">
        <w:rPr>
          <w:lang w:val="de-DE"/>
        </w:rPr>
        <w:t xml:space="preserve"> </w:t>
      </w:r>
      <w:r>
        <w:rPr>
          <w:lang w:val="ru-RU"/>
        </w:rPr>
        <w:t>многочисленных</w:t>
      </w:r>
      <w:r w:rsidRPr="00C31787">
        <w:rPr>
          <w:lang w:val="de-DE"/>
        </w:rPr>
        <w:t xml:space="preserve"> </w:t>
      </w:r>
      <w:r>
        <w:rPr>
          <w:lang w:val="ru-RU"/>
        </w:rPr>
        <w:t>региональных</w:t>
      </w:r>
      <w:r w:rsidRPr="00C31787">
        <w:rPr>
          <w:lang w:val="de-DE"/>
        </w:rPr>
        <w:t xml:space="preserve"> </w:t>
      </w:r>
      <w:r>
        <w:rPr>
          <w:lang w:val="ru-RU"/>
        </w:rPr>
        <w:t>инициатив</w:t>
      </w:r>
      <w:r w:rsidRPr="00C31787">
        <w:rPr>
          <w:lang w:val="de-DE"/>
        </w:rPr>
        <w:t xml:space="preserve">. </w:t>
      </w:r>
      <w:r>
        <w:rPr>
          <w:lang w:val="ru-RU"/>
        </w:rPr>
        <w:lastRenderedPageBreak/>
        <w:t xml:space="preserve">Альтернативным источником финансирования проектов в развивающихся странах являются </w:t>
      </w:r>
      <w:r>
        <w:rPr>
          <w:lang w:val="de-DE"/>
        </w:rPr>
        <w:t>взносы в натуральной форме;</w:t>
      </w:r>
    </w:p>
    <w:p w14:paraId="79957387" w14:textId="77777777" w:rsidR="00252BB8" w:rsidRPr="00032B45" w:rsidRDefault="00252BB8" w:rsidP="00525E2E">
      <w:pPr>
        <w:pStyle w:val="enumlev1"/>
        <w:rPr>
          <w:lang w:val="ru-RU"/>
        </w:rPr>
      </w:pPr>
      <w:r w:rsidRPr="0084634C">
        <w:rPr>
          <w:lang w:val="ru-RU"/>
        </w:rPr>
        <w:t>•</w:t>
      </w:r>
      <w:r w:rsidRPr="0084634C">
        <w:rPr>
          <w:lang w:val="ru-RU"/>
        </w:rPr>
        <w:tab/>
      </w:r>
      <w:r>
        <w:rPr>
          <w:lang w:val="ru-RU"/>
        </w:rPr>
        <w:t>сбалансированный</w:t>
      </w:r>
      <w:r w:rsidRPr="00032B45">
        <w:rPr>
          <w:lang w:val="de-DE"/>
        </w:rPr>
        <w:t xml:space="preserve"> </w:t>
      </w:r>
      <w:r>
        <w:rPr>
          <w:lang w:val="ru-RU"/>
        </w:rPr>
        <w:t>Финансовый</w:t>
      </w:r>
      <w:r w:rsidRPr="00032B45">
        <w:rPr>
          <w:lang w:val="de-DE"/>
        </w:rPr>
        <w:t xml:space="preserve"> </w:t>
      </w:r>
      <w:r>
        <w:rPr>
          <w:lang w:val="ru-RU"/>
        </w:rPr>
        <w:t>план</w:t>
      </w:r>
      <w:r w:rsidRPr="00032B45">
        <w:rPr>
          <w:lang w:val="de-DE"/>
        </w:rPr>
        <w:t xml:space="preserve">: </w:t>
      </w:r>
      <w:r>
        <w:rPr>
          <w:lang w:val="ru-RU"/>
        </w:rPr>
        <w:t>делегаты</w:t>
      </w:r>
      <w:r w:rsidRPr="00032B45">
        <w:rPr>
          <w:lang w:val="de-DE"/>
        </w:rPr>
        <w:t xml:space="preserve"> </w:t>
      </w:r>
      <w:r>
        <w:rPr>
          <w:lang w:val="ru-RU"/>
        </w:rPr>
        <w:t>признали</w:t>
      </w:r>
      <w:r w:rsidRPr="00032B45">
        <w:rPr>
          <w:lang w:val="de-DE"/>
        </w:rPr>
        <w:t xml:space="preserve"> </w:t>
      </w:r>
      <w:r>
        <w:rPr>
          <w:lang w:val="ru-RU"/>
        </w:rPr>
        <w:t>трудности</w:t>
      </w:r>
      <w:r w:rsidRPr="00032B45">
        <w:rPr>
          <w:lang w:val="de-DE"/>
        </w:rPr>
        <w:t xml:space="preserve">, </w:t>
      </w:r>
      <w:r>
        <w:rPr>
          <w:lang w:val="ru-RU"/>
        </w:rPr>
        <w:t>с</w:t>
      </w:r>
      <w:r w:rsidRPr="00032B45">
        <w:rPr>
          <w:lang w:val="de-DE"/>
        </w:rPr>
        <w:t xml:space="preserve"> </w:t>
      </w:r>
      <w:r>
        <w:rPr>
          <w:lang w:val="ru-RU"/>
        </w:rPr>
        <w:t>которыми</w:t>
      </w:r>
      <w:r w:rsidRPr="00032B45">
        <w:rPr>
          <w:lang w:val="de-DE"/>
        </w:rPr>
        <w:t xml:space="preserve"> </w:t>
      </w:r>
      <w:r>
        <w:rPr>
          <w:lang w:val="ru-RU"/>
        </w:rPr>
        <w:t>сталкивается</w:t>
      </w:r>
      <w:r w:rsidRPr="00032B45">
        <w:rPr>
          <w:lang w:val="de-DE"/>
        </w:rPr>
        <w:t xml:space="preserve"> </w:t>
      </w:r>
      <w:r>
        <w:rPr>
          <w:lang w:val="ru-RU"/>
        </w:rPr>
        <w:t>Секретариат</w:t>
      </w:r>
      <w:r w:rsidRPr="00032B45">
        <w:rPr>
          <w:lang w:val="de-DE"/>
        </w:rPr>
        <w:t xml:space="preserve">, </w:t>
      </w:r>
      <w:r>
        <w:rPr>
          <w:lang w:val="ru-RU"/>
        </w:rPr>
        <w:t>а</w:t>
      </w:r>
      <w:r w:rsidRPr="00032B45">
        <w:rPr>
          <w:lang w:val="de-DE"/>
        </w:rPr>
        <w:t xml:space="preserve"> </w:t>
      </w:r>
      <w:r>
        <w:rPr>
          <w:lang w:val="ru-RU"/>
        </w:rPr>
        <w:t>также</w:t>
      </w:r>
      <w:r w:rsidRPr="00032B45">
        <w:rPr>
          <w:lang w:val="de-DE"/>
        </w:rPr>
        <w:t xml:space="preserve"> </w:t>
      </w:r>
      <w:r>
        <w:rPr>
          <w:lang w:val="ru-RU"/>
        </w:rPr>
        <w:t>значительные</w:t>
      </w:r>
      <w:r w:rsidRPr="00032B45">
        <w:rPr>
          <w:lang w:val="de-DE"/>
        </w:rPr>
        <w:t xml:space="preserve"> </w:t>
      </w:r>
      <w:r>
        <w:rPr>
          <w:lang w:val="ru-RU"/>
        </w:rPr>
        <w:t>усилия</w:t>
      </w:r>
      <w:r w:rsidRPr="00032B45">
        <w:rPr>
          <w:lang w:val="de-DE"/>
        </w:rPr>
        <w:t xml:space="preserve"> </w:t>
      </w:r>
      <w:r>
        <w:rPr>
          <w:lang w:val="ru-RU"/>
        </w:rPr>
        <w:t>и</w:t>
      </w:r>
      <w:r w:rsidRPr="00032B45">
        <w:rPr>
          <w:lang w:val="de-DE"/>
        </w:rPr>
        <w:t xml:space="preserve"> </w:t>
      </w:r>
      <w:r>
        <w:rPr>
          <w:lang w:val="ru-RU"/>
        </w:rPr>
        <w:t>упорную</w:t>
      </w:r>
      <w:r w:rsidRPr="00032B45">
        <w:rPr>
          <w:lang w:val="de-DE"/>
        </w:rPr>
        <w:t xml:space="preserve"> </w:t>
      </w:r>
      <w:r>
        <w:rPr>
          <w:lang w:val="ru-RU"/>
        </w:rPr>
        <w:t>работу</w:t>
      </w:r>
      <w:r>
        <w:rPr>
          <w:lang w:val="de-DE"/>
        </w:rPr>
        <w:t xml:space="preserve"> всех членов команды Секретариата </w:t>
      </w:r>
      <w:r>
        <w:rPr>
          <w:lang w:val="ru-RU"/>
        </w:rPr>
        <w:t>по</w:t>
      </w:r>
      <w:r w:rsidRPr="0084634C">
        <w:rPr>
          <w:lang w:val="de-DE"/>
        </w:rPr>
        <w:t xml:space="preserve"> </w:t>
      </w:r>
      <w:r>
        <w:rPr>
          <w:lang w:val="de-DE"/>
        </w:rPr>
        <w:t xml:space="preserve">обеспечению </w:t>
      </w:r>
      <w:r>
        <w:rPr>
          <w:lang w:val="ru-RU"/>
        </w:rPr>
        <w:t>баланса</w:t>
      </w:r>
      <w:r>
        <w:rPr>
          <w:lang w:val="de-DE"/>
        </w:rPr>
        <w:t xml:space="preserve"> Финансового плана. </w:t>
      </w:r>
      <w:r>
        <w:rPr>
          <w:lang w:val="ru-RU"/>
        </w:rPr>
        <w:t>Секретариат поблагодарил делегатов за поддержку и будет продолжать усилия для того, чтобы представить Совету 2022 года сбалансированный Финансовый план.</w:t>
      </w:r>
    </w:p>
    <w:p w14:paraId="757DFD0E" w14:textId="77777777" w:rsidR="00252BB8" w:rsidRPr="0084634C" w:rsidRDefault="00252BB8" w:rsidP="00244955">
      <w:pPr>
        <w:rPr>
          <w:lang w:val="ru-RU"/>
        </w:rPr>
      </w:pPr>
      <w:r w:rsidRPr="00BB1E95">
        <w:rPr>
          <w:bCs/>
          <w:lang w:val="ru-RU"/>
        </w:rPr>
        <w:t>12.6</w:t>
      </w:r>
      <w:r w:rsidRPr="00BB1E95">
        <w:rPr>
          <w:bCs/>
          <w:lang w:val="ru-RU"/>
        </w:rPr>
        <w:tab/>
      </w:r>
      <w:r>
        <w:rPr>
          <w:bCs/>
          <w:lang w:val="ru-RU"/>
        </w:rPr>
        <w:t>В свете вышесказанного Председатель отметила, что Секретариат будет продолжать свои усилия по осуществлению мер, включая замечания, озвученные делегатами, чтобы представить Совету 2022 года сбалансированный Финансовый план.</w:t>
      </w:r>
    </w:p>
    <w:p w14:paraId="7D61ED9B" w14:textId="0CAB00AF" w:rsidR="00252BB8" w:rsidRPr="00BB1E95" w:rsidRDefault="00252BB8" w:rsidP="00244955">
      <w:pPr>
        <w:rPr>
          <w:bCs/>
          <w:lang w:val="ru-RU"/>
        </w:rPr>
      </w:pPr>
      <w:r w:rsidRPr="00BB1E95">
        <w:rPr>
          <w:bCs/>
          <w:lang w:val="ru-RU"/>
        </w:rPr>
        <w:t>12.7</w:t>
      </w:r>
      <w:r w:rsidRPr="00BB1E95">
        <w:rPr>
          <w:bCs/>
          <w:lang w:val="ru-RU"/>
        </w:rPr>
        <w:tab/>
      </w:r>
      <w:r w:rsidRPr="00BB1E95">
        <w:rPr>
          <w:bCs/>
          <w:lang w:val="ru-RU" w:bidi="ru-RU"/>
        </w:rPr>
        <w:t xml:space="preserve">Секретариат представил </w:t>
      </w:r>
      <w:r w:rsidR="00FC563E">
        <w:rPr>
          <w:bCs/>
          <w:lang w:val="ru-RU" w:bidi="ru-RU"/>
        </w:rPr>
        <w:t>Д</w:t>
      </w:r>
      <w:r w:rsidRPr="00BB1E95">
        <w:rPr>
          <w:bCs/>
          <w:lang w:val="ru-RU" w:bidi="ru-RU"/>
        </w:rPr>
        <w:t xml:space="preserve">окумент </w:t>
      </w:r>
      <w:r w:rsidRPr="00BB1E95">
        <w:rPr>
          <w:bCs/>
          <w:lang w:val="en-US" w:bidi="ru-RU"/>
        </w:rPr>
        <w:t>CWG</w:t>
      </w:r>
      <w:r w:rsidRPr="00BB1E95">
        <w:rPr>
          <w:bCs/>
          <w:lang w:val="ru-RU" w:bidi="ru-RU"/>
        </w:rPr>
        <w:t>-</w:t>
      </w:r>
      <w:r w:rsidRPr="00BB1E95">
        <w:rPr>
          <w:bCs/>
          <w:lang w:val="en-US" w:bidi="ru-RU"/>
        </w:rPr>
        <w:t>FHR</w:t>
      </w:r>
      <w:r w:rsidRPr="00BB1E95">
        <w:rPr>
          <w:bCs/>
          <w:lang w:val="ru-RU" w:bidi="ru-RU"/>
        </w:rPr>
        <w:t>-15/11(</w:t>
      </w:r>
      <w:r w:rsidRPr="00BB1E95">
        <w:rPr>
          <w:bCs/>
          <w:lang w:val="en-US" w:bidi="ru-RU"/>
        </w:rPr>
        <w:t>Rev</w:t>
      </w:r>
      <w:r w:rsidRPr="00BB1E95">
        <w:rPr>
          <w:bCs/>
          <w:lang w:val="ru-RU" w:bidi="ru-RU"/>
        </w:rPr>
        <w:t xml:space="preserve">.1) </w:t>
      </w:r>
      <w:r>
        <w:rPr>
          <w:bCs/>
          <w:lang w:val="ru-RU" w:bidi="ru-RU"/>
        </w:rPr>
        <w:t>по</w:t>
      </w:r>
      <w:r w:rsidRPr="00BB1E95">
        <w:rPr>
          <w:bCs/>
          <w:lang w:val="ru-RU" w:bidi="ru-RU"/>
        </w:rPr>
        <w:t xml:space="preserve"> предварительном</w:t>
      </w:r>
      <w:r>
        <w:rPr>
          <w:bCs/>
          <w:lang w:val="ru-RU" w:bidi="ru-RU"/>
        </w:rPr>
        <w:t>у размеру</w:t>
      </w:r>
      <w:r w:rsidRPr="00BB1E95">
        <w:rPr>
          <w:bCs/>
          <w:lang w:val="ru-RU" w:bidi="ru-RU"/>
        </w:rPr>
        <w:t xml:space="preserve"> единицы взносов.</w:t>
      </w:r>
    </w:p>
    <w:p w14:paraId="30E54653" w14:textId="77777777" w:rsidR="00252BB8" w:rsidRPr="00A32B15" w:rsidRDefault="00252BB8" w:rsidP="00244955">
      <w:pPr>
        <w:rPr>
          <w:lang w:val="ru-RU"/>
        </w:rPr>
      </w:pPr>
      <w:r w:rsidRPr="00A32B15">
        <w:rPr>
          <w:bCs/>
          <w:lang w:val="ru-RU"/>
        </w:rPr>
        <w:t>12.8</w:t>
      </w:r>
      <w:r w:rsidRPr="00A32B15">
        <w:rPr>
          <w:bCs/>
          <w:lang w:val="ru-RU"/>
        </w:rPr>
        <w:tab/>
      </w:r>
      <w:r w:rsidRPr="00211785">
        <w:rPr>
          <w:lang w:val="ru-RU"/>
        </w:rPr>
        <w:t>В</w:t>
      </w:r>
      <w:r>
        <w:rPr>
          <w:lang w:val="ru-RU"/>
        </w:rPr>
        <w:t xml:space="preserve"> ходе в</w:t>
      </w:r>
      <w:r w:rsidRPr="00211785">
        <w:rPr>
          <w:lang w:val="ru-RU"/>
        </w:rPr>
        <w:t>иртуальны</w:t>
      </w:r>
      <w:r>
        <w:rPr>
          <w:lang w:val="ru-RU"/>
        </w:rPr>
        <w:t>х</w:t>
      </w:r>
      <w:r w:rsidRPr="00211785">
        <w:rPr>
          <w:lang w:val="ru-RU"/>
        </w:rPr>
        <w:t xml:space="preserve"> консультаци</w:t>
      </w:r>
      <w:r>
        <w:rPr>
          <w:lang w:val="ru-RU"/>
        </w:rPr>
        <w:t>й</w:t>
      </w:r>
      <w:r w:rsidRPr="00211785">
        <w:rPr>
          <w:lang w:val="ru-RU"/>
        </w:rPr>
        <w:t xml:space="preserve"> Советников</w:t>
      </w:r>
      <w:r>
        <w:rPr>
          <w:lang w:val="ru-RU"/>
        </w:rPr>
        <w:t>, состоявшихся в</w:t>
      </w:r>
      <w:r w:rsidRPr="00211785">
        <w:rPr>
          <w:lang w:val="ru-RU"/>
        </w:rPr>
        <w:t xml:space="preserve"> июн</w:t>
      </w:r>
      <w:r>
        <w:rPr>
          <w:lang w:val="ru-RU"/>
        </w:rPr>
        <w:t xml:space="preserve">е </w:t>
      </w:r>
      <w:r w:rsidRPr="00211785">
        <w:rPr>
          <w:lang w:val="ru-RU"/>
        </w:rPr>
        <w:t>2021 года</w:t>
      </w:r>
      <w:r>
        <w:rPr>
          <w:lang w:val="ru-RU"/>
        </w:rPr>
        <w:t xml:space="preserve">, была установлена </w:t>
      </w:r>
      <w:r w:rsidRPr="00211785">
        <w:rPr>
          <w:lang w:val="ru-RU"/>
        </w:rPr>
        <w:t>предварительн</w:t>
      </w:r>
      <w:r>
        <w:rPr>
          <w:lang w:val="ru-RU"/>
        </w:rPr>
        <w:t>ая</w:t>
      </w:r>
      <w:r w:rsidRPr="00211785">
        <w:rPr>
          <w:lang w:val="ru-RU"/>
        </w:rPr>
        <w:t xml:space="preserve"> </w:t>
      </w:r>
      <w:r w:rsidRPr="00A32B15">
        <w:rPr>
          <w:lang w:val="ru-RU"/>
        </w:rPr>
        <w:t>величина единицы взносов в размере 318 000 швейцарских франков на период 2024−2027 годов, которая будет использоваться в качестве основы для обсуждений Государств-Членов по Финансовому плану и подготовки к Полномочной конференции 2022 года.</w:t>
      </w:r>
    </w:p>
    <w:p w14:paraId="66C7B119" w14:textId="77777777" w:rsidR="00252BB8" w:rsidRPr="00201803" w:rsidRDefault="00252BB8" w:rsidP="00244955">
      <w:pPr>
        <w:rPr>
          <w:lang w:val="ru-RU"/>
        </w:rPr>
      </w:pPr>
      <w:r w:rsidRPr="00201803">
        <w:rPr>
          <w:lang w:val="ru-RU"/>
        </w:rPr>
        <w:t>12.9</w:t>
      </w:r>
      <w:r w:rsidRPr="00201803">
        <w:rPr>
          <w:lang w:val="ru-RU"/>
        </w:rPr>
        <w:tab/>
        <w:t>5 августа 2021 года МСЭ предложил Государствам-Членам объявить до 31 декабря 2021 года свой предварительный класс взносов на период 2024–2027 годов для использования Секретариатом при разработке надежного и реалистичного проекта Финансового плана на 2024−2027 годы.</w:t>
      </w:r>
    </w:p>
    <w:p w14:paraId="15E1E8D9" w14:textId="0331B773" w:rsidR="00252BB8" w:rsidRPr="000D1364" w:rsidRDefault="00252BB8" w:rsidP="00244955">
      <w:pPr>
        <w:rPr>
          <w:lang w:val="ru-RU"/>
        </w:rPr>
      </w:pPr>
      <w:r w:rsidRPr="00201803">
        <w:rPr>
          <w:lang w:val="ru-RU"/>
        </w:rPr>
        <w:t>12.10</w:t>
      </w:r>
      <w:r w:rsidRPr="00201803">
        <w:rPr>
          <w:lang w:val="ru-RU"/>
        </w:rPr>
        <w:tab/>
        <w:t xml:space="preserve">В Приложении 1 к </w:t>
      </w:r>
      <w:r w:rsidR="0045032B">
        <w:rPr>
          <w:lang w:val="ru-RU"/>
        </w:rPr>
        <w:t>д</w:t>
      </w:r>
      <w:r w:rsidRPr="00201803">
        <w:rPr>
          <w:lang w:val="ru-RU"/>
        </w:rPr>
        <w:t>окументу указаны классы взносов, выбранные каждым Государством-Членом на период 2020−2023 годов, и 17 объявленных предварительных классов взносов на период 2024−2027 годов. Количество предварительных единиц взносов пока остается прежним и составляет 343 11/16 единицы по состоянию на 31 декабря 2021 года.</w:t>
      </w:r>
    </w:p>
    <w:p w14:paraId="16AE7B5E" w14:textId="2418A25C" w:rsidR="00252BB8" w:rsidRPr="000D1364" w:rsidRDefault="00252BB8" w:rsidP="00244955">
      <w:pPr>
        <w:rPr>
          <w:lang w:val="ru-RU"/>
        </w:rPr>
      </w:pPr>
      <w:r w:rsidRPr="00A32B15">
        <w:rPr>
          <w:lang w:val="ru-RU"/>
        </w:rPr>
        <w:t>12.11</w:t>
      </w:r>
      <w:r w:rsidRPr="00A32B15">
        <w:rPr>
          <w:lang w:val="ru-RU"/>
        </w:rPr>
        <w:tab/>
      </w:r>
      <w:r>
        <w:rPr>
          <w:lang w:val="ru-RU"/>
        </w:rPr>
        <w:t xml:space="preserve">Председатель отметила, что делегаты приняли </w:t>
      </w:r>
      <w:r w:rsidR="0045032B">
        <w:rPr>
          <w:lang w:val="ru-RU"/>
        </w:rPr>
        <w:t>д</w:t>
      </w:r>
      <w:r>
        <w:rPr>
          <w:lang w:val="ru-RU"/>
        </w:rPr>
        <w:t>окумент к сведению.</w:t>
      </w:r>
    </w:p>
    <w:p w14:paraId="3EBF70E8" w14:textId="77777777" w:rsidR="00252BB8" w:rsidRPr="009576CC" w:rsidRDefault="00252BB8" w:rsidP="003F6445">
      <w:pPr>
        <w:pStyle w:val="Heading1"/>
        <w:rPr>
          <w:lang w:val="ru-RU"/>
        </w:rPr>
      </w:pPr>
      <w:r w:rsidRPr="009576CC">
        <w:rPr>
          <w:lang w:val="ru-RU"/>
        </w:rPr>
        <w:t>13</w:t>
      </w:r>
      <w:r w:rsidRPr="009576CC">
        <w:rPr>
          <w:lang w:val="ru-RU"/>
        </w:rPr>
        <w:tab/>
        <w:t>Вклад США – Возможный новый подход к управлению финансовыми рисками при строительстве (</w:t>
      </w:r>
      <w:r>
        <w:rPr>
          <w:lang w:val="ru-RU"/>
        </w:rPr>
        <w:t>Документ</w:t>
      </w:r>
      <w:r w:rsidRPr="009576CC">
        <w:rPr>
          <w:lang w:val="ru-RU"/>
        </w:rPr>
        <w:t xml:space="preserve"> </w:t>
      </w:r>
      <w:hyperlink r:id="rId36" w:history="1">
        <w:r w:rsidRPr="003F6445">
          <w:rPr>
            <w:rStyle w:val="Hyperlink"/>
            <w:bCs/>
            <w:lang w:val="en-US"/>
          </w:rPr>
          <w:t>CWG</w:t>
        </w:r>
        <w:r w:rsidRPr="009576CC">
          <w:rPr>
            <w:rStyle w:val="Hyperlink"/>
            <w:bCs/>
            <w:lang w:val="ru-RU"/>
          </w:rPr>
          <w:t>-</w:t>
        </w:r>
        <w:r w:rsidRPr="003F6445">
          <w:rPr>
            <w:rStyle w:val="Hyperlink"/>
            <w:bCs/>
            <w:lang w:val="en-US"/>
          </w:rPr>
          <w:t>FHR</w:t>
        </w:r>
        <w:r w:rsidRPr="009576CC">
          <w:rPr>
            <w:rStyle w:val="Hyperlink"/>
            <w:bCs/>
            <w:lang w:val="ru-RU"/>
          </w:rPr>
          <w:t>-</w:t>
        </w:r>
        <w:r w:rsidRPr="009576CC">
          <w:rPr>
            <w:rStyle w:val="Hyperlink"/>
            <w:lang w:val="ru-RU"/>
          </w:rPr>
          <w:t>15/21</w:t>
        </w:r>
      </w:hyperlink>
      <w:r w:rsidRPr="009576CC">
        <w:rPr>
          <w:rFonts w:eastAsiaTheme="minorHAnsi"/>
          <w:lang w:val="ru-RU"/>
        </w:rPr>
        <w:t xml:space="preserve">) </w:t>
      </w:r>
    </w:p>
    <w:p w14:paraId="515B511E" w14:textId="4C4971E5" w:rsidR="00252BB8" w:rsidRPr="00201803" w:rsidRDefault="00252BB8" w:rsidP="003F6445">
      <w:pPr>
        <w:rPr>
          <w:lang w:val="ru-RU"/>
        </w:rPr>
      </w:pPr>
      <w:r w:rsidRPr="000C2239">
        <w:rPr>
          <w:bCs/>
          <w:lang w:val="ru-RU"/>
        </w:rPr>
        <w:t>13.1</w:t>
      </w:r>
      <w:r w:rsidRPr="000C2239">
        <w:rPr>
          <w:bCs/>
          <w:lang w:val="ru-RU"/>
        </w:rPr>
        <w:tab/>
      </w:r>
      <w:r>
        <w:rPr>
          <w:lang w:val="ru-RU"/>
        </w:rPr>
        <w:t xml:space="preserve">Делегат от Соединенных Штатов Америки представил Документ </w:t>
      </w:r>
      <w:r w:rsidRPr="00201803">
        <w:rPr>
          <w:lang w:val="ru-RU"/>
        </w:rPr>
        <w:t>CWG-FHR-15/21.</w:t>
      </w:r>
      <w:r>
        <w:rPr>
          <w:lang w:val="ru-RU"/>
        </w:rPr>
        <w:t xml:space="preserve"> В </w:t>
      </w:r>
      <w:r w:rsidRPr="000C2239">
        <w:rPr>
          <w:lang w:val="ru-RU"/>
        </w:rPr>
        <w:t xml:space="preserve">качестве дополнительного резерва </w:t>
      </w:r>
      <w:r>
        <w:rPr>
          <w:lang w:val="ru-RU"/>
        </w:rPr>
        <w:t>в рамках</w:t>
      </w:r>
      <w:r w:rsidRPr="000C2239">
        <w:rPr>
          <w:lang w:val="ru-RU"/>
        </w:rPr>
        <w:t xml:space="preserve"> управления финансовыми рисками для</w:t>
      </w:r>
      <w:r>
        <w:rPr>
          <w:lang w:val="ru-RU"/>
        </w:rPr>
        <w:t xml:space="preserve"> Государств</w:t>
      </w:r>
      <w:r w:rsidRPr="000C2239">
        <w:rPr>
          <w:lang w:val="ru-RU"/>
        </w:rPr>
        <w:t>-</w:t>
      </w:r>
      <w:r>
        <w:rPr>
          <w:lang w:val="ru-RU"/>
        </w:rPr>
        <w:t>Ч</w:t>
      </w:r>
      <w:r w:rsidRPr="000C2239">
        <w:rPr>
          <w:lang w:val="ru-RU"/>
        </w:rPr>
        <w:t>ленов в связи со с</w:t>
      </w:r>
      <w:r>
        <w:rPr>
          <w:lang w:val="ru-RU"/>
        </w:rPr>
        <w:t>троительством нового здания МСЭ Совет учредил Ф</w:t>
      </w:r>
      <w:r w:rsidRPr="00201803">
        <w:rPr>
          <w:lang w:val="ru-RU"/>
        </w:rPr>
        <w:t>онд реестра рисков</w:t>
      </w:r>
      <w:r>
        <w:rPr>
          <w:lang w:val="ru-RU"/>
        </w:rPr>
        <w:t xml:space="preserve"> </w:t>
      </w:r>
      <w:r w:rsidRPr="00201803">
        <w:rPr>
          <w:lang w:val="ru-RU"/>
        </w:rPr>
        <w:t>(</w:t>
      </w:r>
      <w:r w:rsidR="000419B3">
        <w:rPr>
          <w:lang w:val="ru-RU"/>
        </w:rPr>
        <w:t>ФРР</w:t>
      </w:r>
      <w:r w:rsidRPr="00201803">
        <w:rPr>
          <w:lang w:val="ru-RU"/>
        </w:rPr>
        <w:t>)</w:t>
      </w:r>
      <w:r>
        <w:rPr>
          <w:lang w:val="ru-RU"/>
        </w:rPr>
        <w:t>.</w:t>
      </w:r>
    </w:p>
    <w:p w14:paraId="3743C7C3" w14:textId="59C51FA8" w:rsidR="00252BB8" w:rsidRPr="00E20BE5" w:rsidRDefault="00252BB8" w:rsidP="003F6445">
      <w:pPr>
        <w:rPr>
          <w:lang w:val="ru-RU"/>
        </w:rPr>
      </w:pPr>
      <w:r w:rsidRPr="00814D75">
        <w:rPr>
          <w:lang w:val="ru-RU"/>
        </w:rPr>
        <w:t>13.2</w:t>
      </w:r>
      <w:r w:rsidRPr="00814D75">
        <w:rPr>
          <w:lang w:val="ru-RU"/>
        </w:rPr>
        <w:tab/>
      </w:r>
      <w:r>
        <w:rPr>
          <w:lang w:val="ru-RU"/>
        </w:rPr>
        <w:t xml:space="preserve">Создание </w:t>
      </w:r>
      <w:r w:rsidR="000419B3">
        <w:rPr>
          <w:lang w:val="ru-RU"/>
        </w:rPr>
        <w:t>ФРР</w:t>
      </w:r>
      <w:r>
        <w:rPr>
          <w:lang w:val="ru-RU"/>
        </w:rPr>
        <w:t xml:space="preserve"> способствовало принятию Советом 2018 года решения о продолжении реализации проекта строительства, который является частью общей стратегии управления рисками. Тем не менее, </w:t>
      </w:r>
      <w:r w:rsidRPr="00814D75">
        <w:rPr>
          <w:lang w:val="ru-RU"/>
        </w:rPr>
        <w:t>согласно КГГЧ</w:t>
      </w:r>
      <w:r>
        <w:rPr>
          <w:lang w:val="ru-RU"/>
        </w:rPr>
        <w:t>, доступное на данный момент финансирование в размере всего 3,6 млн. швейцарских франков является недостаточным.</w:t>
      </w:r>
    </w:p>
    <w:p w14:paraId="3E5351D7" w14:textId="0CA6BA57" w:rsidR="00252BB8" w:rsidRPr="00E20BE5" w:rsidRDefault="00252BB8" w:rsidP="003F6445">
      <w:pPr>
        <w:rPr>
          <w:lang w:val="ru-RU"/>
        </w:rPr>
      </w:pPr>
      <w:r w:rsidRPr="0058752B">
        <w:rPr>
          <w:lang w:val="ru-RU"/>
        </w:rPr>
        <w:t>13.3</w:t>
      </w:r>
      <w:r w:rsidRPr="0058752B">
        <w:rPr>
          <w:lang w:val="ru-RU"/>
        </w:rPr>
        <w:tab/>
      </w:r>
      <w:r>
        <w:rPr>
          <w:lang w:val="ru-RU"/>
        </w:rPr>
        <w:t xml:space="preserve">Соединенные Штаты Америки предлагают </w:t>
      </w:r>
      <w:r w:rsidRPr="00E20BE5">
        <w:rPr>
          <w:lang w:val="ru-RU"/>
        </w:rPr>
        <w:t>РГС-ФЛР</w:t>
      </w:r>
      <w:r>
        <w:rPr>
          <w:lang w:val="ru-RU"/>
        </w:rPr>
        <w:t xml:space="preserve"> обратиться к Группе МСЭ по финансовому управлению с просьбой собрать больше информации о возможной </w:t>
      </w:r>
      <w:r w:rsidRPr="00814D75">
        <w:rPr>
          <w:lang w:val="ru-RU"/>
        </w:rPr>
        <w:t>стои</w:t>
      </w:r>
      <w:r>
        <w:rPr>
          <w:lang w:val="ru-RU"/>
        </w:rPr>
        <w:t xml:space="preserve">мости использования страхования как средства передачи рисков </w:t>
      </w:r>
      <w:r w:rsidRPr="00814D75">
        <w:rPr>
          <w:lang w:val="ru-RU"/>
        </w:rPr>
        <w:t>в качестве альтернатив</w:t>
      </w:r>
      <w:r>
        <w:rPr>
          <w:lang w:val="ru-RU"/>
        </w:rPr>
        <w:t>ы</w:t>
      </w:r>
      <w:r w:rsidRPr="00814D75">
        <w:rPr>
          <w:lang w:val="ru-RU"/>
        </w:rPr>
        <w:t xml:space="preserve"> </w:t>
      </w:r>
      <w:r w:rsidR="000419B3">
        <w:rPr>
          <w:lang w:val="ru-RU"/>
        </w:rPr>
        <w:t>ФРР</w:t>
      </w:r>
      <w:r>
        <w:rPr>
          <w:lang w:val="ru-RU"/>
        </w:rPr>
        <w:t xml:space="preserve"> и представить отчет Совету 2022 года.</w:t>
      </w:r>
    </w:p>
    <w:p w14:paraId="1D778252" w14:textId="77777777" w:rsidR="00252BB8" w:rsidRPr="00AE1F96" w:rsidRDefault="00252BB8" w:rsidP="003F6445">
      <w:pPr>
        <w:rPr>
          <w:lang w:val="ru-RU"/>
        </w:rPr>
      </w:pPr>
      <w:r w:rsidRPr="0058752B">
        <w:rPr>
          <w:lang w:val="ru-RU"/>
        </w:rPr>
        <w:t>13.4</w:t>
      </w:r>
      <w:r w:rsidRPr="0058752B">
        <w:rPr>
          <w:lang w:val="ru-RU"/>
        </w:rPr>
        <w:tab/>
      </w:r>
      <w:r>
        <w:rPr>
          <w:lang w:val="ru-RU"/>
        </w:rPr>
        <w:t>Несколько делегатов поддержали предложение США, принимая во внимание тот факт, что в бюджете 2021 года может не оказаться сэкономленных средств, а также прогнозируемый дефицит бюджета в Финансовом плане.</w:t>
      </w:r>
    </w:p>
    <w:p w14:paraId="0CCF35C5" w14:textId="77777777" w:rsidR="00252BB8" w:rsidRPr="00AE1F96" w:rsidRDefault="00252BB8" w:rsidP="003F6445">
      <w:pPr>
        <w:rPr>
          <w:u w:val="single"/>
          <w:lang w:val="ru-RU"/>
        </w:rPr>
      </w:pPr>
      <w:r w:rsidRPr="0049167B">
        <w:rPr>
          <w:lang w:val="ru-RU"/>
        </w:rPr>
        <w:t>13.5</w:t>
      </w:r>
      <w:r w:rsidRPr="0049167B">
        <w:rPr>
          <w:lang w:val="ru-RU"/>
        </w:rPr>
        <w:tab/>
      </w:r>
      <w:r>
        <w:rPr>
          <w:lang w:val="ru-RU"/>
        </w:rPr>
        <w:t xml:space="preserve">Секретариат сообщил делегатам, что уже привлек внешнюю организацию, чтобы выяснить, существует ли такой вариант страхового обеспечения; результаты будут представлены Совету 2022 года. Кроме того, Секретариат также ведет консультации с другими учреждениями ООН, чтобы </w:t>
      </w:r>
      <w:r>
        <w:rPr>
          <w:lang w:val="ru-RU"/>
        </w:rPr>
        <w:lastRenderedPageBreak/>
        <w:t xml:space="preserve">узнать, имеют ли они опыт использования подобного страхового обеспечения для управления финансовыми рисками при строительстве зданий. Что касается Фонда реестра рисков, то обновленная информация будет представлена на информационной сессии, которая состоится перед Советом 2022 года. </w:t>
      </w:r>
    </w:p>
    <w:p w14:paraId="044E7FF7" w14:textId="77777777" w:rsidR="00252BB8" w:rsidRPr="009576CC" w:rsidRDefault="00252BB8" w:rsidP="003F6445">
      <w:pPr>
        <w:rPr>
          <w:lang w:val="ru-RU"/>
        </w:rPr>
      </w:pPr>
      <w:r w:rsidRPr="000C2239">
        <w:rPr>
          <w:bCs/>
          <w:lang w:val="ru-RU"/>
        </w:rPr>
        <w:t>13.6</w:t>
      </w:r>
      <w:r w:rsidRPr="000C2239">
        <w:rPr>
          <w:bCs/>
          <w:lang w:val="ru-RU"/>
        </w:rPr>
        <w:tab/>
      </w:r>
      <w:r>
        <w:rPr>
          <w:bCs/>
          <w:lang w:val="ru-RU"/>
        </w:rPr>
        <w:t xml:space="preserve">С учетом поддержки, полученной от делегатов, Председатель отметила, что предложение Соединенных Штатов Америки, изложенное в Документе </w:t>
      </w:r>
      <w:r w:rsidRPr="009576CC">
        <w:rPr>
          <w:bCs/>
          <w:lang w:val="ru-RU"/>
        </w:rPr>
        <w:t>CWG-FHR-15/21</w:t>
      </w:r>
      <w:r>
        <w:rPr>
          <w:bCs/>
          <w:lang w:val="ru-RU"/>
        </w:rPr>
        <w:t>, будет представлено на утверждение Совета 2022 года.</w:t>
      </w:r>
    </w:p>
    <w:p w14:paraId="528FDF73" w14:textId="77777777" w:rsidR="00252BB8" w:rsidRPr="0049167B" w:rsidRDefault="00252BB8" w:rsidP="003F6445">
      <w:pPr>
        <w:pStyle w:val="Heading1"/>
        <w:rPr>
          <w:lang w:val="ru-RU"/>
        </w:rPr>
      </w:pPr>
      <w:r w:rsidRPr="0049167B">
        <w:rPr>
          <w:lang w:val="ru-RU"/>
        </w:rPr>
        <w:t>14</w:t>
      </w:r>
      <w:r w:rsidRPr="0049167B">
        <w:rPr>
          <w:lang w:val="ru-RU"/>
        </w:rPr>
        <w:tab/>
        <w:t>Укрепление регионального присутствия (</w:t>
      </w:r>
      <w:r>
        <w:rPr>
          <w:lang w:val="ru-RU"/>
        </w:rPr>
        <w:t>Резолюция</w:t>
      </w:r>
      <w:r w:rsidRPr="0049167B">
        <w:rPr>
          <w:lang w:val="ru-RU"/>
        </w:rPr>
        <w:t xml:space="preserve"> 25 (</w:t>
      </w:r>
      <w:r>
        <w:rPr>
          <w:lang w:val="ru-RU"/>
        </w:rPr>
        <w:t>Пересм</w:t>
      </w:r>
      <w:r w:rsidRPr="0049167B">
        <w:rPr>
          <w:lang w:val="ru-RU"/>
        </w:rPr>
        <w:t xml:space="preserve">. </w:t>
      </w:r>
      <w:r>
        <w:rPr>
          <w:lang w:val="ru-RU"/>
        </w:rPr>
        <w:t>Дубай</w:t>
      </w:r>
      <w:r w:rsidRPr="0049167B">
        <w:rPr>
          <w:lang w:val="ru-RU"/>
        </w:rPr>
        <w:t>, 2018</w:t>
      </w:r>
      <w:r w:rsidRPr="00FC39FB">
        <w:rPr>
          <w:lang w:val="en-US"/>
        </w:rPr>
        <w:t> </w:t>
      </w:r>
      <w:r>
        <w:rPr>
          <w:lang w:val="ru-RU"/>
        </w:rPr>
        <w:t>г</w:t>
      </w:r>
      <w:r w:rsidRPr="0049167B">
        <w:rPr>
          <w:lang w:val="ru-RU"/>
        </w:rPr>
        <w:t>.))</w:t>
      </w:r>
      <w:r>
        <w:rPr>
          <w:lang w:val="en-US"/>
        </w:rPr>
        <w:t> </w:t>
      </w:r>
      <w:r w:rsidRPr="0049167B">
        <w:rPr>
          <w:lang w:val="ru-RU"/>
        </w:rPr>
        <w:t xml:space="preserve">– </w:t>
      </w:r>
      <w:r>
        <w:rPr>
          <w:lang w:val="ru-RU"/>
        </w:rPr>
        <w:t xml:space="preserve">Выполнение рекомендаций </w:t>
      </w:r>
      <w:r w:rsidRPr="003773FE">
        <w:rPr>
          <w:lang w:val="ru-RU"/>
        </w:rPr>
        <w:t>обзор</w:t>
      </w:r>
      <w:r>
        <w:rPr>
          <w:lang w:val="ru-RU"/>
        </w:rPr>
        <w:t>а</w:t>
      </w:r>
      <w:r w:rsidRPr="003773FE">
        <w:rPr>
          <w:lang w:val="ru-RU"/>
        </w:rPr>
        <w:t xml:space="preserve"> регионального присутствия (Документы</w:t>
      </w:r>
      <w:r w:rsidRPr="0049167B">
        <w:rPr>
          <w:lang w:val="ru-RU"/>
        </w:rPr>
        <w:t xml:space="preserve"> </w:t>
      </w:r>
      <w:hyperlink r:id="rId37" w:history="1">
        <w:r w:rsidRPr="003F6445">
          <w:rPr>
            <w:rStyle w:val="Hyperlink"/>
            <w:bCs/>
            <w:lang w:val="en-US"/>
          </w:rPr>
          <w:t>CWG</w:t>
        </w:r>
        <w:r w:rsidRPr="0049167B">
          <w:rPr>
            <w:rStyle w:val="Hyperlink"/>
            <w:bCs/>
            <w:lang w:val="ru-RU"/>
          </w:rPr>
          <w:t>-</w:t>
        </w:r>
        <w:r w:rsidRPr="003F6445">
          <w:rPr>
            <w:rStyle w:val="Hyperlink"/>
            <w:bCs/>
            <w:lang w:val="en-US"/>
          </w:rPr>
          <w:t>FHR</w:t>
        </w:r>
        <w:r w:rsidRPr="0049167B">
          <w:rPr>
            <w:rStyle w:val="Hyperlink"/>
            <w:bCs/>
            <w:lang w:val="ru-RU"/>
          </w:rPr>
          <w:t>-14/18</w:t>
        </w:r>
      </w:hyperlink>
      <w:r w:rsidRPr="0049167B">
        <w:rPr>
          <w:lang w:val="ru-RU"/>
        </w:rPr>
        <w:t xml:space="preserve">, </w:t>
      </w:r>
      <w:hyperlink r:id="rId38" w:history="1">
        <w:r w:rsidRPr="00FC39FB">
          <w:rPr>
            <w:rStyle w:val="Hyperlink"/>
            <w:bCs/>
            <w:lang w:val="en-US"/>
          </w:rPr>
          <w:t>CWG</w:t>
        </w:r>
        <w:r w:rsidRPr="0049167B">
          <w:rPr>
            <w:rStyle w:val="Hyperlink"/>
            <w:bCs/>
            <w:lang w:val="ru-RU"/>
          </w:rPr>
          <w:noBreakHyphen/>
        </w:r>
        <w:r w:rsidRPr="00FC39FB">
          <w:rPr>
            <w:rStyle w:val="Hyperlink"/>
            <w:bCs/>
            <w:lang w:val="en-US"/>
          </w:rPr>
          <w:t>FHR</w:t>
        </w:r>
        <w:r w:rsidRPr="0049167B">
          <w:rPr>
            <w:rStyle w:val="Hyperlink"/>
            <w:bCs/>
            <w:lang w:val="ru-RU"/>
          </w:rPr>
          <w:t>-</w:t>
        </w:r>
        <w:r w:rsidRPr="0049167B">
          <w:rPr>
            <w:rStyle w:val="Hyperlink"/>
            <w:lang w:val="ru-RU"/>
          </w:rPr>
          <w:t>15/13</w:t>
        </w:r>
      </w:hyperlink>
      <w:r w:rsidRPr="0049167B">
        <w:rPr>
          <w:rFonts w:eastAsiaTheme="minorHAnsi"/>
          <w:lang w:val="ru-RU"/>
        </w:rPr>
        <w:t xml:space="preserve">) </w:t>
      </w:r>
      <w:r>
        <w:rPr>
          <w:lang w:val="ru-RU"/>
        </w:rPr>
        <w:t>и</w:t>
      </w:r>
      <w:r w:rsidRPr="0049167B">
        <w:rPr>
          <w:lang w:val="ru-RU"/>
        </w:rPr>
        <w:t xml:space="preserve"> </w:t>
      </w:r>
      <w:r>
        <w:rPr>
          <w:lang w:val="ru-RU"/>
        </w:rPr>
        <w:t>вклад</w:t>
      </w:r>
      <w:r w:rsidRPr="0049167B">
        <w:rPr>
          <w:lang w:val="ru-RU"/>
        </w:rPr>
        <w:t xml:space="preserve"> </w:t>
      </w:r>
      <w:r>
        <w:rPr>
          <w:lang w:val="ru-RU"/>
        </w:rPr>
        <w:t>Мексики</w:t>
      </w:r>
      <w:r w:rsidRPr="0049167B">
        <w:rPr>
          <w:lang w:val="ru-RU"/>
        </w:rPr>
        <w:t xml:space="preserve"> − Укрепление регионального присутствия МСЭ (</w:t>
      </w:r>
      <w:r>
        <w:rPr>
          <w:lang w:val="ru-RU"/>
        </w:rPr>
        <w:t>Документ</w:t>
      </w:r>
      <w:r w:rsidRPr="0049167B">
        <w:rPr>
          <w:lang w:val="ru-RU"/>
        </w:rPr>
        <w:t xml:space="preserve"> </w:t>
      </w:r>
      <w:hyperlink r:id="rId39" w:history="1">
        <w:r w:rsidRPr="00FC39FB">
          <w:rPr>
            <w:rStyle w:val="Hyperlink"/>
            <w:bCs/>
            <w:lang w:val="en-US"/>
          </w:rPr>
          <w:t>CWG</w:t>
        </w:r>
        <w:r w:rsidRPr="0049167B">
          <w:rPr>
            <w:rStyle w:val="Hyperlink"/>
            <w:bCs/>
            <w:lang w:val="ru-RU"/>
          </w:rPr>
          <w:t>-</w:t>
        </w:r>
        <w:r w:rsidRPr="00FC39FB">
          <w:rPr>
            <w:rStyle w:val="Hyperlink"/>
            <w:bCs/>
            <w:lang w:val="en-US"/>
          </w:rPr>
          <w:t>FHR</w:t>
        </w:r>
        <w:r w:rsidRPr="0049167B">
          <w:rPr>
            <w:rStyle w:val="Hyperlink"/>
            <w:bCs/>
            <w:lang w:val="ru-RU"/>
          </w:rPr>
          <w:t>-</w:t>
        </w:r>
        <w:r w:rsidRPr="0049167B">
          <w:rPr>
            <w:rStyle w:val="Hyperlink"/>
            <w:lang w:val="ru-RU"/>
          </w:rPr>
          <w:t>15/20</w:t>
        </w:r>
      </w:hyperlink>
      <w:r w:rsidRPr="0049167B">
        <w:rPr>
          <w:rFonts w:eastAsiaTheme="minorHAnsi"/>
          <w:lang w:val="ru-RU"/>
        </w:rPr>
        <w:t>)</w:t>
      </w:r>
    </w:p>
    <w:p w14:paraId="747C2BDF" w14:textId="77777777" w:rsidR="00252BB8" w:rsidRPr="0049167B" w:rsidRDefault="00252BB8" w:rsidP="003F6445">
      <w:pPr>
        <w:rPr>
          <w:lang w:val="ru-RU"/>
        </w:rPr>
      </w:pPr>
      <w:r w:rsidRPr="00807A41">
        <w:rPr>
          <w:lang w:val="ru-RU"/>
        </w:rPr>
        <w:t>14.1</w:t>
      </w:r>
      <w:r w:rsidRPr="00807A41">
        <w:rPr>
          <w:lang w:val="ru-RU"/>
        </w:rPr>
        <w:tab/>
      </w:r>
      <w:r>
        <w:rPr>
          <w:lang w:val="ru-RU"/>
        </w:rPr>
        <w:t>Секретариат</w:t>
      </w:r>
      <w:r w:rsidRPr="00807A41">
        <w:rPr>
          <w:lang w:val="ru-RU"/>
        </w:rPr>
        <w:t xml:space="preserve"> </w:t>
      </w:r>
      <w:r>
        <w:rPr>
          <w:lang w:val="ru-RU"/>
        </w:rPr>
        <w:t>представил</w:t>
      </w:r>
      <w:r w:rsidRPr="00807A41">
        <w:rPr>
          <w:lang w:val="ru-RU"/>
        </w:rPr>
        <w:t xml:space="preserve"> </w:t>
      </w:r>
      <w:r>
        <w:rPr>
          <w:lang w:val="ru-RU"/>
        </w:rPr>
        <w:t>Документ</w:t>
      </w:r>
      <w:r>
        <w:rPr>
          <w:lang w:val="en-US"/>
        </w:rPr>
        <w:t> </w:t>
      </w:r>
      <w:r w:rsidRPr="0049167B">
        <w:rPr>
          <w:lang w:val="en-US"/>
        </w:rPr>
        <w:t>CWG</w:t>
      </w:r>
      <w:r w:rsidRPr="00807A41">
        <w:rPr>
          <w:lang w:val="ru-RU"/>
        </w:rPr>
        <w:t>-</w:t>
      </w:r>
      <w:r w:rsidRPr="0049167B">
        <w:rPr>
          <w:lang w:val="en-US"/>
        </w:rPr>
        <w:t>FHR</w:t>
      </w:r>
      <w:r w:rsidRPr="00807A41">
        <w:rPr>
          <w:lang w:val="ru-RU"/>
        </w:rPr>
        <w:t xml:space="preserve">-15/13 </w:t>
      </w:r>
      <w:r>
        <w:rPr>
          <w:lang w:val="ru-RU"/>
        </w:rPr>
        <w:t>от</w:t>
      </w:r>
      <w:r w:rsidRPr="00807A41">
        <w:rPr>
          <w:lang w:val="ru-RU"/>
        </w:rPr>
        <w:t xml:space="preserve"> </w:t>
      </w:r>
      <w:r>
        <w:rPr>
          <w:lang w:val="ru-RU"/>
        </w:rPr>
        <w:t>имени</w:t>
      </w:r>
      <w:r w:rsidRPr="00807A41">
        <w:rPr>
          <w:lang w:val="ru-RU"/>
        </w:rPr>
        <w:t xml:space="preserve"> </w:t>
      </w:r>
      <w:r>
        <w:rPr>
          <w:lang w:val="ru-RU"/>
        </w:rPr>
        <w:t>Генерального</w:t>
      </w:r>
      <w:r w:rsidRPr="00807A41">
        <w:rPr>
          <w:lang w:val="ru-RU"/>
        </w:rPr>
        <w:t xml:space="preserve"> </w:t>
      </w:r>
      <w:r>
        <w:rPr>
          <w:lang w:val="ru-RU"/>
        </w:rPr>
        <w:t>секретаря</w:t>
      </w:r>
      <w:r w:rsidRPr="00807A41">
        <w:rPr>
          <w:lang w:val="ru-RU"/>
        </w:rPr>
        <w:t xml:space="preserve">. </w:t>
      </w:r>
      <w:r>
        <w:rPr>
          <w:lang w:val="ru-RU"/>
        </w:rPr>
        <w:t xml:space="preserve">Было отмечено, что опубликованная Секретариатом </w:t>
      </w:r>
      <w:r w:rsidRPr="0049167B">
        <w:rPr>
          <w:lang w:val="ru-RU"/>
        </w:rPr>
        <w:t>информационн</w:t>
      </w:r>
      <w:r>
        <w:rPr>
          <w:lang w:val="ru-RU"/>
        </w:rPr>
        <w:t xml:space="preserve">ая панель с указанием статуса выполнения плана работы, предусмотренного в отчете </w:t>
      </w:r>
      <w:r w:rsidRPr="0049167B">
        <w:rPr>
          <w:lang w:val="ru-RU"/>
        </w:rPr>
        <w:t>PWC</w:t>
      </w:r>
      <w:r>
        <w:rPr>
          <w:lang w:val="ru-RU"/>
        </w:rPr>
        <w:t xml:space="preserve"> (на основе решений, принятых </w:t>
      </w:r>
      <w:r w:rsidRPr="0049167B">
        <w:rPr>
          <w:lang w:val="ru-RU"/>
        </w:rPr>
        <w:t>РГС-ФЛР</w:t>
      </w:r>
      <w:r>
        <w:rPr>
          <w:lang w:val="ru-RU"/>
        </w:rPr>
        <w:t xml:space="preserve"> по рекомендации Специальной группы по региональному присутствию), по-прежнему доступна на веб-сайте. </w:t>
      </w:r>
    </w:p>
    <w:p w14:paraId="5AABF5D5" w14:textId="77777777" w:rsidR="00252BB8" w:rsidRPr="0049167B" w:rsidRDefault="00252BB8" w:rsidP="003F6445">
      <w:pPr>
        <w:rPr>
          <w:lang w:val="ru-RU"/>
        </w:rPr>
      </w:pPr>
      <w:r w:rsidRPr="0049167B">
        <w:rPr>
          <w:lang w:val="ru-RU"/>
        </w:rPr>
        <w:t>14.2</w:t>
      </w:r>
      <w:r w:rsidRPr="0049167B">
        <w:rPr>
          <w:lang w:val="ru-RU"/>
        </w:rPr>
        <w:tab/>
      </w:r>
      <w:r>
        <w:rPr>
          <w:lang w:val="ru-RU"/>
        </w:rPr>
        <w:t>Делегаты были проинформированы о следующих ключевых моментах:</w:t>
      </w:r>
      <w:r w:rsidRPr="0049167B">
        <w:rPr>
          <w:lang w:val="ru-RU"/>
        </w:rPr>
        <w:t xml:space="preserve"> </w:t>
      </w:r>
    </w:p>
    <w:p w14:paraId="1202D4E8" w14:textId="77777777" w:rsidR="00252BB8" w:rsidRPr="0049167B" w:rsidRDefault="00252BB8" w:rsidP="00FC39FB">
      <w:pPr>
        <w:pStyle w:val="enumlev1"/>
        <w:rPr>
          <w:lang w:val="ru-RU"/>
        </w:rPr>
      </w:pPr>
      <w:r w:rsidRPr="0049167B">
        <w:rPr>
          <w:lang w:val="ru-RU"/>
        </w:rPr>
        <w:t>•</w:t>
      </w:r>
      <w:r w:rsidRPr="0049167B">
        <w:rPr>
          <w:lang w:val="ru-RU"/>
        </w:rPr>
        <w:tab/>
      </w:r>
      <w:r>
        <w:rPr>
          <w:lang w:val="ru-RU"/>
        </w:rPr>
        <w:t>для</w:t>
      </w:r>
      <w:r w:rsidRPr="0049167B">
        <w:rPr>
          <w:lang w:val="ru-RU"/>
        </w:rPr>
        <w:t xml:space="preserve"> </w:t>
      </w:r>
      <w:r>
        <w:rPr>
          <w:lang w:val="ru-RU"/>
        </w:rPr>
        <w:t>устранения возможных проблем безопасности информационная панель будет обновляться ежемесячно до 20 числа каждого месяца;</w:t>
      </w:r>
    </w:p>
    <w:p w14:paraId="11AE8AAC" w14:textId="77777777" w:rsidR="00252BB8" w:rsidRPr="00AA3C5D" w:rsidRDefault="00252BB8" w:rsidP="00FC39FB">
      <w:pPr>
        <w:pStyle w:val="enumlev1"/>
        <w:rPr>
          <w:lang w:val="ru-RU"/>
        </w:rPr>
      </w:pPr>
      <w:r w:rsidRPr="00807A41">
        <w:rPr>
          <w:lang w:val="ru-RU"/>
        </w:rPr>
        <w:t>•</w:t>
      </w:r>
      <w:r w:rsidRPr="00807A41">
        <w:rPr>
          <w:lang w:val="ru-RU"/>
        </w:rPr>
        <w:tab/>
      </w:r>
      <w:r>
        <w:rPr>
          <w:lang w:val="ru-RU"/>
        </w:rPr>
        <w:t>на</w:t>
      </w:r>
      <w:r w:rsidRPr="00AA3C5D">
        <w:rPr>
          <w:lang w:val="ru-RU"/>
        </w:rPr>
        <w:t xml:space="preserve"> </w:t>
      </w:r>
      <w:r>
        <w:rPr>
          <w:lang w:val="ru-RU"/>
        </w:rPr>
        <w:t>информационной</w:t>
      </w:r>
      <w:r w:rsidRPr="00AA3C5D">
        <w:rPr>
          <w:lang w:val="ru-RU"/>
        </w:rPr>
        <w:t xml:space="preserve"> </w:t>
      </w:r>
      <w:r>
        <w:rPr>
          <w:lang w:val="ru-RU"/>
        </w:rPr>
        <w:t>панели</w:t>
      </w:r>
      <w:r w:rsidRPr="00AA3C5D">
        <w:rPr>
          <w:lang w:val="ru-RU"/>
        </w:rPr>
        <w:t xml:space="preserve"> </w:t>
      </w:r>
      <w:r>
        <w:rPr>
          <w:lang w:val="ru-RU"/>
        </w:rPr>
        <w:t>отражено общее</w:t>
      </w:r>
      <w:r w:rsidRPr="00AA3C5D">
        <w:rPr>
          <w:lang w:val="ru-RU"/>
        </w:rPr>
        <w:t xml:space="preserve"> </w:t>
      </w:r>
      <w:r>
        <w:rPr>
          <w:lang w:val="ru-RU"/>
        </w:rPr>
        <w:t>выполнение</w:t>
      </w:r>
      <w:r w:rsidRPr="00AA3C5D">
        <w:rPr>
          <w:lang w:val="ru-RU"/>
        </w:rPr>
        <w:t xml:space="preserve"> </w:t>
      </w:r>
      <w:r>
        <w:rPr>
          <w:lang w:val="ru-RU"/>
        </w:rPr>
        <w:t>плана</w:t>
      </w:r>
      <w:r w:rsidRPr="00AA3C5D">
        <w:rPr>
          <w:lang w:val="ru-RU"/>
        </w:rPr>
        <w:t xml:space="preserve"> </w:t>
      </w:r>
      <w:r>
        <w:rPr>
          <w:lang w:val="ru-RU"/>
        </w:rPr>
        <w:t>работы</w:t>
      </w:r>
      <w:r w:rsidRPr="00AA3C5D">
        <w:rPr>
          <w:lang w:val="ru-RU"/>
        </w:rPr>
        <w:t xml:space="preserve"> </w:t>
      </w:r>
      <w:r>
        <w:rPr>
          <w:lang w:val="ru-RU"/>
        </w:rPr>
        <w:t>по</w:t>
      </w:r>
      <w:r w:rsidRPr="00AA3C5D">
        <w:rPr>
          <w:lang w:val="ru-RU"/>
        </w:rPr>
        <w:t xml:space="preserve"> </w:t>
      </w:r>
      <w:r>
        <w:rPr>
          <w:lang w:val="ru-RU"/>
        </w:rPr>
        <w:t>внутренней</w:t>
      </w:r>
      <w:r w:rsidRPr="00AA3C5D">
        <w:rPr>
          <w:lang w:val="ru-RU"/>
        </w:rPr>
        <w:t xml:space="preserve"> </w:t>
      </w:r>
      <w:r>
        <w:rPr>
          <w:lang w:val="ru-RU"/>
        </w:rPr>
        <w:t>координации</w:t>
      </w:r>
      <w:r w:rsidRPr="00AA3C5D">
        <w:rPr>
          <w:lang w:val="ru-RU"/>
        </w:rPr>
        <w:t xml:space="preserve"> на 53 процента, </w:t>
      </w:r>
      <w:r>
        <w:rPr>
          <w:lang w:val="ru-RU"/>
        </w:rPr>
        <w:t>так</w:t>
      </w:r>
      <w:r w:rsidRPr="00AA3C5D">
        <w:rPr>
          <w:lang w:val="ru-RU"/>
        </w:rPr>
        <w:t xml:space="preserve"> </w:t>
      </w:r>
      <w:r>
        <w:rPr>
          <w:lang w:val="ru-RU"/>
        </w:rPr>
        <w:t>как</w:t>
      </w:r>
      <w:r w:rsidRPr="00AA3C5D">
        <w:rPr>
          <w:lang w:val="ru-RU"/>
        </w:rPr>
        <w:t xml:space="preserve"> </w:t>
      </w:r>
      <w:r>
        <w:rPr>
          <w:lang w:val="ru-RU"/>
        </w:rPr>
        <w:t>эта</w:t>
      </w:r>
      <w:r w:rsidRPr="00AA3C5D">
        <w:rPr>
          <w:lang w:val="ru-RU"/>
        </w:rPr>
        <w:t xml:space="preserve"> </w:t>
      </w:r>
      <w:r>
        <w:rPr>
          <w:lang w:val="ru-RU"/>
        </w:rPr>
        <w:t>сфера</w:t>
      </w:r>
      <w:r w:rsidRPr="00AA3C5D">
        <w:rPr>
          <w:lang w:val="ru-RU"/>
        </w:rPr>
        <w:t xml:space="preserve"> </w:t>
      </w:r>
      <w:r>
        <w:rPr>
          <w:lang w:val="ru-RU"/>
        </w:rPr>
        <w:t>в</w:t>
      </w:r>
      <w:r w:rsidRPr="00AA3C5D">
        <w:rPr>
          <w:lang w:val="ru-RU"/>
        </w:rPr>
        <w:t xml:space="preserve"> </w:t>
      </w:r>
      <w:r>
        <w:rPr>
          <w:lang w:val="ru-RU"/>
        </w:rPr>
        <w:t>основном</w:t>
      </w:r>
      <w:r w:rsidRPr="00AA3C5D">
        <w:rPr>
          <w:lang w:val="ru-RU"/>
        </w:rPr>
        <w:t xml:space="preserve"> </w:t>
      </w:r>
      <w:r>
        <w:rPr>
          <w:lang w:val="ru-RU"/>
        </w:rPr>
        <w:t>контролируется</w:t>
      </w:r>
      <w:r w:rsidRPr="00AA3C5D">
        <w:rPr>
          <w:lang w:val="ru-RU"/>
        </w:rPr>
        <w:t xml:space="preserve"> </w:t>
      </w:r>
      <w:r>
        <w:rPr>
          <w:lang w:val="ru-RU"/>
        </w:rPr>
        <w:t>Секретариатом</w:t>
      </w:r>
      <w:r w:rsidRPr="00AA3C5D">
        <w:rPr>
          <w:lang w:val="ru-RU"/>
        </w:rPr>
        <w:t xml:space="preserve">; </w:t>
      </w:r>
      <w:r>
        <w:rPr>
          <w:lang w:val="ru-RU"/>
        </w:rPr>
        <w:t>почти</w:t>
      </w:r>
      <w:r w:rsidRPr="00AA3C5D">
        <w:rPr>
          <w:lang w:val="ru-RU"/>
        </w:rPr>
        <w:t xml:space="preserve"> </w:t>
      </w:r>
      <w:r>
        <w:rPr>
          <w:lang w:val="ru-RU"/>
        </w:rPr>
        <w:t>на</w:t>
      </w:r>
      <w:r w:rsidRPr="00AA3C5D">
        <w:rPr>
          <w:lang w:val="ru-RU"/>
        </w:rPr>
        <w:t xml:space="preserve"> 40 </w:t>
      </w:r>
      <w:r>
        <w:rPr>
          <w:lang w:val="ru-RU"/>
        </w:rPr>
        <w:t>процентов</w:t>
      </w:r>
      <w:r w:rsidRPr="00AA3C5D">
        <w:rPr>
          <w:lang w:val="ru-RU"/>
        </w:rPr>
        <w:t xml:space="preserve"> – </w:t>
      </w:r>
      <w:r>
        <w:rPr>
          <w:lang w:val="ru-RU"/>
        </w:rPr>
        <w:t>по</w:t>
      </w:r>
      <w:r w:rsidRPr="00AA3C5D">
        <w:rPr>
          <w:lang w:val="ru-RU"/>
        </w:rPr>
        <w:t xml:space="preserve"> </w:t>
      </w:r>
      <w:r>
        <w:rPr>
          <w:lang w:val="ru-RU"/>
        </w:rPr>
        <w:t>стратегическому</w:t>
      </w:r>
      <w:r w:rsidRPr="00AA3C5D">
        <w:rPr>
          <w:lang w:val="ru-RU"/>
        </w:rPr>
        <w:t xml:space="preserve"> </w:t>
      </w:r>
      <w:r>
        <w:rPr>
          <w:lang w:val="ru-RU"/>
        </w:rPr>
        <w:t>позиционированию</w:t>
      </w:r>
      <w:r w:rsidRPr="00AA3C5D">
        <w:rPr>
          <w:lang w:val="ru-RU"/>
        </w:rPr>
        <w:t xml:space="preserve">, которое во многом будет зависеть от </w:t>
      </w:r>
      <w:r>
        <w:rPr>
          <w:lang w:val="ru-RU"/>
        </w:rPr>
        <w:t>прогресса в разработке</w:t>
      </w:r>
      <w:r w:rsidRPr="00AA3C5D">
        <w:rPr>
          <w:lang w:val="ru-RU"/>
        </w:rPr>
        <w:t xml:space="preserve"> Стратегического плана МСЭ. </w:t>
      </w:r>
      <w:r>
        <w:rPr>
          <w:lang w:val="ru-RU"/>
        </w:rPr>
        <w:t xml:space="preserve">Выполнение компонента по </w:t>
      </w:r>
      <w:r w:rsidRPr="00AA3C5D">
        <w:rPr>
          <w:lang w:val="ru-RU"/>
        </w:rPr>
        <w:t>развертывани</w:t>
      </w:r>
      <w:r>
        <w:rPr>
          <w:lang w:val="ru-RU"/>
        </w:rPr>
        <w:t>ю</w:t>
      </w:r>
      <w:r w:rsidRPr="00AA3C5D">
        <w:rPr>
          <w:lang w:val="ru-RU"/>
        </w:rPr>
        <w:t xml:space="preserve"> модели предоставления услуг</w:t>
      </w:r>
      <w:r>
        <w:rPr>
          <w:lang w:val="ru-RU"/>
        </w:rPr>
        <w:t xml:space="preserve"> завершено на 25 процентов, и его дальнейшая реализация будет зависеть от решений, которые необходимо принять на Полномочной конференции;</w:t>
      </w:r>
    </w:p>
    <w:p w14:paraId="700A9969" w14:textId="77777777" w:rsidR="00252BB8" w:rsidRPr="00807A41" w:rsidRDefault="00252BB8" w:rsidP="00FC39FB">
      <w:pPr>
        <w:pStyle w:val="enumlev1"/>
        <w:rPr>
          <w:lang w:val="ru-RU"/>
        </w:rPr>
      </w:pPr>
      <w:r w:rsidRPr="00807A41">
        <w:rPr>
          <w:lang w:val="ru-RU"/>
        </w:rPr>
        <w:t>•</w:t>
      </w:r>
      <w:r w:rsidRPr="00807A41">
        <w:rPr>
          <w:lang w:val="ru-RU"/>
        </w:rPr>
        <w:tab/>
      </w:r>
      <w:r>
        <w:rPr>
          <w:lang w:val="ru-RU"/>
        </w:rPr>
        <w:t>п</w:t>
      </w:r>
      <w:r w:rsidRPr="00807A41">
        <w:rPr>
          <w:lang w:val="ru-RU"/>
        </w:rPr>
        <w:t xml:space="preserve">ланируемый срок </w:t>
      </w:r>
      <w:r>
        <w:rPr>
          <w:lang w:val="ru-RU"/>
        </w:rPr>
        <w:t>выполнения</w:t>
      </w:r>
      <w:r>
        <w:rPr>
          <w:lang w:val="en-US"/>
        </w:rPr>
        <w:t> </w:t>
      </w:r>
      <w:r w:rsidRPr="00807A41">
        <w:rPr>
          <w:lang w:val="ru-RU"/>
        </w:rPr>
        <w:t>– до конца 2023 года.</w:t>
      </w:r>
    </w:p>
    <w:p w14:paraId="61AC426F" w14:textId="77777777" w:rsidR="00252BB8" w:rsidRPr="00807A41" w:rsidRDefault="00252BB8" w:rsidP="003F6445">
      <w:pPr>
        <w:rPr>
          <w:lang w:val="ru-RU"/>
        </w:rPr>
      </w:pPr>
      <w:r w:rsidRPr="00411F2D">
        <w:rPr>
          <w:bCs/>
          <w:lang w:val="ru-RU"/>
        </w:rPr>
        <w:t>14.3</w:t>
      </w:r>
      <w:r w:rsidRPr="00411F2D">
        <w:rPr>
          <w:bCs/>
          <w:lang w:val="ru-RU"/>
        </w:rPr>
        <w:tab/>
      </w:r>
      <w:r>
        <w:rPr>
          <w:lang w:val="ru-RU"/>
        </w:rPr>
        <w:t xml:space="preserve">Председатель поздравила Секретариат с успешной работой, реализованной до настоящего времени, и предложила Мексике представить Документ </w:t>
      </w:r>
      <w:r w:rsidRPr="00807A41">
        <w:rPr>
          <w:lang w:val="ru-RU"/>
        </w:rPr>
        <w:t>CWG-FHR-15/20</w:t>
      </w:r>
      <w:r>
        <w:rPr>
          <w:lang w:val="ru-RU"/>
        </w:rPr>
        <w:t>, после чего будут рассмотрены замечания по обоим документам.</w:t>
      </w:r>
    </w:p>
    <w:p w14:paraId="287D8EBE" w14:textId="77777777" w:rsidR="00252BB8" w:rsidRPr="00807A41" w:rsidRDefault="00252BB8" w:rsidP="003F6445">
      <w:pPr>
        <w:rPr>
          <w:lang w:val="ru-RU"/>
        </w:rPr>
      </w:pPr>
      <w:r w:rsidRPr="00411F2D">
        <w:rPr>
          <w:lang w:val="ru-RU"/>
        </w:rPr>
        <w:t>14.4</w:t>
      </w:r>
      <w:r w:rsidRPr="00411F2D">
        <w:rPr>
          <w:lang w:val="ru-RU"/>
        </w:rPr>
        <w:tab/>
      </w:r>
      <w:r>
        <w:rPr>
          <w:lang w:val="ru-RU"/>
        </w:rPr>
        <w:t xml:space="preserve">Делегатом от Мексики был представлен Документ </w:t>
      </w:r>
      <w:r w:rsidRPr="00807A41">
        <w:rPr>
          <w:lang w:val="ru-RU"/>
        </w:rPr>
        <w:t>CWG-FHR-15/20</w:t>
      </w:r>
      <w:r>
        <w:rPr>
          <w:lang w:val="ru-RU"/>
        </w:rPr>
        <w:t xml:space="preserve">, в котором изложено предложение по дальнейшим действиям в целях выполнения рекомендаций отчета </w:t>
      </w:r>
      <w:r w:rsidRPr="00807A41">
        <w:rPr>
          <w:lang w:val="ru-RU"/>
        </w:rPr>
        <w:t>PWC</w:t>
      </w:r>
      <w:r>
        <w:rPr>
          <w:lang w:val="ru-RU"/>
        </w:rPr>
        <w:t>, а также дополнительные рекомендации к тем, что содержатся в отчете.</w:t>
      </w:r>
    </w:p>
    <w:p w14:paraId="73D9D082" w14:textId="77777777" w:rsidR="00252BB8" w:rsidRPr="00A94670" w:rsidRDefault="00252BB8" w:rsidP="003F6445">
      <w:pPr>
        <w:rPr>
          <w:lang w:val="ru-RU"/>
        </w:rPr>
      </w:pPr>
      <w:r w:rsidRPr="00411F2D">
        <w:rPr>
          <w:lang w:val="ru-RU"/>
        </w:rPr>
        <w:t>14.5</w:t>
      </w:r>
      <w:r w:rsidRPr="00411F2D">
        <w:rPr>
          <w:lang w:val="ru-RU"/>
        </w:rPr>
        <w:tab/>
      </w:r>
      <w:r>
        <w:rPr>
          <w:lang w:val="ru-RU"/>
        </w:rPr>
        <w:t>Делегат</w:t>
      </w:r>
      <w:r w:rsidRPr="00DB4C9D">
        <w:rPr>
          <w:lang w:val="ru-RU"/>
        </w:rPr>
        <w:t xml:space="preserve"> </w:t>
      </w:r>
      <w:r>
        <w:rPr>
          <w:lang w:val="ru-RU"/>
        </w:rPr>
        <w:t>от</w:t>
      </w:r>
      <w:r w:rsidRPr="00DB4C9D">
        <w:rPr>
          <w:lang w:val="ru-RU"/>
        </w:rPr>
        <w:t xml:space="preserve"> </w:t>
      </w:r>
      <w:r>
        <w:rPr>
          <w:lang w:val="ru-RU"/>
        </w:rPr>
        <w:t>Мексики</w:t>
      </w:r>
      <w:r w:rsidRPr="00DB4C9D">
        <w:rPr>
          <w:lang w:val="ru-RU"/>
        </w:rPr>
        <w:t xml:space="preserve"> </w:t>
      </w:r>
      <w:r>
        <w:rPr>
          <w:lang w:val="ru-RU"/>
        </w:rPr>
        <w:t>изложил</w:t>
      </w:r>
      <w:r w:rsidRPr="00DB4C9D">
        <w:rPr>
          <w:lang w:val="ru-RU"/>
        </w:rPr>
        <w:t xml:space="preserve"> </w:t>
      </w:r>
      <w:r>
        <w:rPr>
          <w:lang w:val="ru-RU"/>
        </w:rPr>
        <w:t>шесть</w:t>
      </w:r>
      <w:r w:rsidRPr="00DB4C9D">
        <w:rPr>
          <w:lang w:val="ru-RU"/>
        </w:rPr>
        <w:t xml:space="preserve"> </w:t>
      </w:r>
      <w:r>
        <w:rPr>
          <w:lang w:val="ru-RU"/>
        </w:rPr>
        <w:t>предлагаемых</w:t>
      </w:r>
      <w:r w:rsidRPr="00DB4C9D">
        <w:rPr>
          <w:lang w:val="ru-RU"/>
        </w:rPr>
        <w:t xml:space="preserve"> </w:t>
      </w:r>
      <w:r>
        <w:rPr>
          <w:lang w:val="ru-RU"/>
        </w:rPr>
        <w:t xml:space="preserve">концепций для ориентации стратегического позиционирования регионального присутствия и отметил, что качество работы отделений на местах зависит от эффективного, оперативного и результативного выполнения ключевых административных процедур, которые в основном </w:t>
      </w:r>
      <w:r w:rsidRPr="00411F2D">
        <w:rPr>
          <w:lang w:val="ru-RU"/>
        </w:rPr>
        <w:t>на</w:t>
      </w:r>
      <w:r>
        <w:rPr>
          <w:lang w:val="ru-RU"/>
        </w:rPr>
        <w:t>ходятся в ведении штаб-квартиры. Были</w:t>
      </w:r>
      <w:r w:rsidRPr="00A94670">
        <w:rPr>
          <w:lang w:val="ru-RU"/>
        </w:rPr>
        <w:t xml:space="preserve"> </w:t>
      </w:r>
      <w:r>
        <w:rPr>
          <w:lang w:val="ru-RU"/>
        </w:rPr>
        <w:t>представлены</w:t>
      </w:r>
      <w:r w:rsidRPr="00A94670">
        <w:rPr>
          <w:lang w:val="ru-RU"/>
        </w:rPr>
        <w:t xml:space="preserve"> </w:t>
      </w:r>
      <w:r>
        <w:rPr>
          <w:lang w:val="ru-RU"/>
        </w:rPr>
        <w:t>следующие</w:t>
      </w:r>
      <w:r w:rsidRPr="00A94670">
        <w:rPr>
          <w:lang w:val="ru-RU"/>
        </w:rPr>
        <w:t xml:space="preserve"> </w:t>
      </w:r>
      <w:r>
        <w:rPr>
          <w:lang w:val="ru-RU"/>
        </w:rPr>
        <w:t>предложения</w:t>
      </w:r>
      <w:r w:rsidRPr="00A94670">
        <w:rPr>
          <w:lang w:val="ru-RU"/>
        </w:rPr>
        <w:t>:</w:t>
      </w:r>
    </w:p>
    <w:p w14:paraId="062101FE" w14:textId="77777777" w:rsidR="00252BB8" w:rsidRPr="00411F2D" w:rsidRDefault="00252BB8" w:rsidP="00FC39FB">
      <w:pPr>
        <w:pStyle w:val="enumlev1"/>
        <w:rPr>
          <w:lang w:val="ru-RU"/>
        </w:rPr>
      </w:pPr>
      <w:r w:rsidRPr="00411F2D">
        <w:rPr>
          <w:lang w:val="ru-RU"/>
        </w:rPr>
        <w:t>−</w:t>
      </w:r>
      <w:r w:rsidRPr="00411F2D">
        <w:rPr>
          <w:lang w:val="ru-RU"/>
        </w:rPr>
        <w:tab/>
      </w:r>
      <w:r>
        <w:rPr>
          <w:lang w:val="ru-RU"/>
        </w:rPr>
        <w:t>децентрализация</w:t>
      </w:r>
      <w:r w:rsidRPr="00411F2D">
        <w:rPr>
          <w:lang w:val="ru-RU"/>
        </w:rPr>
        <w:t xml:space="preserve"> </w:t>
      </w:r>
      <w:r>
        <w:rPr>
          <w:lang w:val="ru-RU"/>
        </w:rPr>
        <w:t>сотрудников</w:t>
      </w:r>
      <w:r w:rsidRPr="00411F2D">
        <w:rPr>
          <w:lang w:val="ru-RU"/>
        </w:rPr>
        <w:t xml:space="preserve"> </w:t>
      </w:r>
      <w:r>
        <w:rPr>
          <w:lang w:val="ru-RU"/>
        </w:rPr>
        <w:t>МСЭ</w:t>
      </w:r>
      <w:r w:rsidRPr="00411F2D">
        <w:rPr>
          <w:lang w:val="ru-RU"/>
        </w:rPr>
        <w:t xml:space="preserve">, </w:t>
      </w:r>
      <w:r>
        <w:rPr>
          <w:lang w:val="ru-RU"/>
        </w:rPr>
        <w:t>чтобы</w:t>
      </w:r>
      <w:r w:rsidRPr="00411F2D">
        <w:rPr>
          <w:lang w:val="ru-RU"/>
        </w:rPr>
        <w:t xml:space="preserve"> </w:t>
      </w:r>
      <w:r>
        <w:rPr>
          <w:lang w:val="ru-RU"/>
        </w:rPr>
        <w:t>они</w:t>
      </w:r>
      <w:r w:rsidRPr="00411F2D">
        <w:rPr>
          <w:lang w:val="ru-RU"/>
        </w:rPr>
        <w:t xml:space="preserve"> </w:t>
      </w:r>
      <w:r>
        <w:rPr>
          <w:lang w:val="ru-RU"/>
        </w:rPr>
        <w:t>присутствовали</w:t>
      </w:r>
      <w:r w:rsidRPr="00411F2D">
        <w:rPr>
          <w:lang w:val="ru-RU"/>
        </w:rPr>
        <w:t xml:space="preserve"> как можно в большем количестве стран региона, </w:t>
      </w:r>
      <w:r>
        <w:rPr>
          <w:lang w:val="ru-RU"/>
        </w:rPr>
        <w:t>в</w:t>
      </w:r>
      <w:r w:rsidRPr="00411F2D">
        <w:rPr>
          <w:lang w:val="ru-RU"/>
        </w:rPr>
        <w:t xml:space="preserve"> </w:t>
      </w:r>
      <w:r>
        <w:rPr>
          <w:lang w:val="ru-RU"/>
        </w:rPr>
        <w:t>том</w:t>
      </w:r>
      <w:r w:rsidRPr="00411F2D">
        <w:rPr>
          <w:lang w:val="ru-RU"/>
        </w:rPr>
        <w:t xml:space="preserve"> </w:t>
      </w:r>
      <w:r>
        <w:rPr>
          <w:lang w:val="ru-RU"/>
        </w:rPr>
        <w:t>числе</w:t>
      </w:r>
      <w:r w:rsidRPr="00411F2D">
        <w:rPr>
          <w:lang w:val="ru-RU"/>
        </w:rPr>
        <w:t xml:space="preserve"> </w:t>
      </w:r>
      <w:r>
        <w:rPr>
          <w:lang w:val="ru-RU"/>
        </w:rPr>
        <w:t>работали</w:t>
      </w:r>
      <w:r w:rsidRPr="00411F2D">
        <w:rPr>
          <w:lang w:val="ru-RU"/>
        </w:rPr>
        <w:t xml:space="preserve"> </w:t>
      </w:r>
      <w:r>
        <w:rPr>
          <w:lang w:val="ru-RU"/>
        </w:rPr>
        <w:t>там</w:t>
      </w:r>
      <w:r w:rsidRPr="00411F2D">
        <w:rPr>
          <w:lang w:val="ru-RU"/>
        </w:rPr>
        <w:t xml:space="preserve">, </w:t>
      </w:r>
      <w:r>
        <w:rPr>
          <w:lang w:val="ru-RU"/>
        </w:rPr>
        <w:t>откуда</w:t>
      </w:r>
      <w:r w:rsidRPr="00411F2D">
        <w:rPr>
          <w:lang w:val="ru-RU"/>
        </w:rPr>
        <w:t xml:space="preserve"> </w:t>
      </w:r>
      <w:r>
        <w:rPr>
          <w:lang w:val="ru-RU"/>
        </w:rPr>
        <w:t>они</w:t>
      </w:r>
      <w:r w:rsidRPr="00411F2D">
        <w:rPr>
          <w:lang w:val="ru-RU"/>
        </w:rPr>
        <w:t xml:space="preserve"> </w:t>
      </w:r>
      <w:r>
        <w:rPr>
          <w:lang w:val="ru-RU"/>
        </w:rPr>
        <w:t>родом</w:t>
      </w:r>
      <w:r w:rsidRPr="00411F2D">
        <w:rPr>
          <w:lang w:val="ru-RU"/>
        </w:rPr>
        <w:t xml:space="preserve">; </w:t>
      </w:r>
      <w:r>
        <w:rPr>
          <w:lang w:val="ru-RU"/>
        </w:rPr>
        <w:t>расширение</w:t>
      </w:r>
      <w:r w:rsidRPr="00411F2D">
        <w:rPr>
          <w:lang w:val="ru-RU"/>
        </w:rPr>
        <w:t xml:space="preserve"> </w:t>
      </w:r>
      <w:r>
        <w:rPr>
          <w:lang w:val="ru-RU"/>
        </w:rPr>
        <w:t>диалога</w:t>
      </w:r>
      <w:r w:rsidRPr="00411F2D">
        <w:rPr>
          <w:lang w:val="ru-RU"/>
        </w:rPr>
        <w:t xml:space="preserve"> </w:t>
      </w:r>
      <w:r>
        <w:rPr>
          <w:lang w:val="ru-RU"/>
        </w:rPr>
        <w:t>и</w:t>
      </w:r>
      <w:r w:rsidRPr="00411F2D">
        <w:rPr>
          <w:lang w:val="ru-RU"/>
        </w:rPr>
        <w:t xml:space="preserve"> </w:t>
      </w:r>
      <w:r>
        <w:rPr>
          <w:lang w:val="ru-RU"/>
        </w:rPr>
        <w:t>сотрудничества</w:t>
      </w:r>
      <w:r w:rsidRPr="00411F2D">
        <w:rPr>
          <w:lang w:val="ru-RU"/>
        </w:rPr>
        <w:t xml:space="preserve"> </w:t>
      </w:r>
      <w:r>
        <w:rPr>
          <w:lang w:val="ru-RU"/>
        </w:rPr>
        <w:t>с</w:t>
      </w:r>
      <w:r w:rsidRPr="00411F2D">
        <w:rPr>
          <w:lang w:val="ru-RU"/>
        </w:rPr>
        <w:t xml:space="preserve"> </w:t>
      </w:r>
      <w:r>
        <w:rPr>
          <w:lang w:val="ru-RU"/>
        </w:rPr>
        <w:t>исследовательскими</w:t>
      </w:r>
      <w:r w:rsidRPr="00411F2D">
        <w:rPr>
          <w:lang w:val="ru-RU"/>
        </w:rPr>
        <w:t xml:space="preserve"> </w:t>
      </w:r>
      <w:r>
        <w:rPr>
          <w:lang w:val="ru-RU"/>
        </w:rPr>
        <w:t>центрами</w:t>
      </w:r>
      <w:r w:rsidRPr="00411F2D">
        <w:rPr>
          <w:lang w:val="ru-RU"/>
        </w:rPr>
        <w:t xml:space="preserve">, </w:t>
      </w:r>
      <w:r>
        <w:rPr>
          <w:lang w:val="ru-RU"/>
        </w:rPr>
        <w:t>а</w:t>
      </w:r>
      <w:r w:rsidRPr="00411F2D">
        <w:rPr>
          <w:lang w:val="ru-RU"/>
        </w:rPr>
        <w:t xml:space="preserve"> </w:t>
      </w:r>
      <w:r>
        <w:rPr>
          <w:lang w:val="ru-RU"/>
        </w:rPr>
        <w:t>также</w:t>
      </w:r>
      <w:r w:rsidRPr="00411F2D">
        <w:rPr>
          <w:lang w:val="ru-RU"/>
        </w:rPr>
        <w:t xml:space="preserve"> </w:t>
      </w:r>
      <w:r>
        <w:rPr>
          <w:lang w:val="ru-RU"/>
        </w:rPr>
        <w:t>сетью</w:t>
      </w:r>
      <w:r w:rsidRPr="00411F2D">
        <w:rPr>
          <w:lang w:val="ru-RU"/>
        </w:rPr>
        <w:t xml:space="preserve"> </w:t>
      </w:r>
      <w:r>
        <w:rPr>
          <w:lang w:val="ru-RU"/>
        </w:rPr>
        <w:t>университетов</w:t>
      </w:r>
      <w:r w:rsidRPr="00411F2D">
        <w:rPr>
          <w:lang w:val="ru-RU"/>
        </w:rPr>
        <w:t xml:space="preserve"> в регионе Северной и Южной Америки; </w:t>
      </w:r>
      <w:r>
        <w:rPr>
          <w:lang w:val="ru-RU"/>
        </w:rPr>
        <w:t>и</w:t>
      </w:r>
      <w:r w:rsidRPr="00411F2D">
        <w:rPr>
          <w:lang w:val="ru-RU"/>
        </w:rPr>
        <w:t xml:space="preserve"> </w:t>
      </w:r>
      <w:r>
        <w:rPr>
          <w:lang w:val="ru-RU"/>
        </w:rPr>
        <w:t>дальнейшее</w:t>
      </w:r>
      <w:r w:rsidRPr="00411F2D">
        <w:rPr>
          <w:lang w:val="ru-RU"/>
        </w:rPr>
        <w:t xml:space="preserve"> </w:t>
      </w:r>
      <w:r>
        <w:rPr>
          <w:lang w:val="ru-RU"/>
        </w:rPr>
        <w:t>сближение</w:t>
      </w:r>
      <w:r w:rsidRPr="00411F2D">
        <w:rPr>
          <w:lang w:val="ru-RU"/>
        </w:rPr>
        <w:t xml:space="preserve"> </w:t>
      </w:r>
      <w:r>
        <w:rPr>
          <w:lang w:val="ru-RU"/>
        </w:rPr>
        <w:t>МСЭ</w:t>
      </w:r>
      <w:r w:rsidRPr="00411F2D">
        <w:rPr>
          <w:lang w:val="ru-RU"/>
        </w:rPr>
        <w:t xml:space="preserve"> </w:t>
      </w:r>
      <w:r>
        <w:rPr>
          <w:lang w:val="ru-RU"/>
        </w:rPr>
        <w:t>с</w:t>
      </w:r>
      <w:r w:rsidRPr="00411F2D">
        <w:rPr>
          <w:lang w:val="ru-RU"/>
        </w:rPr>
        <w:t xml:space="preserve"> </w:t>
      </w:r>
      <w:r>
        <w:rPr>
          <w:lang w:val="ru-RU"/>
        </w:rPr>
        <w:t>микро</w:t>
      </w:r>
      <w:r w:rsidRPr="00411F2D">
        <w:rPr>
          <w:lang w:val="ru-RU"/>
        </w:rPr>
        <w:t xml:space="preserve">-, </w:t>
      </w:r>
      <w:r>
        <w:rPr>
          <w:lang w:val="ru-RU"/>
        </w:rPr>
        <w:t>малыми</w:t>
      </w:r>
      <w:r w:rsidRPr="00411F2D">
        <w:rPr>
          <w:lang w:val="ru-RU"/>
        </w:rPr>
        <w:t xml:space="preserve"> </w:t>
      </w:r>
      <w:r>
        <w:rPr>
          <w:lang w:val="ru-RU"/>
        </w:rPr>
        <w:t>и</w:t>
      </w:r>
      <w:r w:rsidRPr="00411F2D">
        <w:rPr>
          <w:lang w:val="ru-RU"/>
        </w:rPr>
        <w:t xml:space="preserve"> </w:t>
      </w:r>
      <w:r>
        <w:rPr>
          <w:lang w:val="ru-RU"/>
        </w:rPr>
        <w:t>средними</w:t>
      </w:r>
      <w:r w:rsidRPr="00411F2D">
        <w:rPr>
          <w:lang w:val="ru-RU"/>
        </w:rPr>
        <w:t xml:space="preserve"> </w:t>
      </w:r>
      <w:r>
        <w:rPr>
          <w:lang w:val="ru-RU"/>
        </w:rPr>
        <w:t>предприятиями</w:t>
      </w:r>
      <w:r w:rsidRPr="00411F2D">
        <w:rPr>
          <w:lang w:val="ru-RU"/>
        </w:rPr>
        <w:t xml:space="preserve"> </w:t>
      </w:r>
      <w:r>
        <w:rPr>
          <w:lang w:val="ru-RU"/>
        </w:rPr>
        <w:t>с</w:t>
      </w:r>
      <w:r w:rsidRPr="00411F2D">
        <w:rPr>
          <w:lang w:val="ru-RU"/>
        </w:rPr>
        <w:t xml:space="preserve"> </w:t>
      </w:r>
      <w:r>
        <w:rPr>
          <w:lang w:val="ru-RU"/>
        </w:rPr>
        <w:t>учетом</w:t>
      </w:r>
      <w:r w:rsidRPr="00411F2D">
        <w:rPr>
          <w:lang w:val="ru-RU"/>
        </w:rPr>
        <w:t xml:space="preserve"> </w:t>
      </w:r>
      <w:r>
        <w:rPr>
          <w:lang w:val="ru-RU"/>
        </w:rPr>
        <w:t>их</w:t>
      </w:r>
      <w:r w:rsidRPr="00411F2D">
        <w:rPr>
          <w:lang w:val="ru-RU"/>
        </w:rPr>
        <w:t xml:space="preserve"> </w:t>
      </w:r>
      <w:r>
        <w:rPr>
          <w:lang w:val="ru-RU"/>
        </w:rPr>
        <w:t>значимой</w:t>
      </w:r>
      <w:r w:rsidRPr="00411F2D">
        <w:rPr>
          <w:lang w:val="ru-RU"/>
        </w:rPr>
        <w:t xml:space="preserve"> </w:t>
      </w:r>
      <w:r>
        <w:rPr>
          <w:lang w:val="ru-RU"/>
        </w:rPr>
        <w:t>роли</w:t>
      </w:r>
      <w:r w:rsidRPr="00411F2D">
        <w:rPr>
          <w:lang w:val="ru-RU"/>
        </w:rPr>
        <w:t xml:space="preserve"> </w:t>
      </w:r>
      <w:r>
        <w:rPr>
          <w:lang w:val="ru-RU"/>
        </w:rPr>
        <w:t>в</w:t>
      </w:r>
      <w:r w:rsidRPr="00411F2D">
        <w:rPr>
          <w:lang w:val="ru-RU"/>
        </w:rPr>
        <w:t xml:space="preserve"> </w:t>
      </w:r>
      <w:r>
        <w:rPr>
          <w:lang w:val="ru-RU"/>
        </w:rPr>
        <w:t>цифровой</w:t>
      </w:r>
      <w:r w:rsidRPr="00411F2D">
        <w:rPr>
          <w:lang w:val="ru-RU"/>
        </w:rPr>
        <w:t xml:space="preserve"> </w:t>
      </w:r>
      <w:r>
        <w:rPr>
          <w:lang w:val="ru-RU"/>
        </w:rPr>
        <w:t>трансформации</w:t>
      </w:r>
      <w:r w:rsidRPr="00411F2D">
        <w:rPr>
          <w:lang w:val="ru-RU"/>
        </w:rPr>
        <w:t>;</w:t>
      </w:r>
    </w:p>
    <w:p w14:paraId="3B561D01" w14:textId="77777777" w:rsidR="00252BB8" w:rsidRPr="00841D40" w:rsidRDefault="00252BB8" w:rsidP="00FC39FB">
      <w:pPr>
        <w:pStyle w:val="enumlev1"/>
        <w:rPr>
          <w:lang w:val="ru-RU"/>
        </w:rPr>
      </w:pPr>
      <w:r w:rsidRPr="00C1565D">
        <w:rPr>
          <w:lang w:val="ru-RU"/>
        </w:rPr>
        <w:lastRenderedPageBreak/>
        <w:t>−</w:t>
      </w:r>
      <w:r w:rsidRPr="00C1565D">
        <w:rPr>
          <w:lang w:val="ru-RU"/>
        </w:rPr>
        <w:tab/>
      </w:r>
      <w:r>
        <w:rPr>
          <w:lang w:val="ru-RU"/>
        </w:rPr>
        <w:t>расширение</w:t>
      </w:r>
      <w:r w:rsidRPr="00C1565D">
        <w:rPr>
          <w:lang w:val="ru-RU"/>
        </w:rPr>
        <w:t xml:space="preserve"> </w:t>
      </w:r>
      <w:r>
        <w:rPr>
          <w:lang w:val="ru-RU"/>
        </w:rPr>
        <w:t>присутствия</w:t>
      </w:r>
      <w:r w:rsidRPr="00C1565D">
        <w:rPr>
          <w:lang w:val="ru-RU"/>
        </w:rPr>
        <w:t xml:space="preserve"> </w:t>
      </w:r>
      <w:r>
        <w:rPr>
          <w:lang w:val="ru-RU"/>
        </w:rPr>
        <w:t>в</w:t>
      </w:r>
      <w:r w:rsidRPr="00C1565D">
        <w:rPr>
          <w:lang w:val="ru-RU"/>
        </w:rPr>
        <w:t xml:space="preserve"> </w:t>
      </w:r>
      <w:r>
        <w:rPr>
          <w:lang w:val="ru-RU"/>
        </w:rPr>
        <w:t>Северной</w:t>
      </w:r>
      <w:r w:rsidRPr="00C1565D">
        <w:rPr>
          <w:lang w:val="ru-RU"/>
        </w:rPr>
        <w:t xml:space="preserve"> </w:t>
      </w:r>
      <w:r>
        <w:rPr>
          <w:lang w:val="ru-RU"/>
        </w:rPr>
        <w:t>Америке</w:t>
      </w:r>
      <w:r w:rsidRPr="00C1565D">
        <w:rPr>
          <w:lang w:val="ru-RU"/>
        </w:rPr>
        <w:t xml:space="preserve"> за счет должностных лиц, находящихся в этом географическом регионе. </w:t>
      </w:r>
      <w:r>
        <w:rPr>
          <w:lang w:val="ru-RU"/>
        </w:rPr>
        <w:t xml:space="preserve">Международную координацию регионального присутствия следует регулировать </w:t>
      </w:r>
      <w:r w:rsidRPr="00C1565D">
        <w:rPr>
          <w:lang w:val="ru-RU"/>
        </w:rPr>
        <w:t>на основе схемы с исп</w:t>
      </w:r>
      <w:r>
        <w:rPr>
          <w:lang w:val="ru-RU"/>
        </w:rPr>
        <w:t>ользованием цифровых технологий, которая может быть интегрирована сотрудничающими сторонами из различных стран регионов, для расширения участия всех Государств – Членов МСЭ и уменьшения затрат;</w:t>
      </w:r>
    </w:p>
    <w:p w14:paraId="71A37DE3" w14:textId="77777777" w:rsidR="00252BB8" w:rsidRPr="00841D40" w:rsidRDefault="00252BB8" w:rsidP="00FC39FB">
      <w:pPr>
        <w:pStyle w:val="enumlev1"/>
        <w:rPr>
          <w:lang w:val="ru-RU"/>
        </w:rPr>
      </w:pPr>
      <w:r w:rsidRPr="00841D40">
        <w:rPr>
          <w:lang w:val="ru-RU"/>
        </w:rPr>
        <w:t>−</w:t>
      </w:r>
      <w:r w:rsidRPr="00841D40">
        <w:rPr>
          <w:lang w:val="ru-RU"/>
        </w:rPr>
        <w:tab/>
      </w:r>
      <w:r>
        <w:rPr>
          <w:lang w:val="ru-RU"/>
        </w:rPr>
        <w:t xml:space="preserve">предложение об организации регионального присутствия под руководством заместителя Генерального секретаря, чтобы повысить уровень международной координации между тремя отделениями МСЭ. </w:t>
      </w:r>
    </w:p>
    <w:p w14:paraId="28215518" w14:textId="77777777" w:rsidR="00252BB8" w:rsidRPr="0083273C" w:rsidRDefault="00252BB8" w:rsidP="003F6445">
      <w:pPr>
        <w:rPr>
          <w:lang w:val="ru-RU"/>
        </w:rPr>
      </w:pPr>
      <w:r w:rsidRPr="00420CFA">
        <w:rPr>
          <w:lang w:val="ru-RU"/>
        </w:rPr>
        <w:t>14.6</w:t>
      </w:r>
      <w:r w:rsidRPr="00420CFA">
        <w:rPr>
          <w:lang w:val="ru-RU"/>
        </w:rPr>
        <w:tab/>
      </w:r>
      <w:r>
        <w:rPr>
          <w:lang w:val="ru-RU"/>
        </w:rPr>
        <w:t>Участникам было предложено высказать свои замечания по обоим документам, при этом было отмечено, что усилия команды Секретариата по созданию и размещению информационной панели заслуживают высокой оценки.</w:t>
      </w:r>
    </w:p>
    <w:p w14:paraId="21CA354A" w14:textId="77777777" w:rsidR="00252BB8" w:rsidRPr="00D63B9E" w:rsidRDefault="00252BB8" w:rsidP="003F6445">
      <w:pPr>
        <w:rPr>
          <w:lang w:val="ru-RU"/>
        </w:rPr>
      </w:pPr>
      <w:r w:rsidRPr="00420CFA">
        <w:rPr>
          <w:lang w:val="ru-RU"/>
        </w:rPr>
        <w:t>14.7</w:t>
      </w:r>
      <w:r w:rsidRPr="00420CFA">
        <w:rPr>
          <w:lang w:val="ru-RU"/>
        </w:rPr>
        <w:tab/>
      </w:r>
      <w:r>
        <w:rPr>
          <w:lang w:val="ru-RU"/>
        </w:rPr>
        <w:t>По Документу </w:t>
      </w:r>
      <w:r w:rsidRPr="00D63B9E">
        <w:rPr>
          <w:lang w:val="ru-RU"/>
        </w:rPr>
        <w:t>CWG-FHR-15/13</w:t>
      </w:r>
      <w:r>
        <w:rPr>
          <w:lang w:val="ru-RU"/>
        </w:rPr>
        <w:t xml:space="preserve"> замечаний не поступило.</w:t>
      </w:r>
    </w:p>
    <w:p w14:paraId="656B1ADE" w14:textId="4B913467" w:rsidR="00252BB8" w:rsidRPr="008254F4" w:rsidRDefault="00252BB8" w:rsidP="003F6445">
      <w:pPr>
        <w:rPr>
          <w:lang w:val="ru-RU"/>
        </w:rPr>
      </w:pPr>
      <w:r w:rsidRPr="00420CFA">
        <w:rPr>
          <w:lang w:val="ru-RU"/>
        </w:rPr>
        <w:t>14.8</w:t>
      </w:r>
      <w:r w:rsidRPr="00420CFA">
        <w:rPr>
          <w:lang w:val="ru-RU"/>
        </w:rPr>
        <w:tab/>
      </w:r>
      <w:r>
        <w:rPr>
          <w:lang w:val="ru-RU"/>
        </w:rPr>
        <w:t>Что</w:t>
      </w:r>
      <w:r w:rsidRPr="00E3068C">
        <w:rPr>
          <w:lang w:val="ru-RU"/>
        </w:rPr>
        <w:t xml:space="preserve"> </w:t>
      </w:r>
      <w:r>
        <w:rPr>
          <w:lang w:val="ru-RU"/>
        </w:rPr>
        <w:t>касается</w:t>
      </w:r>
      <w:r w:rsidRPr="00E3068C">
        <w:rPr>
          <w:lang w:val="ru-RU"/>
        </w:rPr>
        <w:t xml:space="preserve"> </w:t>
      </w:r>
      <w:r>
        <w:rPr>
          <w:lang w:val="ru-RU"/>
        </w:rPr>
        <w:t>Документа</w:t>
      </w:r>
      <w:r w:rsidRPr="00E3068C">
        <w:rPr>
          <w:lang w:val="en-US"/>
        </w:rPr>
        <w:t> CWG</w:t>
      </w:r>
      <w:r w:rsidRPr="00E3068C">
        <w:rPr>
          <w:lang w:val="ru-RU"/>
        </w:rPr>
        <w:t>-</w:t>
      </w:r>
      <w:r w:rsidRPr="00E3068C">
        <w:rPr>
          <w:lang w:val="en-US"/>
        </w:rPr>
        <w:t>FHR</w:t>
      </w:r>
      <w:r w:rsidRPr="00E3068C">
        <w:rPr>
          <w:lang w:val="ru-RU"/>
        </w:rPr>
        <w:t>-15/20</w:t>
      </w:r>
      <w:r>
        <w:rPr>
          <w:lang w:val="ru-RU"/>
        </w:rPr>
        <w:t>, то один из делегатов поблагодарил Мексику за интересный вклад и отметил, что не вполне ясно, какие действия требуются от РГС. Следует</w:t>
      </w:r>
      <w:r w:rsidRPr="00A94670">
        <w:rPr>
          <w:lang w:val="ru-RU"/>
        </w:rPr>
        <w:t xml:space="preserve"> </w:t>
      </w:r>
      <w:r>
        <w:rPr>
          <w:lang w:val="ru-RU"/>
        </w:rPr>
        <w:t>увязать</w:t>
      </w:r>
      <w:r w:rsidRPr="00A94670">
        <w:rPr>
          <w:lang w:val="ru-RU"/>
        </w:rPr>
        <w:t xml:space="preserve"> </w:t>
      </w:r>
      <w:r>
        <w:rPr>
          <w:lang w:val="ru-RU"/>
        </w:rPr>
        <w:t>эти</w:t>
      </w:r>
      <w:r w:rsidRPr="00A94670">
        <w:rPr>
          <w:lang w:val="ru-RU"/>
        </w:rPr>
        <w:t xml:space="preserve"> </w:t>
      </w:r>
      <w:r>
        <w:rPr>
          <w:lang w:val="ru-RU"/>
        </w:rPr>
        <w:t>положения</w:t>
      </w:r>
      <w:r w:rsidRPr="00A94670">
        <w:rPr>
          <w:lang w:val="ru-RU"/>
        </w:rPr>
        <w:t xml:space="preserve"> </w:t>
      </w:r>
      <w:r>
        <w:rPr>
          <w:lang w:val="ru-RU"/>
        </w:rPr>
        <w:t>с</w:t>
      </w:r>
      <w:r w:rsidRPr="00A94670">
        <w:rPr>
          <w:lang w:val="ru-RU"/>
        </w:rPr>
        <w:t xml:space="preserve"> </w:t>
      </w:r>
      <w:r>
        <w:rPr>
          <w:lang w:val="ru-RU"/>
        </w:rPr>
        <w:t>Резолюцией</w:t>
      </w:r>
      <w:r w:rsidRPr="00CA232E">
        <w:rPr>
          <w:lang w:val="en-US"/>
        </w:rPr>
        <w:t> </w:t>
      </w:r>
      <w:r w:rsidRPr="00A94670">
        <w:rPr>
          <w:lang w:val="ru-RU"/>
        </w:rPr>
        <w:t>25 (</w:t>
      </w:r>
      <w:r w:rsidRPr="00CA232E">
        <w:rPr>
          <w:lang w:val="ru-RU"/>
        </w:rPr>
        <w:t>Пересм</w:t>
      </w:r>
      <w:r w:rsidRPr="00A94670">
        <w:rPr>
          <w:lang w:val="ru-RU"/>
        </w:rPr>
        <w:t xml:space="preserve">. </w:t>
      </w:r>
      <w:r w:rsidRPr="00CA232E">
        <w:rPr>
          <w:lang w:val="ru-RU"/>
        </w:rPr>
        <w:t>Дубай</w:t>
      </w:r>
      <w:r w:rsidRPr="008254F4">
        <w:rPr>
          <w:lang w:val="ru-RU"/>
        </w:rPr>
        <w:t xml:space="preserve">, 2018 </w:t>
      </w:r>
      <w:r w:rsidRPr="00CA232E">
        <w:rPr>
          <w:lang w:val="ru-RU"/>
        </w:rPr>
        <w:t>г</w:t>
      </w:r>
      <w:r w:rsidRPr="008254F4">
        <w:rPr>
          <w:lang w:val="ru-RU"/>
        </w:rPr>
        <w:t xml:space="preserve">.) </w:t>
      </w:r>
      <w:r>
        <w:rPr>
          <w:lang w:val="ru-RU"/>
        </w:rPr>
        <w:t xml:space="preserve">и дополнительно изучить их, особенно предложение о передаче регионального присутствия в ведение </w:t>
      </w:r>
      <w:r w:rsidRPr="008254F4">
        <w:rPr>
          <w:lang w:val="ru-RU"/>
        </w:rPr>
        <w:t>Канцеляри</w:t>
      </w:r>
      <w:r>
        <w:rPr>
          <w:lang w:val="ru-RU"/>
        </w:rPr>
        <w:t>и</w:t>
      </w:r>
      <w:r w:rsidRPr="008254F4">
        <w:rPr>
          <w:lang w:val="ru-RU"/>
        </w:rPr>
        <w:t xml:space="preserve"> заместителя Генерального секретаря</w:t>
      </w:r>
      <w:r>
        <w:rPr>
          <w:lang w:val="ru-RU"/>
        </w:rPr>
        <w:t xml:space="preserve">. </w:t>
      </w:r>
      <w:r w:rsidRPr="00420CFA">
        <w:rPr>
          <w:lang w:val="ru-RU"/>
        </w:rPr>
        <w:t xml:space="preserve">Предлагается продолжить работу </w:t>
      </w:r>
      <w:r>
        <w:rPr>
          <w:lang w:val="ru-RU"/>
        </w:rPr>
        <w:t xml:space="preserve">по </w:t>
      </w:r>
      <w:r w:rsidR="0045032B">
        <w:rPr>
          <w:lang w:val="ru-RU"/>
        </w:rPr>
        <w:t>д</w:t>
      </w:r>
      <w:r>
        <w:rPr>
          <w:lang w:val="ru-RU"/>
        </w:rPr>
        <w:t>окументу.</w:t>
      </w:r>
    </w:p>
    <w:p w14:paraId="58F29F52" w14:textId="77777777" w:rsidR="00252BB8" w:rsidRPr="008254F4" w:rsidRDefault="00252BB8" w:rsidP="003F6445">
      <w:pPr>
        <w:rPr>
          <w:lang w:val="ru-RU"/>
        </w:rPr>
      </w:pPr>
      <w:r w:rsidRPr="00420CFA">
        <w:rPr>
          <w:lang w:val="ru-RU"/>
        </w:rPr>
        <w:t>14.9</w:t>
      </w:r>
      <w:r w:rsidRPr="00420CFA">
        <w:rPr>
          <w:lang w:val="ru-RU"/>
        </w:rPr>
        <w:tab/>
      </w:r>
      <w:r>
        <w:rPr>
          <w:lang w:val="ru-RU"/>
        </w:rPr>
        <w:t xml:space="preserve">Еще один делегат представил общие замечания по поводу регионального присутствия и отметил, что отчет </w:t>
      </w:r>
      <w:r w:rsidRPr="008254F4">
        <w:rPr>
          <w:lang w:val="ru-RU"/>
        </w:rPr>
        <w:t>PWC</w:t>
      </w:r>
      <w:r>
        <w:rPr>
          <w:lang w:val="ru-RU"/>
        </w:rPr>
        <w:t xml:space="preserve"> требует рассмотрения в контексте обсуждения финансовых вопросов, поскольку</w:t>
      </w:r>
      <w:r w:rsidRPr="00420CFA">
        <w:rPr>
          <w:lang w:val="ru-RU"/>
        </w:rPr>
        <w:t xml:space="preserve"> </w:t>
      </w:r>
      <w:r>
        <w:rPr>
          <w:lang w:val="ru-RU"/>
        </w:rPr>
        <w:t>необходимо</w:t>
      </w:r>
      <w:r w:rsidRPr="00420CFA">
        <w:rPr>
          <w:lang w:val="ru-RU"/>
        </w:rPr>
        <w:t xml:space="preserve"> </w:t>
      </w:r>
      <w:r>
        <w:rPr>
          <w:lang w:val="ru-RU"/>
        </w:rPr>
        <w:t xml:space="preserve">согласовать их </w:t>
      </w:r>
      <w:r w:rsidRPr="00420CFA">
        <w:rPr>
          <w:lang w:val="ru-RU"/>
        </w:rPr>
        <w:t>с</w:t>
      </w:r>
      <w:r>
        <w:rPr>
          <w:lang w:val="ru-RU"/>
        </w:rPr>
        <w:t xml:space="preserve"> учетом</w:t>
      </w:r>
      <w:r w:rsidRPr="00420CFA">
        <w:rPr>
          <w:lang w:val="ru-RU"/>
        </w:rPr>
        <w:t xml:space="preserve"> ожидаем</w:t>
      </w:r>
      <w:r>
        <w:rPr>
          <w:lang w:val="ru-RU"/>
        </w:rPr>
        <w:t>ого</w:t>
      </w:r>
      <w:r w:rsidRPr="00420CFA">
        <w:rPr>
          <w:lang w:val="ru-RU"/>
        </w:rPr>
        <w:t xml:space="preserve"> дефицит</w:t>
      </w:r>
      <w:r>
        <w:rPr>
          <w:lang w:val="ru-RU"/>
        </w:rPr>
        <w:t>а</w:t>
      </w:r>
      <w:r w:rsidRPr="00420CFA">
        <w:rPr>
          <w:lang w:val="ru-RU"/>
        </w:rPr>
        <w:t xml:space="preserve"> бюджета</w:t>
      </w:r>
      <w:r>
        <w:rPr>
          <w:lang w:val="ru-RU"/>
        </w:rPr>
        <w:t xml:space="preserve">. Например, были отмечены замечания </w:t>
      </w:r>
      <w:r w:rsidRPr="008254F4">
        <w:rPr>
          <w:lang w:val="ru-RU"/>
        </w:rPr>
        <w:t>PWC</w:t>
      </w:r>
      <w:r>
        <w:rPr>
          <w:lang w:val="ru-RU"/>
        </w:rPr>
        <w:t xml:space="preserve"> </w:t>
      </w:r>
      <w:r w:rsidRPr="00753CC8">
        <w:rPr>
          <w:lang w:val="ru-RU"/>
        </w:rPr>
        <w:t>о снижении расходов на проекты в последние годы</w:t>
      </w:r>
      <w:r>
        <w:rPr>
          <w:lang w:val="ru-RU"/>
        </w:rPr>
        <w:t>, что имеет последствия для бюджета. Делегат предложил</w:t>
      </w:r>
      <w:r w:rsidRPr="00753CC8">
        <w:rPr>
          <w:lang w:val="ru-RU"/>
        </w:rPr>
        <w:t xml:space="preserve"> выделить финансовые вопросы </w:t>
      </w:r>
      <w:r>
        <w:rPr>
          <w:lang w:val="ru-RU"/>
        </w:rPr>
        <w:t xml:space="preserve">из отчета о региональном присутствии и рассмотреть их отдельно в рамках обсуждения бюджета. </w:t>
      </w:r>
    </w:p>
    <w:p w14:paraId="6ED70379" w14:textId="7A48BDC7" w:rsidR="00252BB8" w:rsidRPr="008254F4" w:rsidRDefault="00252BB8" w:rsidP="003F6445">
      <w:pPr>
        <w:rPr>
          <w:lang w:val="ru-RU"/>
        </w:rPr>
      </w:pPr>
      <w:r w:rsidRPr="00753CC8">
        <w:rPr>
          <w:lang w:val="ru-RU"/>
        </w:rPr>
        <w:t>14.10</w:t>
      </w:r>
      <w:r w:rsidRPr="00753CC8">
        <w:rPr>
          <w:lang w:val="ru-RU"/>
        </w:rPr>
        <w:tab/>
      </w:r>
      <w:r>
        <w:rPr>
          <w:lang w:val="ru-RU"/>
        </w:rPr>
        <w:t xml:space="preserve">Один из делегатов поблагодарил Мексику за вклад, отметив замечания другого делегата, и предложил передать </w:t>
      </w:r>
      <w:r w:rsidR="0045032B">
        <w:rPr>
          <w:lang w:val="ru-RU"/>
        </w:rPr>
        <w:t>д</w:t>
      </w:r>
      <w:r w:rsidRPr="00753CC8">
        <w:rPr>
          <w:lang w:val="ru-RU"/>
        </w:rPr>
        <w:t xml:space="preserve">окумент </w:t>
      </w:r>
      <w:r>
        <w:rPr>
          <w:lang w:val="ru-RU"/>
        </w:rPr>
        <w:t xml:space="preserve">на рассмотрение СИТЕЛ для дальнейшего обсуждения и укрепления в регионе. Другой делегат выразил несогласие с предложением передать региональное присутствие в ведение заместителя Генерального секретаря на том основании, что эффективность регионального присутствия </w:t>
      </w:r>
      <w:r w:rsidRPr="00753CC8">
        <w:rPr>
          <w:lang w:val="ru-RU"/>
        </w:rPr>
        <w:t xml:space="preserve">определяется тем, какой </w:t>
      </w:r>
      <w:r>
        <w:rPr>
          <w:lang w:val="ru-RU"/>
        </w:rPr>
        <w:t>из Секторов</w:t>
      </w:r>
      <w:r w:rsidRPr="00753CC8">
        <w:rPr>
          <w:lang w:val="ru-RU"/>
        </w:rPr>
        <w:t xml:space="preserve"> лучше всего подходит для осуществления</w:t>
      </w:r>
      <w:r>
        <w:rPr>
          <w:lang w:val="ru-RU"/>
        </w:rPr>
        <w:t xml:space="preserve"> этой</w:t>
      </w:r>
      <w:r w:rsidRPr="00753CC8">
        <w:rPr>
          <w:lang w:val="ru-RU"/>
        </w:rPr>
        <w:t xml:space="preserve"> деятельности, и выразил мнение, что </w:t>
      </w:r>
      <w:r>
        <w:rPr>
          <w:lang w:val="ru-RU"/>
        </w:rPr>
        <w:t>БРЭ вполне отвечает этому требованию.</w:t>
      </w:r>
    </w:p>
    <w:p w14:paraId="49AD2E5F" w14:textId="77777777" w:rsidR="00252BB8" w:rsidRPr="00EF0CB0" w:rsidRDefault="00252BB8" w:rsidP="003F6445">
      <w:pPr>
        <w:rPr>
          <w:lang w:val="ru-RU"/>
        </w:rPr>
      </w:pPr>
      <w:r w:rsidRPr="00CB67AA">
        <w:rPr>
          <w:lang w:val="ru-RU"/>
        </w:rPr>
        <w:t>14.11</w:t>
      </w:r>
      <w:r w:rsidRPr="00CB67AA">
        <w:rPr>
          <w:lang w:val="ru-RU"/>
        </w:rPr>
        <w:tab/>
      </w:r>
      <w:r>
        <w:rPr>
          <w:lang w:val="ru-RU"/>
        </w:rPr>
        <w:t>Делегат от Мексики ответил на замечания, отметив, что цифровые технологии предоставляют возможности для децентрализации, которая значительно улучшит региональное присутствие во всех странах, и повторил аргументы, изложенные в документе. МСЭ и Государствам-Членам следует проанализировать возможность передачи регионального присутствия под управление заместителя Генерального секретаря, чтобы определить все преимущества и недостатки такого решения.</w:t>
      </w:r>
    </w:p>
    <w:p w14:paraId="13D8BE44" w14:textId="26E5FED4" w:rsidR="00252BB8" w:rsidRPr="00CB67AA" w:rsidRDefault="00252BB8" w:rsidP="003F6445">
      <w:pPr>
        <w:rPr>
          <w:lang w:val="ru-RU"/>
        </w:rPr>
      </w:pPr>
      <w:r w:rsidRPr="00B015CD">
        <w:rPr>
          <w:lang w:val="ru-RU"/>
        </w:rPr>
        <w:t>14.12</w:t>
      </w:r>
      <w:r w:rsidRPr="00B015CD">
        <w:rPr>
          <w:lang w:val="ru-RU"/>
        </w:rPr>
        <w:tab/>
      </w:r>
      <w:r>
        <w:rPr>
          <w:lang w:val="ru-RU"/>
        </w:rPr>
        <w:t xml:space="preserve">Секретариат </w:t>
      </w:r>
      <w:r w:rsidRPr="00647C8B">
        <w:rPr>
          <w:lang w:val="ru-RU"/>
        </w:rPr>
        <w:t>отметил, что вклад Мексики был высоко оценен</w:t>
      </w:r>
      <w:r>
        <w:rPr>
          <w:lang w:val="ru-RU"/>
        </w:rPr>
        <w:t xml:space="preserve"> и что децентрализация может быть сопряжена с определенными проблемами, поскольку она потребует существенных изменений в организации работы МСЭ, включая возможные бюджетные последствия, </w:t>
      </w:r>
      <w:r w:rsidRPr="00B015CD">
        <w:rPr>
          <w:lang w:val="ru-RU"/>
        </w:rPr>
        <w:t xml:space="preserve">несмотря на </w:t>
      </w:r>
      <w:r>
        <w:rPr>
          <w:lang w:val="ru-RU"/>
        </w:rPr>
        <w:t>потенциальную</w:t>
      </w:r>
      <w:r w:rsidRPr="00B015CD">
        <w:rPr>
          <w:lang w:val="ru-RU"/>
        </w:rPr>
        <w:t xml:space="preserve"> экономию</w:t>
      </w:r>
      <w:r>
        <w:rPr>
          <w:lang w:val="ru-RU"/>
        </w:rPr>
        <w:t>,</w:t>
      </w:r>
      <w:r w:rsidRPr="00B015CD">
        <w:rPr>
          <w:lang w:val="ru-RU"/>
        </w:rPr>
        <w:t xml:space="preserve"> </w:t>
      </w:r>
      <w:r>
        <w:rPr>
          <w:lang w:val="ru-RU"/>
        </w:rPr>
        <w:t>в связи с количеством</w:t>
      </w:r>
      <w:r w:rsidRPr="00B015CD">
        <w:rPr>
          <w:lang w:val="ru-RU"/>
        </w:rPr>
        <w:t xml:space="preserve"> стран, которые необходимо будет охватить, и соответствующие кадровые последствия.</w:t>
      </w:r>
    </w:p>
    <w:p w14:paraId="7D0802AD" w14:textId="77777777" w:rsidR="00252BB8" w:rsidRPr="00B015CD" w:rsidRDefault="00252BB8" w:rsidP="003F6445">
      <w:pPr>
        <w:rPr>
          <w:lang w:val="ru-RU"/>
        </w:rPr>
      </w:pPr>
      <w:r w:rsidRPr="00D567E8">
        <w:rPr>
          <w:lang w:val="ru-RU"/>
        </w:rPr>
        <w:t>14.13</w:t>
      </w:r>
      <w:r w:rsidRPr="00D567E8">
        <w:rPr>
          <w:lang w:val="ru-RU"/>
        </w:rPr>
        <w:tab/>
      </w:r>
      <w:r>
        <w:rPr>
          <w:lang w:val="ru-RU"/>
        </w:rPr>
        <w:t>По вопросу о представительстве и координации между тремя Бюро Секретариат отметил, что, несмотря на то что региональные отделения подчиняются БРЭ, они считают себя частью единой организации МСЭ и что тесная, эффективная координация между Секторами обеспечивается за счет проведения регулярных собраний и взаимодействия, при этом вопрос укрепления координации за счет прямого участия других Бюро также активно изучается. Что касается перехода регионального присутствия под управление заместителя Генерального секретаря, то Секретариат готов рассмотреть этот вопрос и представить отчет по итогам рассмотрения.</w:t>
      </w:r>
    </w:p>
    <w:p w14:paraId="375BAE18" w14:textId="77777777" w:rsidR="00252BB8" w:rsidRPr="005E306A" w:rsidRDefault="00252BB8" w:rsidP="003F6445">
      <w:pPr>
        <w:rPr>
          <w:lang w:val="ru-RU"/>
        </w:rPr>
      </w:pPr>
      <w:r w:rsidRPr="003D333E">
        <w:rPr>
          <w:lang w:val="ru-RU"/>
        </w:rPr>
        <w:lastRenderedPageBreak/>
        <w:t>14.14</w:t>
      </w:r>
      <w:r w:rsidRPr="003D333E">
        <w:rPr>
          <w:lang w:val="ru-RU"/>
        </w:rPr>
        <w:tab/>
      </w:r>
      <w:r>
        <w:rPr>
          <w:lang w:val="ru-RU"/>
        </w:rPr>
        <w:t>Председатель отметила, что вопрос перехода регионального присутствия в ведение заместителя Генерального секретаря обсуждался на ПК-18 и, возможно, он относится к компетенции Полномочной конференции, а не Совета, и предложила Секретариату представить юридическое заключение по этому вопросу.</w:t>
      </w:r>
    </w:p>
    <w:p w14:paraId="5332A350" w14:textId="77777777" w:rsidR="00252BB8" w:rsidRPr="000A149D" w:rsidRDefault="00252BB8" w:rsidP="003F6445">
      <w:pPr>
        <w:rPr>
          <w:highlight w:val="yellow"/>
          <w:lang w:val="ru-RU"/>
        </w:rPr>
      </w:pPr>
      <w:r w:rsidRPr="00127449">
        <w:rPr>
          <w:lang w:val="ru-RU"/>
        </w:rPr>
        <w:t>14.15</w:t>
      </w:r>
      <w:r w:rsidRPr="00127449">
        <w:rPr>
          <w:lang w:val="ru-RU"/>
        </w:rPr>
        <w:tab/>
      </w:r>
      <w:r>
        <w:rPr>
          <w:lang w:val="ru-RU"/>
        </w:rPr>
        <w:t xml:space="preserve">Одна из делегаций поблагодарила Мексику и Секретариат за обновленную информацию по информационной панели, </w:t>
      </w:r>
      <w:r w:rsidRPr="003D333E">
        <w:rPr>
          <w:lang w:val="ru-RU"/>
        </w:rPr>
        <w:t>согласи</w:t>
      </w:r>
      <w:r>
        <w:rPr>
          <w:lang w:val="ru-RU"/>
        </w:rPr>
        <w:t xml:space="preserve">лась с разъяснениями и отметила, что БРЭ является подходящим местом для управления вопросами регионального присутствия, так как </w:t>
      </w:r>
      <w:r w:rsidRPr="00E840BD">
        <w:rPr>
          <w:lang w:val="ru-RU"/>
        </w:rPr>
        <w:t>ключевыми заинтересованными сторонами являются развивающиеся страны</w:t>
      </w:r>
      <w:r>
        <w:rPr>
          <w:lang w:val="ru-RU"/>
        </w:rPr>
        <w:t xml:space="preserve">, а цели межсекторальной координации, отмеченные Мексикой, могут быть охвачены работой </w:t>
      </w:r>
      <w:r w:rsidRPr="000A149D">
        <w:rPr>
          <w:lang w:val="ru-RU"/>
        </w:rPr>
        <w:t>ЦГ-МСК</w:t>
      </w:r>
      <w:r>
        <w:rPr>
          <w:lang w:val="ru-RU"/>
        </w:rPr>
        <w:t xml:space="preserve"> и других межсекторальных координационных групп для реализации концепции единого МСЭ при сохранении ориентации регионального присутствия на приоритеты в области развития.</w:t>
      </w:r>
    </w:p>
    <w:p w14:paraId="58B010AC" w14:textId="77777777" w:rsidR="00252BB8" w:rsidRPr="00F175D5" w:rsidRDefault="00252BB8" w:rsidP="003F6445">
      <w:pPr>
        <w:rPr>
          <w:lang w:val="ru-RU"/>
        </w:rPr>
      </w:pPr>
      <w:r w:rsidRPr="00127449">
        <w:rPr>
          <w:lang w:val="ru-RU"/>
        </w:rPr>
        <w:t>14.16</w:t>
      </w:r>
      <w:r w:rsidRPr="00127449">
        <w:rPr>
          <w:lang w:val="ru-RU"/>
        </w:rPr>
        <w:tab/>
      </w:r>
      <w:r>
        <w:rPr>
          <w:lang w:val="ru-RU"/>
        </w:rPr>
        <w:t xml:space="preserve">Председатель завершила обсуждения, отметив, что Секретариату следует продолжать работу по выполнению рекомендаций </w:t>
      </w:r>
      <w:r w:rsidRPr="00F175D5">
        <w:rPr>
          <w:lang w:val="ru-RU"/>
        </w:rPr>
        <w:t>PWC</w:t>
      </w:r>
      <w:r>
        <w:rPr>
          <w:lang w:val="ru-RU"/>
        </w:rPr>
        <w:t xml:space="preserve">, в то время как поднятые Мексикой вопросы, которые выходят за рамки компетенции </w:t>
      </w:r>
      <w:r w:rsidRPr="00F175D5">
        <w:rPr>
          <w:lang w:val="ru-RU"/>
        </w:rPr>
        <w:t>РГС-ФЛР</w:t>
      </w:r>
      <w:r>
        <w:rPr>
          <w:lang w:val="ru-RU"/>
        </w:rPr>
        <w:t>, следует рассматривать в рамках подготовки к Полномочной конференции.</w:t>
      </w:r>
    </w:p>
    <w:p w14:paraId="757C83CD" w14:textId="77777777" w:rsidR="00252BB8" w:rsidRPr="00F175D5" w:rsidRDefault="00252BB8" w:rsidP="003F6445">
      <w:pPr>
        <w:rPr>
          <w:bCs/>
          <w:lang w:val="ru-RU"/>
        </w:rPr>
      </w:pPr>
      <w:r w:rsidRPr="00127449">
        <w:rPr>
          <w:bCs/>
          <w:lang w:val="ru-RU"/>
        </w:rPr>
        <w:t>14.17</w:t>
      </w:r>
      <w:r w:rsidRPr="00127449">
        <w:rPr>
          <w:bCs/>
          <w:lang w:val="ru-RU"/>
        </w:rPr>
        <w:tab/>
      </w:r>
      <w:r>
        <w:rPr>
          <w:bCs/>
          <w:lang w:val="ru-RU"/>
        </w:rPr>
        <w:t>Председатель предложила участникам собрания принять к сведению статус выполнения обзора регионального присутствия.</w:t>
      </w:r>
    </w:p>
    <w:p w14:paraId="44D95033" w14:textId="2D3E0FEF" w:rsidR="00252BB8" w:rsidRPr="009F332C" w:rsidRDefault="00252BB8" w:rsidP="00701540">
      <w:pPr>
        <w:pStyle w:val="Heading1"/>
        <w:rPr>
          <w:lang w:val="ru-RU"/>
        </w:rPr>
      </w:pPr>
      <w:r w:rsidRPr="009F332C">
        <w:rPr>
          <w:lang w:val="ru-RU"/>
        </w:rPr>
        <w:t>15</w:t>
      </w:r>
      <w:r w:rsidRPr="009F332C">
        <w:rPr>
          <w:lang w:val="ru-RU"/>
        </w:rPr>
        <w:tab/>
      </w:r>
      <w:r w:rsidRPr="00127449">
        <w:rPr>
          <w:lang w:val="ru-RU"/>
        </w:rPr>
        <w:t>Информационная панель МСЭ по вопросам соблюдения</w:t>
      </w:r>
      <w:r w:rsidRPr="009F332C">
        <w:rPr>
          <w:lang w:val="ru-RU"/>
        </w:rPr>
        <w:t xml:space="preserve">: последующие меры по рекомендациям Внешнего аудитора </w:t>
      </w:r>
      <w:r>
        <w:rPr>
          <w:lang w:val="ru-RU"/>
        </w:rPr>
        <w:t>и</w:t>
      </w:r>
      <w:r w:rsidRPr="009F332C">
        <w:rPr>
          <w:lang w:val="ru-RU"/>
        </w:rPr>
        <w:t xml:space="preserve"> </w:t>
      </w:r>
      <w:r w:rsidRPr="00701540">
        <w:rPr>
          <w:lang w:val="en-US"/>
        </w:rPr>
        <w:t>IMAC</w:t>
      </w:r>
      <w:r w:rsidRPr="009F332C">
        <w:rPr>
          <w:lang w:val="ru-RU"/>
        </w:rPr>
        <w:t xml:space="preserve"> (</w:t>
      </w:r>
      <w:r>
        <w:rPr>
          <w:lang w:val="ru-RU"/>
        </w:rPr>
        <w:t>Документ</w:t>
      </w:r>
      <w:r w:rsidR="000C4862">
        <w:rPr>
          <w:lang w:val="ru-RU"/>
        </w:rPr>
        <w:t> </w:t>
      </w:r>
      <w:hyperlink r:id="rId40" w:history="1">
        <w:r w:rsidRPr="00701540">
          <w:rPr>
            <w:rStyle w:val="Hyperlink"/>
            <w:bCs/>
            <w:lang w:val="en-US"/>
          </w:rPr>
          <w:t>CWG</w:t>
        </w:r>
        <w:r w:rsidR="000C4862">
          <w:rPr>
            <w:rStyle w:val="Hyperlink"/>
            <w:bCs/>
            <w:lang w:val="ru-RU"/>
          </w:rPr>
          <w:noBreakHyphen/>
        </w:r>
        <w:r w:rsidRPr="00701540">
          <w:rPr>
            <w:rStyle w:val="Hyperlink"/>
            <w:bCs/>
            <w:lang w:val="en-US"/>
          </w:rPr>
          <w:t>FHR</w:t>
        </w:r>
        <w:r w:rsidR="000C4862" w:rsidRPr="000C4862">
          <w:rPr>
            <w:rStyle w:val="Hyperlink"/>
            <w:bCs/>
            <w:lang w:val="ru-RU"/>
          </w:rPr>
          <w:noBreakHyphen/>
        </w:r>
        <w:r w:rsidRPr="009F332C">
          <w:rPr>
            <w:rStyle w:val="Hyperlink"/>
            <w:lang w:val="ru-RU"/>
          </w:rPr>
          <w:t>15/12</w:t>
        </w:r>
      </w:hyperlink>
      <w:r w:rsidRPr="00A105F3">
        <w:rPr>
          <w:rFonts w:eastAsiaTheme="minorHAnsi"/>
          <w:lang w:val="ru-RU"/>
        </w:rPr>
        <w:t>)</w:t>
      </w:r>
    </w:p>
    <w:p w14:paraId="5FE690C3" w14:textId="709B9221" w:rsidR="00252BB8" w:rsidRPr="00127449" w:rsidRDefault="00252BB8" w:rsidP="00701540">
      <w:pPr>
        <w:rPr>
          <w:lang w:val="ru-RU"/>
        </w:rPr>
      </w:pPr>
      <w:r w:rsidRPr="001813AC">
        <w:rPr>
          <w:lang w:val="ru-RU"/>
        </w:rPr>
        <w:t>15.1</w:t>
      </w:r>
      <w:r w:rsidRPr="001813AC">
        <w:rPr>
          <w:lang w:val="ru-RU"/>
        </w:rPr>
        <w:tab/>
      </w:r>
      <w:r>
        <w:rPr>
          <w:lang w:val="ru-RU"/>
        </w:rPr>
        <w:t>Секретариат представил для информации Документ </w:t>
      </w:r>
      <w:r w:rsidRPr="00127449">
        <w:rPr>
          <w:lang w:val="ru-RU"/>
        </w:rPr>
        <w:t>CWG-FHR</w:t>
      </w:r>
      <w:r w:rsidR="000C4862">
        <w:rPr>
          <w:lang w:val="ru-RU"/>
        </w:rPr>
        <w:t>-</w:t>
      </w:r>
      <w:r w:rsidRPr="00127449">
        <w:rPr>
          <w:lang w:val="ru-RU"/>
        </w:rPr>
        <w:t>15/12</w:t>
      </w:r>
      <w:r>
        <w:rPr>
          <w:lang w:val="ru-RU"/>
        </w:rPr>
        <w:t xml:space="preserve">, посвященный </w:t>
      </w:r>
      <w:r w:rsidRPr="00127449">
        <w:rPr>
          <w:lang w:val="ru-RU"/>
        </w:rPr>
        <w:t>Инструмент</w:t>
      </w:r>
      <w:r>
        <w:rPr>
          <w:lang w:val="ru-RU"/>
        </w:rPr>
        <w:t>у</w:t>
      </w:r>
      <w:r w:rsidRPr="00127449">
        <w:rPr>
          <w:lang w:val="ru-RU"/>
        </w:rPr>
        <w:t xml:space="preserve"> отслеживания и Информационной панели МСЭ по вопросам соблюдения</w:t>
      </w:r>
      <w:r>
        <w:rPr>
          <w:lang w:val="ru-RU"/>
        </w:rPr>
        <w:t>.</w:t>
      </w:r>
    </w:p>
    <w:p w14:paraId="2B4C79AF" w14:textId="77777777" w:rsidR="00252BB8" w:rsidRPr="001813AC" w:rsidRDefault="00252BB8" w:rsidP="00701540">
      <w:pPr>
        <w:rPr>
          <w:lang w:val="ru-RU"/>
        </w:rPr>
      </w:pPr>
      <w:r w:rsidRPr="001813AC">
        <w:rPr>
          <w:lang w:val="ru-RU"/>
        </w:rPr>
        <w:t>15.2</w:t>
      </w:r>
      <w:r w:rsidRPr="001813AC">
        <w:rPr>
          <w:lang w:val="ru-RU"/>
        </w:rPr>
        <w:tab/>
      </w:r>
      <w:r>
        <w:rPr>
          <w:lang w:val="ru-RU"/>
        </w:rPr>
        <w:t>Этот</w:t>
      </w:r>
      <w:r w:rsidRPr="001813AC">
        <w:rPr>
          <w:lang w:val="ru-RU"/>
        </w:rPr>
        <w:t xml:space="preserve"> </w:t>
      </w:r>
      <w:r>
        <w:rPr>
          <w:lang w:val="ru-RU"/>
        </w:rPr>
        <w:t>новый</w:t>
      </w:r>
      <w:r w:rsidRPr="001813AC">
        <w:rPr>
          <w:lang w:val="ru-RU"/>
        </w:rPr>
        <w:t xml:space="preserve"> </w:t>
      </w:r>
      <w:r>
        <w:rPr>
          <w:lang w:val="ru-RU"/>
        </w:rPr>
        <w:t>инструмент</w:t>
      </w:r>
      <w:r w:rsidRPr="001813AC">
        <w:rPr>
          <w:lang w:val="ru-RU"/>
        </w:rPr>
        <w:t xml:space="preserve">, </w:t>
      </w:r>
      <w:r>
        <w:rPr>
          <w:lang w:val="ru-RU"/>
        </w:rPr>
        <w:t>созданный</w:t>
      </w:r>
      <w:r w:rsidRPr="001813AC">
        <w:rPr>
          <w:lang w:val="ru-RU"/>
        </w:rPr>
        <w:t xml:space="preserve"> </w:t>
      </w:r>
      <w:r>
        <w:rPr>
          <w:lang w:val="ru-RU"/>
        </w:rPr>
        <w:t>в</w:t>
      </w:r>
      <w:r w:rsidRPr="001813AC">
        <w:rPr>
          <w:lang w:val="ru-RU"/>
        </w:rPr>
        <w:t xml:space="preserve"> </w:t>
      </w:r>
      <w:r>
        <w:rPr>
          <w:lang w:val="ru-RU"/>
        </w:rPr>
        <w:t>феврале</w:t>
      </w:r>
      <w:r w:rsidRPr="001813AC">
        <w:rPr>
          <w:lang w:val="ru-RU"/>
        </w:rPr>
        <w:t xml:space="preserve"> 2021</w:t>
      </w:r>
      <w:r w:rsidRPr="00127449">
        <w:rPr>
          <w:lang w:val="en-US"/>
        </w:rPr>
        <w:t> </w:t>
      </w:r>
      <w:r>
        <w:rPr>
          <w:lang w:val="ru-RU"/>
        </w:rPr>
        <w:t>года</w:t>
      </w:r>
      <w:r w:rsidRPr="001813AC">
        <w:rPr>
          <w:lang w:val="ru-RU"/>
        </w:rPr>
        <w:t xml:space="preserve">, наглядно показывает статус </w:t>
      </w:r>
      <w:r>
        <w:rPr>
          <w:lang w:val="ru-RU"/>
        </w:rPr>
        <w:t>выполнения</w:t>
      </w:r>
      <w:r w:rsidRPr="001813AC">
        <w:rPr>
          <w:lang w:val="ru-RU"/>
        </w:rPr>
        <w:t xml:space="preserve"> </w:t>
      </w:r>
      <w:r>
        <w:rPr>
          <w:lang w:val="ru-RU"/>
        </w:rPr>
        <w:t>рекомендаций</w:t>
      </w:r>
      <w:r w:rsidRPr="001813AC">
        <w:rPr>
          <w:lang w:val="ru-RU"/>
        </w:rPr>
        <w:t xml:space="preserve"> </w:t>
      </w:r>
      <w:r>
        <w:rPr>
          <w:lang w:val="ru-RU"/>
        </w:rPr>
        <w:t>следующих</w:t>
      </w:r>
      <w:r w:rsidRPr="001813AC">
        <w:rPr>
          <w:lang w:val="ru-RU"/>
        </w:rPr>
        <w:t xml:space="preserve"> </w:t>
      </w:r>
      <w:r>
        <w:rPr>
          <w:lang w:val="ru-RU"/>
        </w:rPr>
        <w:t>надзорных</w:t>
      </w:r>
      <w:r w:rsidRPr="001813AC">
        <w:rPr>
          <w:lang w:val="ru-RU"/>
        </w:rPr>
        <w:t xml:space="preserve"> </w:t>
      </w:r>
      <w:r>
        <w:rPr>
          <w:lang w:val="ru-RU"/>
        </w:rPr>
        <w:t>структур</w:t>
      </w:r>
      <w:r w:rsidRPr="001813AC">
        <w:rPr>
          <w:lang w:val="ru-RU"/>
        </w:rPr>
        <w:t>:</w:t>
      </w:r>
    </w:p>
    <w:p w14:paraId="2FE4F72E" w14:textId="77777777" w:rsidR="00252BB8" w:rsidRPr="009B52F1" w:rsidRDefault="00252BB8" w:rsidP="00701540">
      <w:pPr>
        <w:pStyle w:val="enumlev1"/>
        <w:rPr>
          <w:lang w:val="ru-RU"/>
        </w:rPr>
      </w:pPr>
      <w:r w:rsidRPr="009B52F1">
        <w:rPr>
          <w:lang w:val="ru-RU"/>
        </w:rPr>
        <w:t>•</w:t>
      </w:r>
      <w:r w:rsidRPr="009B52F1">
        <w:rPr>
          <w:lang w:val="ru-RU"/>
        </w:rPr>
        <w:tab/>
        <w:t>Внешн</w:t>
      </w:r>
      <w:r>
        <w:rPr>
          <w:lang w:val="ru-RU"/>
        </w:rPr>
        <w:t>ий</w:t>
      </w:r>
      <w:r w:rsidRPr="009B52F1">
        <w:rPr>
          <w:lang w:val="ru-RU"/>
        </w:rPr>
        <w:t xml:space="preserve"> аудитор;</w:t>
      </w:r>
    </w:p>
    <w:p w14:paraId="7DEB79EC" w14:textId="77777777" w:rsidR="00252BB8" w:rsidRPr="009B52F1" w:rsidRDefault="00252BB8" w:rsidP="00701540">
      <w:pPr>
        <w:pStyle w:val="enumlev1"/>
        <w:rPr>
          <w:lang w:val="ru-RU"/>
        </w:rPr>
      </w:pPr>
      <w:r w:rsidRPr="009B52F1">
        <w:rPr>
          <w:lang w:val="ru-RU"/>
        </w:rPr>
        <w:t>•</w:t>
      </w:r>
      <w:r w:rsidRPr="009B52F1">
        <w:rPr>
          <w:lang w:val="ru-RU"/>
        </w:rPr>
        <w:tab/>
        <w:t>Независимый консультативный комитет по управлению (</w:t>
      </w:r>
      <w:r w:rsidRPr="00701540">
        <w:t>IMAC</w:t>
      </w:r>
      <w:r w:rsidRPr="009B52F1">
        <w:rPr>
          <w:lang w:val="ru-RU"/>
        </w:rPr>
        <w:t>);</w:t>
      </w:r>
    </w:p>
    <w:p w14:paraId="4DB1473F" w14:textId="77777777" w:rsidR="00252BB8" w:rsidRPr="009B52F1" w:rsidRDefault="00252BB8" w:rsidP="00701540">
      <w:pPr>
        <w:pStyle w:val="enumlev1"/>
        <w:rPr>
          <w:lang w:val="ru-RU"/>
        </w:rPr>
      </w:pPr>
      <w:r w:rsidRPr="009B52F1">
        <w:rPr>
          <w:lang w:val="ru-RU"/>
        </w:rPr>
        <w:t>•</w:t>
      </w:r>
      <w:r w:rsidRPr="009B52F1">
        <w:rPr>
          <w:lang w:val="ru-RU"/>
        </w:rPr>
        <w:tab/>
        <w:t>Объединенн</w:t>
      </w:r>
      <w:r>
        <w:rPr>
          <w:lang w:val="ru-RU"/>
        </w:rPr>
        <w:t>ая</w:t>
      </w:r>
      <w:r w:rsidRPr="009B52F1">
        <w:rPr>
          <w:lang w:val="ru-RU"/>
        </w:rPr>
        <w:t xml:space="preserve"> инспекционн</w:t>
      </w:r>
      <w:r>
        <w:rPr>
          <w:lang w:val="ru-RU"/>
        </w:rPr>
        <w:t>ая</w:t>
      </w:r>
      <w:r w:rsidRPr="009B52F1">
        <w:rPr>
          <w:lang w:val="ru-RU"/>
        </w:rPr>
        <w:t xml:space="preserve"> групп</w:t>
      </w:r>
      <w:r>
        <w:rPr>
          <w:lang w:val="ru-RU"/>
        </w:rPr>
        <w:t>а</w:t>
      </w:r>
      <w:r w:rsidRPr="009B52F1">
        <w:rPr>
          <w:lang w:val="ru-RU"/>
        </w:rPr>
        <w:t xml:space="preserve"> (ОИГ);</w:t>
      </w:r>
    </w:p>
    <w:p w14:paraId="2507271C" w14:textId="77777777" w:rsidR="00252BB8" w:rsidRPr="009B52F1" w:rsidRDefault="00252BB8" w:rsidP="00701540">
      <w:pPr>
        <w:pStyle w:val="enumlev1"/>
        <w:rPr>
          <w:lang w:val="ru-RU"/>
        </w:rPr>
      </w:pPr>
      <w:r w:rsidRPr="009B52F1">
        <w:rPr>
          <w:lang w:val="ru-RU"/>
        </w:rPr>
        <w:t>•</w:t>
      </w:r>
      <w:r w:rsidRPr="009B52F1">
        <w:rPr>
          <w:lang w:val="ru-RU"/>
        </w:rPr>
        <w:tab/>
        <w:t>Подразделение внутреннего аудита;</w:t>
      </w:r>
    </w:p>
    <w:p w14:paraId="1E74343E" w14:textId="77777777" w:rsidR="00252BB8" w:rsidRPr="00A94670" w:rsidRDefault="00252BB8" w:rsidP="00701540">
      <w:pPr>
        <w:pStyle w:val="enumlev1"/>
        <w:rPr>
          <w:lang w:val="ru-RU"/>
        </w:rPr>
      </w:pPr>
      <w:r w:rsidRPr="00A94670">
        <w:rPr>
          <w:lang w:val="ru-RU"/>
        </w:rPr>
        <w:t>•</w:t>
      </w:r>
      <w:r w:rsidRPr="00A94670">
        <w:rPr>
          <w:lang w:val="ru-RU"/>
        </w:rPr>
        <w:tab/>
        <w:t>Судебно-бухгалтерская экспертиза.</w:t>
      </w:r>
    </w:p>
    <w:p w14:paraId="6B04E48B" w14:textId="0BF3062B" w:rsidR="00252BB8" w:rsidRPr="005A579F" w:rsidRDefault="00252BB8" w:rsidP="00701540">
      <w:pPr>
        <w:rPr>
          <w:lang w:val="ru-RU"/>
        </w:rPr>
      </w:pPr>
      <w:r w:rsidRPr="001813AC">
        <w:rPr>
          <w:lang w:val="ru-RU"/>
        </w:rPr>
        <w:t>15.3</w:t>
      </w:r>
      <w:r w:rsidRPr="001813AC">
        <w:rPr>
          <w:lang w:val="ru-RU"/>
        </w:rPr>
        <w:tab/>
      </w:r>
      <w:r>
        <w:rPr>
          <w:lang w:val="ru-RU"/>
        </w:rPr>
        <w:t xml:space="preserve">В </w:t>
      </w:r>
      <w:r w:rsidR="0045032B">
        <w:rPr>
          <w:lang w:val="ru-RU"/>
        </w:rPr>
        <w:t>д</w:t>
      </w:r>
      <w:r>
        <w:rPr>
          <w:lang w:val="ru-RU"/>
        </w:rPr>
        <w:t xml:space="preserve">окументе указан статус выполнения всех рекомендаций Внешнего аудитора и </w:t>
      </w:r>
      <w:r w:rsidRPr="005A579F">
        <w:rPr>
          <w:lang w:val="ru-RU"/>
        </w:rPr>
        <w:t xml:space="preserve">IMAC </w:t>
      </w:r>
      <w:r>
        <w:rPr>
          <w:lang w:val="ru-RU"/>
        </w:rPr>
        <w:t>по состоянию на декабрь 2021 года. (В Документе</w:t>
      </w:r>
      <w:r w:rsidRPr="005A579F">
        <w:rPr>
          <w:lang w:val="ru-RU"/>
        </w:rPr>
        <w:t xml:space="preserve"> CWG-FHR-15/3</w:t>
      </w:r>
      <w:r>
        <w:rPr>
          <w:lang w:val="ru-RU"/>
        </w:rPr>
        <w:t xml:space="preserve"> представлен отчет о ходе выполнения рекомендаций по итогам с</w:t>
      </w:r>
      <w:r w:rsidRPr="005A579F">
        <w:rPr>
          <w:lang w:val="ru-RU"/>
        </w:rPr>
        <w:t>удебно-бухгалтерск</w:t>
      </w:r>
      <w:r>
        <w:rPr>
          <w:lang w:val="ru-RU"/>
        </w:rPr>
        <w:t>ой экспертизы).</w:t>
      </w:r>
    </w:p>
    <w:p w14:paraId="35C0A747" w14:textId="77777777" w:rsidR="00252BB8" w:rsidRPr="001813AC" w:rsidRDefault="00252BB8" w:rsidP="00701540">
      <w:pPr>
        <w:rPr>
          <w:lang w:val="ru-RU"/>
        </w:rPr>
      </w:pPr>
      <w:r w:rsidRPr="001813AC">
        <w:rPr>
          <w:lang w:val="ru-RU"/>
        </w:rPr>
        <w:t>15.4</w:t>
      </w:r>
      <w:r w:rsidRPr="001813AC">
        <w:rPr>
          <w:lang w:val="ru-RU"/>
        </w:rPr>
        <w:tab/>
      </w:r>
      <w:r>
        <w:rPr>
          <w:lang w:val="ru-RU"/>
        </w:rPr>
        <w:t>Количественная оценка рекомендаций представлена следующим образом</w:t>
      </w:r>
      <w:r w:rsidRPr="001813AC">
        <w:rPr>
          <w:lang w:val="ru-RU"/>
        </w:rPr>
        <w:t>:</w:t>
      </w:r>
    </w:p>
    <w:p w14:paraId="3ADE0F28" w14:textId="77777777" w:rsidR="00252BB8" w:rsidRPr="001813AC" w:rsidRDefault="00252BB8" w:rsidP="001F772E">
      <w:pPr>
        <w:pStyle w:val="enumlev1"/>
        <w:rPr>
          <w:lang w:val="ru-RU"/>
        </w:rPr>
      </w:pPr>
      <w:r w:rsidRPr="001139B1">
        <w:rPr>
          <w:lang w:val="ru-RU"/>
        </w:rPr>
        <w:t>•</w:t>
      </w:r>
      <w:r w:rsidRPr="001139B1">
        <w:rPr>
          <w:lang w:val="ru-RU"/>
        </w:rPr>
        <w:tab/>
      </w:r>
      <w:r>
        <w:rPr>
          <w:lang w:val="ru-RU"/>
        </w:rPr>
        <w:t>в</w:t>
      </w:r>
      <w:r w:rsidRPr="001813AC">
        <w:rPr>
          <w:lang w:val="ru-RU"/>
        </w:rPr>
        <w:t>ыполнены и доведены до конца;</w:t>
      </w:r>
    </w:p>
    <w:p w14:paraId="73F84C7E" w14:textId="77777777" w:rsidR="00252BB8" w:rsidRPr="001813AC" w:rsidRDefault="00252BB8" w:rsidP="001F772E">
      <w:pPr>
        <w:pStyle w:val="enumlev1"/>
        <w:rPr>
          <w:lang w:val="ru-RU"/>
        </w:rPr>
      </w:pPr>
      <w:r w:rsidRPr="001813AC">
        <w:rPr>
          <w:lang w:val="ru-RU"/>
        </w:rPr>
        <w:t>•</w:t>
      </w:r>
      <w:r w:rsidRPr="001813AC">
        <w:rPr>
          <w:lang w:val="ru-RU"/>
        </w:rPr>
        <w:tab/>
      </w:r>
      <w:r>
        <w:rPr>
          <w:lang w:val="ru-RU"/>
        </w:rPr>
        <w:t>в</w:t>
      </w:r>
      <w:r w:rsidRPr="001813AC">
        <w:rPr>
          <w:lang w:val="ru-RU"/>
        </w:rPr>
        <w:t>ыполнены;</w:t>
      </w:r>
    </w:p>
    <w:p w14:paraId="179B6B3F" w14:textId="77777777" w:rsidR="00252BB8" w:rsidRPr="001813AC" w:rsidRDefault="00252BB8" w:rsidP="001F772E">
      <w:pPr>
        <w:pStyle w:val="enumlev1"/>
        <w:rPr>
          <w:lang w:val="ru-RU"/>
        </w:rPr>
      </w:pPr>
      <w:r w:rsidRPr="001813AC">
        <w:rPr>
          <w:lang w:val="ru-RU"/>
        </w:rPr>
        <w:t>•</w:t>
      </w:r>
      <w:r w:rsidRPr="001813AC">
        <w:rPr>
          <w:lang w:val="ru-RU"/>
        </w:rPr>
        <w:tab/>
      </w:r>
      <w:r>
        <w:rPr>
          <w:lang w:val="ru-RU"/>
        </w:rPr>
        <w:t>в</w:t>
      </w:r>
      <w:r w:rsidRPr="001813AC">
        <w:rPr>
          <w:lang w:val="ru-RU"/>
        </w:rPr>
        <w:t xml:space="preserve"> процессе выполнения;</w:t>
      </w:r>
    </w:p>
    <w:p w14:paraId="406E11E6" w14:textId="77777777" w:rsidR="00252BB8" w:rsidRPr="001813AC" w:rsidRDefault="00252BB8" w:rsidP="001F772E">
      <w:pPr>
        <w:pStyle w:val="enumlev1"/>
        <w:rPr>
          <w:lang w:val="ru-RU"/>
        </w:rPr>
      </w:pPr>
      <w:r w:rsidRPr="001813AC">
        <w:rPr>
          <w:lang w:val="ru-RU"/>
        </w:rPr>
        <w:t>•</w:t>
      </w:r>
      <w:r w:rsidRPr="001813AC">
        <w:rPr>
          <w:lang w:val="ru-RU"/>
        </w:rPr>
        <w:tab/>
      </w:r>
      <w:r>
        <w:rPr>
          <w:lang w:val="ru-RU"/>
        </w:rPr>
        <w:t>выполнение не начато</w:t>
      </w:r>
      <w:r w:rsidRPr="001813AC">
        <w:rPr>
          <w:lang w:val="ru-RU"/>
        </w:rPr>
        <w:t>.</w:t>
      </w:r>
    </w:p>
    <w:p w14:paraId="59B17F5E" w14:textId="11E5BF0E" w:rsidR="00252BB8" w:rsidRPr="0019210B" w:rsidRDefault="00252BB8" w:rsidP="00701540">
      <w:pPr>
        <w:rPr>
          <w:bCs/>
          <w:lang w:val="ru-RU"/>
        </w:rPr>
      </w:pPr>
      <w:r w:rsidRPr="0019210B">
        <w:rPr>
          <w:lang w:val="ru-RU"/>
        </w:rPr>
        <w:t>15.5</w:t>
      </w:r>
      <w:r w:rsidRPr="0019210B">
        <w:rPr>
          <w:lang w:val="ru-RU"/>
        </w:rPr>
        <w:tab/>
      </w:r>
      <w:r>
        <w:rPr>
          <w:lang w:val="ru-RU"/>
        </w:rPr>
        <w:t xml:space="preserve">Секретариат сообщил делегатам, что на момент подготовки </w:t>
      </w:r>
      <w:r w:rsidR="0045032B">
        <w:rPr>
          <w:lang w:val="ru-RU"/>
        </w:rPr>
        <w:t>д</w:t>
      </w:r>
      <w:r>
        <w:rPr>
          <w:lang w:val="ru-RU"/>
        </w:rPr>
        <w:t>окумента, еще не был получен отчет Внешнего аудитора. Секретариат</w:t>
      </w:r>
      <w:r w:rsidRPr="0019210B">
        <w:rPr>
          <w:lang w:val="ru-RU"/>
        </w:rPr>
        <w:t xml:space="preserve"> </w:t>
      </w:r>
      <w:r>
        <w:rPr>
          <w:lang w:val="ru-RU"/>
        </w:rPr>
        <w:t>представил</w:t>
      </w:r>
      <w:r w:rsidRPr="0019210B">
        <w:rPr>
          <w:lang w:val="ru-RU"/>
        </w:rPr>
        <w:t xml:space="preserve"> </w:t>
      </w:r>
      <w:r>
        <w:rPr>
          <w:lang w:val="ru-RU"/>
        </w:rPr>
        <w:t>обновленную</w:t>
      </w:r>
      <w:r w:rsidRPr="0019210B">
        <w:rPr>
          <w:lang w:val="ru-RU"/>
        </w:rPr>
        <w:t xml:space="preserve"> </w:t>
      </w:r>
      <w:r>
        <w:rPr>
          <w:lang w:val="ru-RU"/>
        </w:rPr>
        <w:t>информацию</w:t>
      </w:r>
      <w:r w:rsidRPr="0019210B">
        <w:rPr>
          <w:lang w:val="ru-RU"/>
        </w:rPr>
        <w:t xml:space="preserve"> </w:t>
      </w:r>
      <w:r>
        <w:rPr>
          <w:lang w:val="ru-RU"/>
        </w:rPr>
        <w:t>о</w:t>
      </w:r>
      <w:r w:rsidRPr="0019210B">
        <w:rPr>
          <w:lang w:val="ru-RU"/>
        </w:rPr>
        <w:t xml:space="preserve"> </w:t>
      </w:r>
      <w:r>
        <w:rPr>
          <w:lang w:val="ru-RU"/>
        </w:rPr>
        <w:t>статусе</w:t>
      </w:r>
      <w:r w:rsidRPr="0019210B">
        <w:rPr>
          <w:lang w:val="ru-RU"/>
        </w:rPr>
        <w:t>.</w:t>
      </w:r>
    </w:p>
    <w:p w14:paraId="097018B0" w14:textId="50E539D1" w:rsidR="00252BB8" w:rsidRPr="001139B1" w:rsidRDefault="00252BB8" w:rsidP="00701540">
      <w:pPr>
        <w:rPr>
          <w:bCs/>
          <w:lang w:val="ru-RU"/>
        </w:rPr>
      </w:pPr>
      <w:r w:rsidRPr="0019210B">
        <w:rPr>
          <w:bCs/>
          <w:lang w:val="ru-RU"/>
        </w:rPr>
        <w:t>15.6</w:t>
      </w:r>
      <w:r w:rsidRPr="0019210B">
        <w:rPr>
          <w:bCs/>
          <w:lang w:val="ru-RU"/>
        </w:rPr>
        <w:tab/>
      </w:r>
      <w:r>
        <w:rPr>
          <w:bCs/>
          <w:lang w:val="ru-RU"/>
        </w:rPr>
        <w:t xml:space="preserve">В заключение Председатель отметила, что делегаты приняли </w:t>
      </w:r>
      <w:r w:rsidR="0045032B">
        <w:rPr>
          <w:bCs/>
          <w:lang w:val="ru-RU"/>
        </w:rPr>
        <w:t>д</w:t>
      </w:r>
      <w:r>
        <w:rPr>
          <w:bCs/>
          <w:lang w:val="ru-RU"/>
        </w:rPr>
        <w:t>окумент к сведению.</w:t>
      </w:r>
    </w:p>
    <w:p w14:paraId="2C6FBBC1" w14:textId="052C9338" w:rsidR="00252BB8" w:rsidRPr="00730C9B" w:rsidRDefault="00252BB8" w:rsidP="001F772E">
      <w:pPr>
        <w:pStyle w:val="Heading1"/>
        <w:rPr>
          <w:lang w:val="ru-RU"/>
        </w:rPr>
      </w:pPr>
      <w:r w:rsidRPr="00730C9B">
        <w:rPr>
          <w:lang w:val="ru-RU"/>
        </w:rPr>
        <w:lastRenderedPageBreak/>
        <w:t>16</w:t>
      </w:r>
      <w:r w:rsidRPr="00730C9B">
        <w:rPr>
          <w:lang w:val="ru-RU"/>
        </w:rPr>
        <w:tab/>
        <w:t>Отчеты ОИГ по вопросам, касающимся всей системы Организации Объединенных Наций, за 20</w:t>
      </w:r>
      <w:r>
        <w:rPr>
          <w:lang w:val="ru-RU"/>
        </w:rPr>
        <w:t>20</w:t>
      </w:r>
      <w:r w:rsidRPr="00730C9B">
        <w:rPr>
          <w:lang w:val="ru-RU"/>
        </w:rPr>
        <w:t>−202</w:t>
      </w:r>
      <w:r>
        <w:rPr>
          <w:lang w:val="ru-RU"/>
        </w:rPr>
        <w:t>1</w:t>
      </w:r>
      <w:r w:rsidRPr="00730C9B">
        <w:rPr>
          <w:lang w:val="ru-RU"/>
        </w:rPr>
        <w:t xml:space="preserve"> годы, а также рекомендаций, адресованных </w:t>
      </w:r>
      <w:r w:rsidR="005A2597">
        <w:rPr>
          <w:lang w:val="ru-RU"/>
        </w:rPr>
        <w:t xml:space="preserve">административным </w:t>
      </w:r>
      <w:r w:rsidRPr="00730C9B">
        <w:rPr>
          <w:lang w:val="ru-RU"/>
        </w:rPr>
        <w:t xml:space="preserve">руководителям и </w:t>
      </w:r>
      <w:r w:rsidR="000419B3">
        <w:rPr>
          <w:lang w:val="ru-RU"/>
        </w:rPr>
        <w:t>директивным</w:t>
      </w:r>
      <w:r w:rsidRPr="00730C9B">
        <w:rPr>
          <w:lang w:val="ru-RU"/>
        </w:rPr>
        <w:t xml:space="preserve"> органам</w:t>
      </w:r>
      <w:r>
        <w:rPr>
          <w:lang w:val="ru-RU"/>
        </w:rPr>
        <w:t xml:space="preserve"> </w:t>
      </w:r>
      <w:r w:rsidRPr="00730C9B">
        <w:rPr>
          <w:lang w:val="ru-RU"/>
        </w:rPr>
        <w:t>(</w:t>
      </w:r>
      <w:r>
        <w:rPr>
          <w:lang w:val="ru-RU"/>
        </w:rPr>
        <w:t>Документ</w:t>
      </w:r>
      <w:r w:rsidR="000C4862">
        <w:rPr>
          <w:lang w:val="ru-RU"/>
        </w:rPr>
        <w:t> </w:t>
      </w:r>
      <w:hyperlink r:id="rId41" w:history="1">
        <w:r w:rsidRPr="001F772E">
          <w:rPr>
            <w:rStyle w:val="Hyperlink"/>
            <w:bCs/>
            <w:lang w:val="en-US"/>
          </w:rPr>
          <w:t>CWG</w:t>
        </w:r>
        <w:r w:rsidR="000C4862">
          <w:rPr>
            <w:rStyle w:val="Hyperlink"/>
            <w:bCs/>
            <w:lang w:val="ru-RU"/>
          </w:rPr>
          <w:noBreakHyphen/>
        </w:r>
        <w:r w:rsidRPr="001F772E">
          <w:rPr>
            <w:rStyle w:val="Hyperlink"/>
            <w:bCs/>
            <w:lang w:val="en-US"/>
          </w:rPr>
          <w:t>FHR</w:t>
        </w:r>
        <w:r w:rsidR="000C4862">
          <w:rPr>
            <w:rStyle w:val="Hyperlink"/>
            <w:bCs/>
            <w:lang w:val="ru-RU"/>
          </w:rPr>
          <w:noBreakHyphen/>
        </w:r>
        <w:r w:rsidRPr="00730C9B">
          <w:rPr>
            <w:rStyle w:val="Hyperlink"/>
            <w:lang w:val="ru-RU"/>
          </w:rPr>
          <w:t>15/2</w:t>
        </w:r>
      </w:hyperlink>
      <w:r w:rsidRPr="00A105F3">
        <w:rPr>
          <w:rFonts w:eastAsiaTheme="minorHAnsi"/>
          <w:lang w:val="ru-RU"/>
        </w:rPr>
        <w:t>)</w:t>
      </w:r>
    </w:p>
    <w:p w14:paraId="5582AE35" w14:textId="56A2CC55" w:rsidR="00252BB8" w:rsidRPr="00E337A7" w:rsidRDefault="00252BB8" w:rsidP="00701540">
      <w:pPr>
        <w:rPr>
          <w:lang w:val="ru-RU"/>
        </w:rPr>
      </w:pPr>
      <w:r w:rsidRPr="00151D64">
        <w:rPr>
          <w:lang w:val="ru-RU"/>
        </w:rPr>
        <w:t>16.1</w:t>
      </w:r>
      <w:r w:rsidRPr="00151D64">
        <w:rPr>
          <w:lang w:val="ru-RU"/>
        </w:rPr>
        <w:tab/>
      </w:r>
      <w:r>
        <w:rPr>
          <w:lang w:val="ru-RU"/>
        </w:rPr>
        <w:t xml:space="preserve">Делегаты поблагодарили Секретариат за представленный документ, и, несмотря на отсутствие возражений, был поднят вопрос об использовании правильной терминологии, поскольку в сферу компетенции Совета входит одобрение принятия рекомендаций, адресованных </w:t>
      </w:r>
      <w:r w:rsidR="005A2597">
        <w:rPr>
          <w:lang w:val="ru-RU"/>
        </w:rPr>
        <w:t>директивным</w:t>
      </w:r>
      <w:r>
        <w:rPr>
          <w:lang w:val="ru-RU"/>
        </w:rPr>
        <w:t xml:space="preserve"> органам. Финансовые последствия для МСЭ, если таковые предполагаются, в связи с выполнением каждой рекомендации также следует выносить на рассмотрение </w:t>
      </w:r>
      <w:r w:rsidRPr="00E337A7">
        <w:rPr>
          <w:lang w:val="ru-RU"/>
        </w:rPr>
        <w:t>РГС-</w:t>
      </w:r>
      <w:r>
        <w:rPr>
          <w:lang w:val="ru-RU"/>
        </w:rPr>
        <w:t xml:space="preserve">ФЛР. В связи с этим один из делегатов подчеркнул, что необходимо более избирательно подходить к принятию рекомендаций ОИГ, </w:t>
      </w:r>
      <w:r w:rsidRPr="0019210B">
        <w:rPr>
          <w:lang w:val="ru-RU"/>
        </w:rPr>
        <w:t>обращая внимание на</w:t>
      </w:r>
      <w:r>
        <w:rPr>
          <w:lang w:val="ru-RU"/>
        </w:rPr>
        <w:t xml:space="preserve"> степень их значимости</w:t>
      </w:r>
      <w:r w:rsidRPr="0019210B">
        <w:rPr>
          <w:lang w:val="ru-RU"/>
        </w:rPr>
        <w:t xml:space="preserve"> и реальную пользу для МСЭ</w:t>
      </w:r>
      <w:r>
        <w:rPr>
          <w:lang w:val="ru-RU"/>
        </w:rPr>
        <w:t xml:space="preserve">, включая связанные с ними последствия для финансовых и людских ресурсов, </w:t>
      </w:r>
      <w:r w:rsidRPr="00151D64">
        <w:rPr>
          <w:lang w:val="ru-RU"/>
        </w:rPr>
        <w:t>с учетом большого количества рекомендаций</w:t>
      </w:r>
      <w:r>
        <w:rPr>
          <w:lang w:val="ru-RU"/>
        </w:rPr>
        <w:t xml:space="preserve">, поступающих от ОИГ, при том что МСЭ является небольшим специализированным учреждением ООН по сравнению с другими, более крупными родственными учреждениями, которые располагают большими бюджетами и ресурсами. </w:t>
      </w:r>
    </w:p>
    <w:p w14:paraId="116211F4" w14:textId="77777777" w:rsidR="00252BB8" w:rsidRPr="00F324EB" w:rsidRDefault="00252BB8" w:rsidP="00701540">
      <w:pPr>
        <w:rPr>
          <w:lang w:val="ru-RU"/>
        </w:rPr>
      </w:pPr>
      <w:r w:rsidRPr="00151D64">
        <w:rPr>
          <w:lang w:val="ru-RU"/>
        </w:rPr>
        <w:t>16.2</w:t>
      </w:r>
      <w:r w:rsidRPr="00151D64">
        <w:rPr>
          <w:lang w:val="ru-RU"/>
        </w:rPr>
        <w:tab/>
      </w:r>
      <w:r>
        <w:rPr>
          <w:lang w:val="ru-RU"/>
        </w:rPr>
        <w:t xml:space="preserve">В то же время была подчеркнута важность обзоров и рекомендаций ОИГ, в частности тех, что касаются кибербезопасности и поддержки </w:t>
      </w:r>
      <w:r w:rsidRPr="00286BDC">
        <w:rPr>
          <w:lang w:val="ru-RU"/>
        </w:rPr>
        <w:t>развивающи</w:t>
      </w:r>
      <w:r>
        <w:rPr>
          <w:lang w:val="ru-RU"/>
        </w:rPr>
        <w:t xml:space="preserve">хся стран, не имеющих выхода к морю. Что касается последних, </w:t>
      </w:r>
      <w:r w:rsidRPr="00151D64">
        <w:rPr>
          <w:lang w:val="ru-RU"/>
        </w:rPr>
        <w:t>то было бы полезно запр</w:t>
      </w:r>
      <w:r>
        <w:rPr>
          <w:lang w:val="ru-RU"/>
        </w:rPr>
        <w:t xml:space="preserve">осить дополнительную информацию </w:t>
      </w:r>
      <w:r w:rsidRPr="00F324EB">
        <w:rPr>
          <w:lang w:val="ru-RU"/>
        </w:rPr>
        <w:t>о последующих мерах в связи с рекомендациями</w:t>
      </w:r>
      <w:r>
        <w:rPr>
          <w:lang w:val="ru-RU"/>
        </w:rPr>
        <w:t xml:space="preserve"> в этом отчете, а также отразить этот отчет на странице веб-сайта МСЭ, посвященной ЛЛДС.</w:t>
      </w:r>
    </w:p>
    <w:p w14:paraId="7A578A4A" w14:textId="09718C91" w:rsidR="00252BB8" w:rsidRPr="0099073D" w:rsidRDefault="00252BB8" w:rsidP="00701540">
      <w:pPr>
        <w:rPr>
          <w:lang w:val="ru-RU"/>
        </w:rPr>
      </w:pPr>
      <w:r w:rsidRPr="00A94670">
        <w:rPr>
          <w:lang w:val="ru-RU"/>
        </w:rPr>
        <w:t>16.3</w:t>
      </w:r>
      <w:r w:rsidRPr="00A94670">
        <w:rPr>
          <w:lang w:val="ru-RU"/>
        </w:rPr>
        <w:tab/>
      </w:r>
      <w:r>
        <w:rPr>
          <w:lang w:val="ru-RU"/>
        </w:rPr>
        <w:t xml:space="preserve">Председатель отметила, что возражений по </w:t>
      </w:r>
      <w:r w:rsidR="0017300D">
        <w:rPr>
          <w:lang w:val="ru-RU"/>
        </w:rPr>
        <w:t>д</w:t>
      </w:r>
      <w:r>
        <w:rPr>
          <w:lang w:val="ru-RU"/>
        </w:rPr>
        <w:t xml:space="preserve">окументу нет, и попросила добавить в обновленную версию </w:t>
      </w:r>
      <w:r w:rsidR="0017300D">
        <w:rPr>
          <w:lang w:val="ru-RU"/>
        </w:rPr>
        <w:t>д</w:t>
      </w:r>
      <w:r>
        <w:rPr>
          <w:lang w:val="ru-RU"/>
        </w:rPr>
        <w:t>окумента информацию о финансовых последствиях, если таковые предполагаются, для представления на рассмотрение и одобрение Советом.</w:t>
      </w:r>
    </w:p>
    <w:p w14:paraId="0B61321F" w14:textId="77777777" w:rsidR="00252BB8" w:rsidRPr="002B6316" w:rsidRDefault="00252BB8" w:rsidP="00730C9B">
      <w:pPr>
        <w:pStyle w:val="Heading1"/>
        <w:rPr>
          <w:lang w:val="ru-RU"/>
        </w:rPr>
      </w:pPr>
      <w:r w:rsidRPr="00730C9B">
        <w:rPr>
          <w:bCs/>
          <w:lang w:val="ru-RU"/>
        </w:rPr>
        <w:t>17</w:t>
      </w:r>
      <w:r w:rsidRPr="00730C9B">
        <w:rPr>
          <w:bCs/>
          <w:lang w:val="ru-RU"/>
        </w:rPr>
        <w:tab/>
      </w:r>
      <w:bookmarkStart w:id="8" w:name="_Hlk42444409"/>
      <w:r w:rsidRPr="00730C9B">
        <w:rPr>
          <w:lang w:val="ru-RU"/>
        </w:rPr>
        <w:t xml:space="preserve">Определение личного статуса сотрудников для целей предоставления </w:t>
      </w:r>
      <w:bookmarkEnd w:id="8"/>
      <w:r w:rsidRPr="00730C9B">
        <w:rPr>
          <w:lang w:val="ru-RU"/>
        </w:rPr>
        <w:t>льгот МСЭ (</w:t>
      </w:r>
      <w:r>
        <w:rPr>
          <w:lang w:val="ru-RU"/>
        </w:rPr>
        <w:t>Документ</w:t>
      </w:r>
      <w:r w:rsidRPr="00730C9B">
        <w:rPr>
          <w:lang w:val="ru-RU"/>
        </w:rPr>
        <w:t xml:space="preserve"> </w:t>
      </w:r>
      <w:hyperlink r:id="rId42" w:history="1">
        <w:r w:rsidRPr="00730C9B">
          <w:rPr>
            <w:rStyle w:val="Hyperlink"/>
            <w:lang w:val="en-US"/>
          </w:rPr>
          <w:t>CWG</w:t>
        </w:r>
        <w:r w:rsidRPr="00730C9B">
          <w:rPr>
            <w:rStyle w:val="Hyperlink"/>
            <w:lang w:val="ru-RU"/>
          </w:rPr>
          <w:t>-</w:t>
        </w:r>
        <w:r w:rsidRPr="00730C9B">
          <w:rPr>
            <w:rStyle w:val="Hyperlink"/>
            <w:lang w:val="en-US"/>
          </w:rPr>
          <w:t>FHR</w:t>
        </w:r>
        <w:r w:rsidRPr="00730C9B">
          <w:rPr>
            <w:rStyle w:val="Hyperlink"/>
            <w:lang w:val="ru-RU"/>
          </w:rPr>
          <w:t>-15/7</w:t>
        </w:r>
      </w:hyperlink>
      <w:r w:rsidRPr="00A105F3">
        <w:rPr>
          <w:rFonts w:eastAsiaTheme="minorHAnsi"/>
          <w:lang w:val="ru-RU"/>
        </w:rPr>
        <w:t>)</w:t>
      </w:r>
    </w:p>
    <w:p w14:paraId="2ACC7ED8" w14:textId="45D3CEE5" w:rsidR="00252BB8" w:rsidRPr="007E31AB" w:rsidRDefault="00252BB8" w:rsidP="00701540">
      <w:pPr>
        <w:rPr>
          <w:lang w:val="ru-RU"/>
        </w:rPr>
      </w:pPr>
      <w:r w:rsidRPr="00976161">
        <w:rPr>
          <w:lang w:val="ru-RU"/>
        </w:rPr>
        <w:t>17.1</w:t>
      </w:r>
      <w:r w:rsidRPr="00976161">
        <w:rPr>
          <w:lang w:val="ru-RU"/>
        </w:rPr>
        <w:tab/>
      </w:r>
      <w:r>
        <w:rPr>
          <w:lang w:val="ru-RU"/>
        </w:rPr>
        <w:t>Секретариат представил Документ </w:t>
      </w:r>
      <w:r w:rsidRPr="00A94670">
        <w:rPr>
          <w:lang w:val="ru-RU"/>
        </w:rPr>
        <w:t>CWG-FHR-15/7</w:t>
      </w:r>
      <w:r>
        <w:rPr>
          <w:lang w:val="ru-RU"/>
        </w:rPr>
        <w:t xml:space="preserve">, в котором изложено предложение о внесении поправок в Положения о персонале, чтобы разрешить признание домашних партнерств и тем самым привести практику МСЭ в соответствие с практикой всех других организаций ООН, которые признают </w:t>
      </w:r>
      <w:r w:rsidRPr="00C16896">
        <w:rPr>
          <w:lang w:val="ru-RU"/>
        </w:rPr>
        <w:t>Бюллетен</w:t>
      </w:r>
      <w:r>
        <w:rPr>
          <w:lang w:val="ru-RU"/>
        </w:rPr>
        <w:t>ь</w:t>
      </w:r>
      <w:r w:rsidRPr="00C16896">
        <w:rPr>
          <w:lang w:val="ru-RU"/>
        </w:rPr>
        <w:t xml:space="preserve"> Генерального секретаря ST/SGB/2004/13/Rev.1 от 26 июня 2014 года.</w:t>
      </w:r>
      <w:r>
        <w:rPr>
          <w:lang w:val="ru-RU"/>
        </w:rPr>
        <w:t xml:space="preserve"> </w:t>
      </w:r>
      <w:r w:rsidRPr="00976161">
        <w:rPr>
          <w:iCs/>
          <w:lang w:val="ru-RU"/>
        </w:rPr>
        <w:t>В</w:t>
      </w:r>
      <w:r w:rsidR="000C4862">
        <w:rPr>
          <w:iCs/>
          <w:lang w:val="ru-RU"/>
        </w:rPr>
        <w:t> </w:t>
      </w:r>
      <w:r w:rsidRPr="00976161">
        <w:rPr>
          <w:iCs/>
          <w:lang w:val="ru-RU"/>
        </w:rPr>
        <w:t xml:space="preserve">нем указано, что определение </w:t>
      </w:r>
      <w:r w:rsidRPr="00976161">
        <w:rPr>
          <w:lang w:val="ru-RU"/>
        </w:rPr>
        <w:t>личного статуса сотрудников для целей предоставления льгот согласно Положениям о персонале и Правилам о персонале</w:t>
      </w:r>
      <w:r w:rsidRPr="00976161">
        <w:rPr>
          <w:iCs/>
          <w:lang w:val="ru-RU"/>
        </w:rPr>
        <w:t xml:space="preserve"> Организации Объединенный Наций</w:t>
      </w:r>
      <w:r w:rsidRPr="00976161">
        <w:rPr>
          <w:lang w:val="ru-RU"/>
        </w:rPr>
        <w:t xml:space="preserve">, </w:t>
      </w:r>
      <w:r>
        <w:rPr>
          <w:lang w:val="ru-RU"/>
        </w:rPr>
        <w:t>будет осуществляться</w:t>
      </w:r>
      <w:r w:rsidRPr="00976161">
        <w:rPr>
          <w:lang w:val="ru-RU"/>
        </w:rPr>
        <w:t xml:space="preserve"> исходя из акта компетентного органа, в соответствии с которым был установлен личный статус.</w:t>
      </w:r>
      <w:r w:rsidRPr="00730C9B">
        <w:rPr>
          <w:lang w:val="ru-RU"/>
        </w:rPr>
        <w:t xml:space="preserve"> </w:t>
      </w:r>
      <w:r w:rsidRPr="007E31AB">
        <w:rPr>
          <w:lang w:val="ru-RU"/>
        </w:rPr>
        <w:t>РГС-ФЛР</w:t>
      </w:r>
      <w:r>
        <w:rPr>
          <w:lang w:val="ru-RU"/>
        </w:rPr>
        <w:t xml:space="preserve"> было предложено </w:t>
      </w:r>
      <w:r>
        <w:rPr>
          <w:lang w:val="en-US"/>
        </w:rPr>
        <w:t>i</w:t>
      </w:r>
      <w:r w:rsidRPr="007E31AB">
        <w:rPr>
          <w:lang w:val="ru-RU"/>
        </w:rPr>
        <w:t xml:space="preserve">) </w:t>
      </w:r>
      <w:r>
        <w:rPr>
          <w:lang w:val="ru-RU"/>
        </w:rPr>
        <w:t xml:space="preserve">рекомендовать </w:t>
      </w:r>
      <w:r w:rsidRPr="007E31AB">
        <w:rPr>
          <w:lang w:val="ru-RU"/>
        </w:rPr>
        <w:t>поправки к Положениям о персонале, применяемым к назначаемым сотрудникам, которые содержатся в Приложении к настоящему Решению;</w:t>
      </w:r>
      <w:r>
        <w:rPr>
          <w:lang w:val="ru-RU"/>
        </w:rPr>
        <w:t xml:space="preserve"> и </w:t>
      </w:r>
      <w:r>
        <w:rPr>
          <w:lang w:val="en-US"/>
        </w:rPr>
        <w:t>ii</w:t>
      </w:r>
      <w:r w:rsidRPr="007E31AB">
        <w:rPr>
          <w:lang w:val="ru-RU"/>
        </w:rPr>
        <w:t xml:space="preserve">) </w:t>
      </w:r>
      <w:r>
        <w:rPr>
          <w:lang w:val="ru-RU"/>
        </w:rPr>
        <w:t xml:space="preserve">рекомендовать Совету </w:t>
      </w:r>
      <w:r w:rsidRPr="007E31AB">
        <w:rPr>
          <w:lang w:val="ru-RU"/>
        </w:rPr>
        <w:t>поручить Генеральному секретарю внести соответствующие поправки в Положения о персонале на других официальных языках Союза.</w:t>
      </w:r>
    </w:p>
    <w:p w14:paraId="022AE510" w14:textId="77777777" w:rsidR="00252BB8" w:rsidRPr="007E31AB" w:rsidRDefault="00252BB8" w:rsidP="00701540">
      <w:pPr>
        <w:rPr>
          <w:lang w:val="ru-RU"/>
        </w:rPr>
      </w:pPr>
      <w:r w:rsidRPr="00EF45DE">
        <w:rPr>
          <w:lang w:val="ru-RU"/>
        </w:rPr>
        <w:t>17.2</w:t>
      </w:r>
      <w:r w:rsidRPr="00EF45DE">
        <w:rPr>
          <w:lang w:val="ru-RU"/>
        </w:rPr>
        <w:tab/>
      </w:r>
      <w:r>
        <w:rPr>
          <w:lang w:val="ru-RU"/>
        </w:rPr>
        <w:t xml:space="preserve">Секретариат представил результаты сравнительного анализа, в том числе с Международной организацией труда, а также оценку финансовых последствий внесения этих изменений. Была представлена информация о том, что по просьбе </w:t>
      </w:r>
      <w:r w:rsidRPr="007E31AB">
        <w:rPr>
          <w:lang w:val="ru-RU"/>
        </w:rPr>
        <w:t>РГС-ФЛР</w:t>
      </w:r>
      <w:r>
        <w:rPr>
          <w:lang w:val="ru-RU"/>
        </w:rPr>
        <w:t xml:space="preserve"> Секретариат </w:t>
      </w:r>
      <w:r w:rsidRPr="007E31AB">
        <w:rPr>
          <w:lang w:val="ru-RU"/>
        </w:rPr>
        <w:t>организовал полный анализ и перевод Положений о персонале и Правил о персонале на русский, арабский и китайский языки.</w:t>
      </w:r>
      <w:r>
        <w:rPr>
          <w:lang w:val="ru-RU"/>
        </w:rPr>
        <w:t xml:space="preserve"> Далее было отмечено, что согласно Статье 29 Устава МСЭ, в которой говорится, что "в</w:t>
      </w:r>
      <w:r w:rsidRPr="00924715">
        <w:rPr>
          <w:lang w:val="ru-RU"/>
        </w:rPr>
        <w:t xml:space="preserve"> случае расхождений или споров преимущественную силу имеет французский текст"</w:t>
      </w:r>
      <w:r>
        <w:rPr>
          <w:lang w:val="ru-RU"/>
        </w:rPr>
        <w:t xml:space="preserve">, </w:t>
      </w:r>
      <w:r w:rsidRPr="00924715">
        <w:rPr>
          <w:lang w:val="ru-RU"/>
        </w:rPr>
        <w:t>анализ основывался на версии Правил на французском языке.</w:t>
      </w:r>
    </w:p>
    <w:p w14:paraId="42A239F4" w14:textId="77777777" w:rsidR="00252BB8" w:rsidRPr="00924715" w:rsidRDefault="00252BB8" w:rsidP="00701540">
      <w:pPr>
        <w:rPr>
          <w:lang w:val="ru-RU"/>
        </w:rPr>
      </w:pPr>
      <w:r w:rsidRPr="003E4198">
        <w:rPr>
          <w:lang w:val="ru-RU"/>
        </w:rPr>
        <w:t>17.3</w:t>
      </w:r>
      <w:r w:rsidRPr="003E4198">
        <w:rPr>
          <w:lang w:val="ru-RU"/>
        </w:rPr>
        <w:tab/>
      </w:r>
      <w:r>
        <w:rPr>
          <w:lang w:val="ru-RU"/>
        </w:rPr>
        <w:t xml:space="preserve">Также обсуждались издержки в случае отказа от внесения предлагаемого изменения. </w:t>
      </w:r>
      <w:r w:rsidRPr="00924715">
        <w:rPr>
          <w:lang w:val="ru-RU"/>
        </w:rPr>
        <w:t xml:space="preserve">Помимо наличия репутационного риска быть единственной организацией ООН, не признающей </w:t>
      </w:r>
      <w:r w:rsidRPr="00924715">
        <w:rPr>
          <w:lang w:val="ru-RU"/>
        </w:rPr>
        <w:lastRenderedPageBreak/>
        <w:t>домашние партнерства, текущая политика наносит ущерб удержанию сотрудников, затрудняет привлечение новых перспективных сотрудников, особенно молодого поколения, которые стремятся работать в организациях, поддерживающих современные и справедливые принципы. Кроме того, лишение сотрудников, состоящих в домашних партнерствах, материальных и нематериальных преимуществ признания со стороны работодателя не только является актом дискриминации, но и влияет на их психическое здоровье и благополучие, ставит их в неблагоприятное положение по сравнению с коллегами и лишает их возможности пользоваться полным правовым признанием на своем месте службы, что влечет за собой правовые, экономические и социальные последствия.</w:t>
      </w:r>
    </w:p>
    <w:p w14:paraId="649626C0" w14:textId="77777777" w:rsidR="00252BB8" w:rsidRPr="008E7179" w:rsidRDefault="00252BB8" w:rsidP="00701540">
      <w:pPr>
        <w:rPr>
          <w:bCs/>
          <w:lang w:val="ru-RU"/>
        </w:rPr>
      </w:pPr>
      <w:r w:rsidRPr="0068396A">
        <w:rPr>
          <w:lang w:val="ru-RU"/>
        </w:rPr>
        <w:t>17.4</w:t>
      </w:r>
      <w:r w:rsidRPr="0068396A">
        <w:rPr>
          <w:lang w:val="ru-RU"/>
        </w:rPr>
        <w:tab/>
      </w:r>
      <w:r>
        <w:rPr>
          <w:lang w:val="ru-RU"/>
        </w:rPr>
        <w:t xml:space="preserve">Председатель отметила, что это предложение было поддержано несколькими делегатами, однако консенсуса по внесению изменений достигнуто не было, поскольку некоторые делегаты </w:t>
      </w:r>
      <w:r w:rsidRPr="0068396A">
        <w:rPr>
          <w:lang w:val="ru-RU"/>
        </w:rPr>
        <w:t>заявили о своем несогласии</w:t>
      </w:r>
      <w:r>
        <w:rPr>
          <w:lang w:val="ru-RU"/>
        </w:rPr>
        <w:t xml:space="preserve"> с признанием домашних партнерств. Было решено, что следует привести текст </w:t>
      </w:r>
      <w:r w:rsidRPr="00BF291C">
        <w:rPr>
          <w:lang w:val="ru-RU"/>
        </w:rPr>
        <w:t>Положений о персонале и Правил о персонале</w:t>
      </w:r>
      <w:r>
        <w:rPr>
          <w:lang w:val="ru-RU"/>
        </w:rPr>
        <w:t xml:space="preserve"> на английском языке в соответствие с версией на французском языке, поскольку она имеет преимущественную силу.</w:t>
      </w:r>
    </w:p>
    <w:p w14:paraId="6F596DD0" w14:textId="77777777" w:rsidR="00252BB8" w:rsidRPr="001D3FD0" w:rsidRDefault="00252BB8" w:rsidP="001D3FD0">
      <w:pPr>
        <w:pStyle w:val="Headingb"/>
        <w:rPr>
          <w:lang w:val="ru-RU"/>
        </w:rPr>
      </w:pPr>
      <w:r>
        <w:rPr>
          <w:lang w:val="ru-RU"/>
        </w:rPr>
        <w:t>Вклад Австралии и Канады</w:t>
      </w:r>
      <w:r w:rsidRPr="001D3FD0">
        <w:rPr>
          <w:lang w:val="ru-RU"/>
        </w:rPr>
        <w:t xml:space="preserve"> − Определение личного статуса сотрудников для целей предоставления льгот МСЭ (</w:t>
      </w:r>
      <w:r>
        <w:rPr>
          <w:lang w:val="ru-RU"/>
        </w:rPr>
        <w:t>Документ</w:t>
      </w:r>
      <w:r w:rsidRPr="00701540">
        <w:rPr>
          <w:lang w:val="en-US"/>
        </w:rPr>
        <w:t> </w:t>
      </w:r>
      <w:hyperlink r:id="rId43" w:history="1">
        <w:r w:rsidRPr="001D3FD0">
          <w:rPr>
            <w:rStyle w:val="Hyperlink"/>
            <w:bCs/>
            <w:lang w:val="en-US"/>
          </w:rPr>
          <w:t>CWG</w:t>
        </w:r>
        <w:r w:rsidRPr="001D3FD0">
          <w:rPr>
            <w:rStyle w:val="Hyperlink"/>
            <w:bCs/>
            <w:lang w:val="ru-RU"/>
          </w:rPr>
          <w:t>-</w:t>
        </w:r>
        <w:r w:rsidRPr="001D3FD0">
          <w:rPr>
            <w:rStyle w:val="Hyperlink"/>
            <w:bCs/>
            <w:lang w:val="en-US"/>
          </w:rPr>
          <w:t>FHR</w:t>
        </w:r>
        <w:r w:rsidRPr="001D3FD0">
          <w:rPr>
            <w:rStyle w:val="Hyperlink"/>
            <w:bCs/>
            <w:lang w:val="ru-RU"/>
          </w:rPr>
          <w:t>-</w:t>
        </w:r>
        <w:r w:rsidRPr="001D3FD0">
          <w:rPr>
            <w:rStyle w:val="Hyperlink"/>
            <w:lang w:val="ru-RU"/>
          </w:rPr>
          <w:t>15/18</w:t>
        </w:r>
      </w:hyperlink>
      <w:r w:rsidRPr="00A105F3">
        <w:rPr>
          <w:rFonts w:eastAsiaTheme="minorHAnsi"/>
          <w:lang w:val="ru-RU"/>
        </w:rPr>
        <w:t>)</w:t>
      </w:r>
    </w:p>
    <w:p w14:paraId="54D6AB23" w14:textId="77777777" w:rsidR="00252BB8" w:rsidRPr="001C2918" w:rsidRDefault="00252BB8" w:rsidP="00701540">
      <w:pPr>
        <w:rPr>
          <w:bCs/>
          <w:lang w:val="ru-RU"/>
        </w:rPr>
      </w:pPr>
      <w:r w:rsidRPr="0068396A">
        <w:rPr>
          <w:lang w:val="ru-RU"/>
        </w:rPr>
        <w:t>17.5</w:t>
      </w:r>
      <w:r w:rsidRPr="0068396A">
        <w:rPr>
          <w:lang w:val="ru-RU"/>
        </w:rPr>
        <w:tab/>
      </w:r>
      <w:r>
        <w:rPr>
          <w:lang w:val="ru-RU"/>
        </w:rPr>
        <w:t>Австралия</w:t>
      </w:r>
      <w:r w:rsidRPr="00283F1C">
        <w:rPr>
          <w:lang w:val="ru-RU"/>
        </w:rPr>
        <w:t xml:space="preserve"> </w:t>
      </w:r>
      <w:r>
        <w:rPr>
          <w:lang w:val="ru-RU"/>
        </w:rPr>
        <w:t>и</w:t>
      </w:r>
      <w:r w:rsidRPr="00283F1C">
        <w:rPr>
          <w:lang w:val="ru-RU"/>
        </w:rPr>
        <w:t xml:space="preserve"> </w:t>
      </w:r>
      <w:r>
        <w:rPr>
          <w:lang w:val="ru-RU"/>
        </w:rPr>
        <w:t>Канада</w:t>
      </w:r>
      <w:r w:rsidRPr="00283F1C">
        <w:rPr>
          <w:lang w:val="ru-RU"/>
        </w:rPr>
        <w:t xml:space="preserve"> </w:t>
      </w:r>
      <w:r>
        <w:rPr>
          <w:lang w:val="ru-RU"/>
        </w:rPr>
        <w:t>представили</w:t>
      </w:r>
      <w:r w:rsidRPr="00283F1C">
        <w:rPr>
          <w:lang w:val="ru-RU"/>
        </w:rPr>
        <w:t xml:space="preserve"> </w:t>
      </w:r>
      <w:r>
        <w:rPr>
          <w:lang w:val="ru-RU"/>
        </w:rPr>
        <w:t>Документ</w:t>
      </w:r>
      <w:r w:rsidRPr="00283F1C">
        <w:rPr>
          <w:lang w:val="ru-RU"/>
        </w:rPr>
        <w:t xml:space="preserve"> </w:t>
      </w:r>
      <w:r w:rsidRPr="00C76977">
        <w:rPr>
          <w:lang w:val="en-US"/>
        </w:rPr>
        <w:t>CWG</w:t>
      </w:r>
      <w:r w:rsidRPr="00283F1C">
        <w:rPr>
          <w:lang w:val="ru-RU"/>
        </w:rPr>
        <w:t>-</w:t>
      </w:r>
      <w:r w:rsidRPr="00C76977">
        <w:rPr>
          <w:lang w:val="en-US"/>
        </w:rPr>
        <w:t>FHR</w:t>
      </w:r>
      <w:r w:rsidRPr="00283F1C">
        <w:rPr>
          <w:lang w:val="ru-RU"/>
        </w:rPr>
        <w:t xml:space="preserve">-15/18, </w:t>
      </w:r>
      <w:r>
        <w:rPr>
          <w:lang w:val="ru-RU"/>
        </w:rPr>
        <w:t>в</w:t>
      </w:r>
      <w:r w:rsidRPr="00283F1C">
        <w:rPr>
          <w:lang w:val="ru-RU"/>
        </w:rPr>
        <w:t xml:space="preserve"> </w:t>
      </w:r>
      <w:r>
        <w:rPr>
          <w:lang w:val="ru-RU"/>
        </w:rPr>
        <w:t>котором</w:t>
      </w:r>
      <w:r w:rsidRPr="00283F1C">
        <w:rPr>
          <w:lang w:val="ru-RU"/>
        </w:rPr>
        <w:t xml:space="preserve"> </w:t>
      </w:r>
      <w:r w:rsidRPr="001C2918">
        <w:rPr>
          <w:lang w:val="ru-RU"/>
        </w:rPr>
        <w:t>РГС</w:t>
      </w:r>
      <w:r w:rsidRPr="00283F1C">
        <w:rPr>
          <w:lang w:val="ru-RU"/>
        </w:rPr>
        <w:t>-</w:t>
      </w:r>
      <w:r w:rsidRPr="001C2918">
        <w:rPr>
          <w:lang w:val="ru-RU"/>
        </w:rPr>
        <w:t>ФЛР</w:t>
      </w:r>
      <w:r w:rsidRPr="00283F1C">
        <w:rPr>
          <w:lang w:val="ru-RU"/>
        </w:rPr>
        <w:t xml:space="preserve"> </w:t>
      </w:r>
      <w:r>
        <w:rPr>
          <w:lang w:val="ru-RU"/>
        </w:rPr>
        <w:t>предлагается</w:t>
      </w:r>
      <w:r w:rsidRPr="00283F1C">
        <w:rPr>
          <w:lang w:val="ru-RU"/>
        </w:rPr>
        <w:t xml:space="preserve"> </w:t>
      </w:r>
      <w:r>
        <w:rPr>
          <w:lang w:val="ru-RU"/>
        </w:rPr>
        <w:t>принять</w:t>
      </w:r>
      <w:r w:rsidRPr="00283F1C">
        <w:rPr>
          <w:lang w:val="ru-RU"/>
        </w:rPr>
        <w:t xml:space="preserve"> </w:t>
      </w:r>
      <w:r>
        <w:rPr>
          <w:lang w:val="ru-RU"/>
        </w:rPr>
        <w:t>предложение</w:t>
      </w:r>
      <w:r w:rsidRPr="00283F1C">
        <w:rPr>
          <w:lang w:val="ru-RU"/>
        </w:rPr>
        <w:t xml:space="preserve"> </w:t>
      </w:r>
      <w:r>
        <w:rPr>
          <w:lang w:val="ru-RU"/>
        </w:rPr>
        <w:t>Секретариата</w:t>
      </w:r>
      <w:r w:rsidRPr="00283F1C">
        <w:rPr>
          <w:lang w:val="ru-RU"/>
        </w:rPr>
        <w:t xml:space="preserve">, </w:t>
      </w:r>
      <w:r>
        <w:rPr>
          <w:lang w:val="ru-RU"/>
        </w:rPr>
        <w:t>обсуждавшееся</w:t>
      </w:r>
      <w:r w:rsidRPr="00283F1C">
        <w:rPr>
          <w:lang w:val="ru-RU"/>
        </w:rPr>
        <w:t xml:space="preserve"> </w:t>
      </w:r>
      <w:r>
        <w:rPr>
          <w:lang w:val="ru-RU"/>
        </w:rPr>
        <w:t>на</w:t>
      </w:r>
      <w:r w:rsidRPr="00283F1C">
        <w:rPr>
          <w:lang w:val="ru-RU"/>
        </w:rPr>
        <w:t xml:space="preserve"> </w:t>
      </w:r>
      <w:r>
        <w:rPr>
          <w:lang w:val="ru-RU"/>
        </w:rPr>
        <w:t>сессии</w:t>
      </w:r>
      <w:r w:rsidRPr="00283F1C">
        <w:rPr>
          <w:lang w:val="ru-RU"/>
        </w:rPr>
        <w:t xml:space="preserve"> </w:t>
      </w:r>
      <w:r w:rsidRPr="001C2918">
        <w:rPr>
          <w:lang w:val="ru-RU"/>
        </w:rPr>
        <w:t>РГС</w:t>
      </w:r>
      <w:r w:rsidRPr="00283F1C">
        <w:rPr>
          <w:lang w:val="ru-RU"/>
        </w:rPr>
        <w:t>-</w:t>
      </w:r>
      <w:r w:rsidRPr="001C2918">
        <w:rPr>
          <w:lang w:val="ru-RU"/>
        </w:rPr>
        <w:t>ФЛР</w:t>
      </w:r>
      <w:r w:rsidRPr="00283F1C">
        <w:rPr>
          <w:lang w:val="ru-RU"/>
        </w:rPr>
        <w:t xml:space="preserve"> </w:t>
      </w:r>
      <w:r>
        <w:rPr>
          <w:lang w:val="ru-RU"/>
        </w:rPr>
        <w:t>в</w:t>
      </w:r>
      <w:r w:rsidRPr="00283F1C">
        <w:rPr>
          <w:lang w:val="ru-RU"/>
        </w:rPr>
        <w:t xml:space="preserve"> </w:t>
      </w:r>
      <w:r>
        <w:rPr>
          <w:lang w:val="ru-RU"/>
        </w:rPr>
        <w:t>сентябре</w:t>
      </w:r>
      <w:r w:rsidRPr="00283F1C">
        <w:rPr>
          <w:lang w:val="ru-RU"/>
        </w:rPr>
        <w:t xml:space="preserve"> 2021</w:t>
      </w:r>
      <w:r>
        <w:rPr>
          <w:lang w:val="en-US"/>
        </w:rPr>
        <w:t> </w:t>
      </w:r>
      <w:r w:rsidRPr="001C2918">
        <w:rPr>
          <w:lang w:val="ru-RU"/>
        </w:rPr>
        <w:t>года</w:t>
      </w:r>
      <w:r w:rsidRPr="00283F1C">
        <w:rPr>
          <w:lang w:val="ru-RU"/>
        </w:rPr>
        <w:t>,</w:t>
      </w:r>
      <w:r>
        <w:rPr>
          <w:lang w:val="ru-RU"/>
        </w:rPr>
        <w:t xml:space="preserve"> о</w:t>
      </w:r>
      <w:r w:rsidRPr="00283F1C">
        <w:rPr>
          <w:lang w:val="ru-RU"/>
        </w:rPr>
        <w:t xml:space="preserve"> </w:t>
      </w:r>
      <w:r>
        <w:rPr>
          <w:lang w:val="ru-RU"/>
        </w:rPr>
        <w:t>замене</w:t>
      </w:r>
      <w:r w:rsidRPr="00283F1C">
        <w:rPr>
          <w:lang w:val="ru-RU"/>
        </w:rPr>
        <w:t xml:space="preserve"> </w:t>
      </w:r>
      <w:r w:rsidRPr="001C2918">
        <w:rPr>
          <w:lang w:val="ru-RU"/>
        </w:rPr>
        <w:t>сочетани</w:t>
      </w:r>
      <w:r>
        <w:rPr>
          <w:lang w:val="ru-RU"/>
        </w:rPr>
        <w:t>я</w:t>
      </w:r>
      <w:r w:rsidRPr="00283F1C">
        <w:rPr>
          <w:lang w:val="ru-RU"/>
        </w:rPr>
        <w:t xml:space="preserve"> "</w:t>
      </w:r>
      <w:r w:rsidRPr="001C2918">
        <w:rPr>
          <w:lang w:val="ru-RU"/>
        </w:rPr>
        <w:t>муж</w:t>
      </w:r>
      <w:r w:rsidRPr="00283F1C">
        <w:rPr>
          <w:lang w:val="ru-RU"/>
        </w:rPr>
        <w:t xml:space="preserve"> </w:t>
      </w:r>
      <w:r w:rsidRPr="001C2918">
        <w:rPr>
          <w:lang w:val="ru-RU"/>
        </w:rPr>
        <w:t>и</w:t>
      </w:r>
      <w:r w:rsidRPr="00283F1C">
        <w:rPr>
          <w:lang w:val="ru-RU"/>
        </w:rPr>
        <w:t xml:space="preserve"> </w:t>
      </w:r>
      <w:r w:rsidRPr="001C2918">
        <w:rPr>
          <w:lang w:val="ru-RU"/>
        </w:rPr>
        <w:t>жена</w:t>
      </w:r>
      <w:r w:rsidRPr="00283F1C">
        <w:rPr>
          <w:lang w:val="ru-RU"/>
        </w:rPr>
        <w:t xml:space="preserve">" </w:t>
      </w:r>
      <w:r w:rsidRPr="001C2918">
        <w:rPr>
          <w:lang w:val="ru-RU"/>
        </w:rPr>
        <w:t>на</w:t>
      </w:r>
      <w:r w:rsidRPr="00283F1C">
        <w:rPr>
          <w:lang w:val="ru-RU"/>
        </w:rPr>
        <w:t xml:space="preserve"> "</w:t>
      </w:r>
      <w:r w:rsidRPr="001C2918">
        <w:rPr>
          <w:lang w:val="ru-RU"/>
        </w:rPr>
        <w:t>супруги</w:t>
      </w:r>
      <w:r w:rsidRPr="00283F1C">
        <w:rPr>
          <w:lang w:val="ru-RU"/>
        </w:rPr>
        <w:t>" в Положениях о персонале МСЭ</w:t>
      </w:r>
      <w:r>
        <w:rPr>
          <w:lang w:val="ru-RU"/>
        </w:rPr>
        <w:t xml:space="preserve"> в</w:t>
      </w:r>
      <w:r w:rsidRPr="00283F1C">
        <w:rPr>
          <w:lang w:val="ru-RU"/>
        </w:rPr>
        <w:t xml:space="preserve"> </w:t>
      </w:r>
      <w:r>
        <w:rPr>
          <w:lang w:val="ru-RU"/>
        </w:rPr>
        <w:t>приоритетном</w:t>
      </w:r>
      <w:r w:rsidRPr="00283F1C">
        <w:rPr>
          <w:lang w:val="ru-RU"/>
        </w:rPr>
        <w:t xml:space="preserve"> </w:t>
      </w:r>
      <w:r>
        <w:rPr>
          <w:lang w:val="ru-RU"/>
        </w:rPr>
        <w:t>порядке</w:t>
      </w:r>
      <w:r w:rsidRPr="00283F1C">
        <w:rPr>
          <w:lang w:val="ru-RU"/>
        </w:rPr>
        <w:t xml:space="preserve">. </w:t>
      </w:r>
      <w:r>
        <w:rPr>
          <w:lang w:val="ru-RU"/>
        </w:rPr>
        <w:t>Эта</w:t>
      </w:r>
      <w:r w:rsidRPr="001C2918">
        <w:rPr>
          <w:lang w:val="ru-RU"/>
        </w:rPr>
        <w:t xml:space="preserve"> </w:t>
      </w:r>
      <w:r w:rsidRPr="00283F1C">
        <w:rPr>
          <w:lang w:val="ru-RU"/>
        </w:rPr>
        <w:t xml:space="preserve">гендерно нейтральная формулировка </w:t>
      </w:r>
      <w:r>
        <w:rPr>
          <w:lang w:val="ru-RU"/>
        </w:rPr>
        <w:t xml:space="preserve">обеспечит возможность для супругов сотрудников МСЭ, вне зависимости от их семейного положения или пола, получать </w:t>
      </w:r>
      <w:r w:rsidRPr="001C2918">
        <w:rPr>
          <w:lang w:val="ru-RU"/>
        </w:rPr>
        <w:t>льгот</w:t>
      </w:r>
      <w:r>
        <w:rPr>
          <w:lang w:val="ru-RU"/>
        </w:rPr>
        <w:t>ы в соответствии со Статьей </w:t>
      </w:r>
      <w:r w:rsidRPr="001C2918">
        <w:rPr>
          <w:lang w:val="ru-RU"/>
        </w:rPr>
        <w:t>2) a)</w:t>
      </w:r>
      <w:r>
        <w:rPr>
          <w:lang w:val="ru-RU"/>
        </w:rPr>
        <w:t xml:space="preserve"> Положения 3.12 Положений о персонале МСЭ. Австралия и Канада также поддерживают последовательное использование термина "супруг" во всех Положениях о персонале и соответствующих правилах.</w:t>
      </w:r>
    </w:p>
    <w:p w14:paraId="4A70512E" w14:textId="77777777" w:rsidR="00252BB8" w:rsidRPr="00A40FFB" w:rsidRDefault="00252BB8" w:rsidP="00AA6858">
      <w:pPr>
        <w:pStyle w:val="Headingb"/>
        <w:rPr>
          <w:lang w:val="ru-RU"/>
        </w:rPr>
      </w:pPr>
      <w:r w:rsidRPr="00A40FFB">
        <w:rPr>
          <w:lang w:val="ru-RU"/>
        </w:rPr>
        <w:t xml:space="preserve">Вклад Австралии, Канады и Новой Зеландии – Использование нейтральных в гендерном </w:t>
      </w:r>
      <w:r>
        <w:rPr>
          <w:lang w:val="ru-RU"/>
        </w:rPr>
        <w:t>отношении</w:t>
      </w:r>
      <w:r w:rsidRPr="00A40FFB">
        <w:rPr>
          <w:lang w:val="ru-RU"/>
        </w:rPr>
        <w:t xml:space="preserve"> формулировок в текстах МСЭ (</w:t>
      </w:r>
      <w:r>
        <w:rPr>
          <w:lang w:val="ru-RU"/>
        </w:rPr>
        <w:t>Документ</w:t>
      </w:r>
      <w:r w:rsidRPr="00AA6858">
        <w:rPr>
          <w:lang w:val="en-US"/>
        </w:rPr>
        <w:t> </w:t>
      </w:r>
      <w:hyperlink r:id="rId44" w:history="1">
        <w:r w:rsidRPr="00AA6858">
          <w:rPr>
            <w:rStyle w:val="Hyperlink"/>
            <w:bCs/>
            <w:lang w:val="en-US"/>
          </w:rPr>
          <w:t>CWG</w:t>
        </w:r>
        <w:r w:rsidRPr="00A40FFB">
          <w:rPr>
            <w:rStyle w:val="Hyperlink"/>
            <w:bCs/>
            <w:lang w:val="ru-RU"/>
          </w:rPr>
          <w:t>-</w:t>
        </w:r>
        <w:r w:rsidRPr="00AA6858">
          <w:rPr>
            <w:rStyle w:val="Hyperlink"/>
            <w:bCs/>
            <w:lang w:val="en-US"/>
          </w:rPr>
          <w:t>FHR</w:t>
        </w:r>
        <w:r w:rsidRPr="00A40FFB">
          <w:rPr>
            <w:rStyle w:val="Hyperlink"/>
            <w:bCs/>
            <w:lang w:val="ru-RU"/>
          </w:rPr>
          <w:t>-</w:t>
        </w:r>
        <w:r w:rsidRPr="00A40FFB">
          <w:rPr>
            <w:rStyle w:val="Hyperlink"/>
            <w:lang w:val="ru-RU"/>
          </w:rPr>
          <w:t>15/17</w:t>
        </w:r>
      </w:hyperlink>
      <w:r w:rsidRPr="00A40FFB">
        <w:rPr>
          <w:rFonts w:eastAsiaTheme="minorHAnsi"/>
          <w:lang w:val="ru-RU"/>
        </w:rPr>
        <w:t xml:space="preserve">) </w:t>
      </w:r>
    </w:p>
    <w:p w14:paraId="51E72807" w14:textId="31DC95E2" w:rsidR="00252BB8" w:rsidRPr="00B162B1" w:rsidRDefault="00252BB8" w:rsidP="00701540">
      <w:pPr>
        <w:rPr>
          <w:lang w:val="ru-RU"/>
        </w:rPr>
      </w:pPr>
      <w:r w:rsidRPr="00283F1C">
        <w:rPr>
          <w:lang w:val="ru-RU"/>
        </w:rPr>
        <w:t>17.6</w:t>
      </w:r>
      <w:r w:rsidRPr="00283F1C">
        <w:rPr>
          <w:lang w:val="ru-RU"/>
        </w:rPr>
        <w:tab/>
      </w:r>
      <w:r>
        <w:rPr>
          <w:lang w:val="ru-RU"/>
        </w:rPr>
        <w:t xml:space="preserve">Австралия, Канада и Новая Зеландия предложили исключить Решение 500 Совета и принять новое Решение Совета, предусматривающее использование нейтральных в гендерном отношении формулировок в текстах МСЭ в качестве основополагающего шага в целях поощрения гендерного равенства, гендерной интеграции и </w:t>
      </w:r>
      <w:r w:rsidRPr="00A40FFB">
        <w:rPr>
          <w:lang w:val="ru-RU"/>
        </w:rPr>
        <w:t>равного соотношения мужчин и женщин</w:t>
      </w:r>
      <w:r>
        <w:rPr>
          <w:lang w:val="ru-RU"/>
        </w:rPr>
        <w:t xml:space="preserve"> путем использования гендерно нейтрального языка в текстах МСЭ. В частности, Государствам-Членам рекомендуется </w:t>
      </w:r>
      <w:r>
        <w:rPr>
          <w:lang w:val="en-US"/>
        </w:rPr>
        <w:t>i</w:t>
      </w:r>
      <w:r w:rsidRPr="00B162B1">
        <w:rPr>
          <w:lang w:val="ru-RU"/>
        </w:rPr>
        <w:t>)</w:t>
      </w:r>
      <w:r w:rsidR="000D46EA">
        <w:rPr>
          <w:lang w:val="ru-RU"/>
        </w:rPr>
        <w:t> </w:t>
      </w:r>
      <w:r>
        <w:rPr>
          <w:lang w:val="ru-RU"/>
        </w:rPr>
        <w:t xml:space="preserve">рассмотреть вопрос об исключении Решения 500 Совета об использовании термина "председатель", </w:t>
      </w:r>
      <w:r>
        <w:rPr>
          <w:lang w:val="en-US"/>
        </w:rPr>
        <w:t>ii</w:t>
      </w:r>
      <w:r w:rsidRPr="00B162B1">
        <w:rPr>
          <w:lang w:val="ru-RU"/>
        </w:rPr>
        <w:t>)</w:t>
      </w:r>
      <w:r>
        <w:rPr>
          <w:lang w:val="ru-RU"/>
        </w:rPr>
        <w:t xml:space="preserve"> рассмотреть предлагаемый проект Решения Совета об использовании нейтральных в гендерном отношении формулировок в текстах МСЭ, который содержится в Приложении А, и представить проект Решения на утверждение Совета, </w:t>
      </w:r>
      <w:r>
        <w:rPr>
          <w:lang w:val="en-US"/>
        </w:rPr>
        <w:t>iii</w:t>
      </w:r>
      <w:r w:rsidRPr="00B162B1">
        <w:rPr>
          <w:lang w:val="ru-RU"/>
        </w:rPr>
        <w:t xml:space="preserve">) </w:t>
      </w:r>
      <w:r>
        <w:rPr>
          <w:lang w:val="ru-RU"/>
        </w:rPr>
        <w:t xml:space="preserve">рассмотреть возможность замены примечания в </w:t>
      </w:r>
      <w:r w:rsidRPr="00B162B1">
        <w:rPr>
          <w:lang w:val="ru-RU"/>
        </w:rPr>
        <w:t>Устав</w:t>
      </w:r>
      <w:r>
        <w:rPr>
          <w:lang w:val="ru-RU"/>
        </w:rPr>
        <w:t>е</w:t>
      </w:r>
      <w:r w:rsidRPr="00B162B1">
        <w:rPr>
          <w:lang w:val="ru-RU"/>
        </w:rPr>
        <w:t xml:space="preserve"> и Конвенции</w:t>
      </w:r>
      <w:r>
        <w:rPr>
          <w:lang w:val="ru-RU"/>
        </w:rPr>
        <w:t xml:space="preserve"> МСЭ, в котором говорится, что </w:t>
      </w:r>
      <w:r w:rsidRPr="00B162B1">
        <w:rPr>
          <w:lang w:val="ru-RU"/>
        </w:rPr>
        <w:t>"язык, используемый в тексте основных документов Союза (Устава и Конвенции), должен считаться нейтральным в гендерном отношении",</w:t>
      </w:r>
      <w:r>
        <w:rPr>
          <w:lang w:val="ru-RU"/>
        </w:rPr>
        <w:t xml:space="preserve"> на следующую формулировку: "Некоторые формулировки, используемые в тексте </w:t>
      </w:r>
      <w:r w:rsidRPr="00B162B1">
        <w:rPr>
          <w:lang w:val="ru-RU"/>
        </w:rPr>
        <w:t>основных документ</w:t>
      </w:r>
      <w:r>
        <w:rPr>
          <w:lang w:val="ru-RU"/>
        </w:rPr>
        <w:t>ов</w:t>
      </w:r>
      <w:r w:rsidRPr="00B162B1">
        <w:rPr>
          <w:lang w:val="ru-RU"/>
        </w:rPr>
        <w:t xml:space="preserve"> Союза (Устав</w:t>
      </w:r>
      <w:r>
        <w:rPr>
          <w:lang w:val="ru-RU"/>
        </w:rPr>
        <w:t>а</w:t>
      </w:r>
      <w:r w:rsidRPr="00B162B1">
        <w:rPr>
          <w:lang w:val="ru-RU"/>
        </w:rPr>
        <w:t xml:space="preserve"> и Конвенци</w:t>
      </w:r>
      <w:r>
        <w:rPr>
          <w:lang w:val="ru-RU"/>
        </w:rPr>
        <w:t>и</w:t>
      </w:r>
      <w:r w:rsidRPr="00B162B1">
        <w:rPr>
          <w:lang w:val="ru-RU"/>
        </w:rPr>
        <w:t>)</w:t>
      </w:r>
      <w:r>
        <w:rPr>
          <w:lang w:val="ru-RU"/>
        </w:rPr>
        <w:t>, не являются нейтральным в гендерном отношении. В</w:t>
      </w:r>
      <w:r w:rsidRPr="00C92475">
        <w:rPr>
          <w:lang w:val="ru-RU"/>
        </w:rPr>
        <w:t xml:space="preserve"> дальнейшем </w:t>
      </w:r>
      <w:r>
        <w:rPr>
          <w:lang w:val="ru-RU"/>
        </w:rPr>
        <w:t>при внесении изменений в эти документы будут использоваться нейтральные в гендерном отношении формулировки, предусмотренные в Решении ХХХ Совета".</w:t>
      </w:r>
    </w:p>
    <w:p w14:paraId="2BF777F9" w14:textId="77777777" w:rsidR="00252BB8" w:rsidRPr="00A40FFB" w:rsidRDefault="00252BB8" w:rsidP="00701540">
      <w:pPr>
        <w:rPr>
          <w:b/>
          <w:bCs/>
          <w:lang w:val="ru-RU"/>
        </w:rPr>
      </w:pPr>
      <w:r w:rsidRPr="007F2FAF">
        <w:rPr>
          <w:lang w:val="ru-RU"/>
        </w:rPr>
        <w:t>17.7</w:t>
      </w:r>
      <w:r w:rsidRPr="007F2FAF">
        <w:rPr>
          <w:lang w:val="ru-RU"/>
        </w:rPr>
        <w:tab/>
      </w:r>
      <w:r>
        <w:rPr>
          <w:lang w:val="ru-RU"/>
        </w:rPr>
        <w:t>По итогам обсуждения не было достигнуто консенсуса и было решено, что это предложение требует дальнейшего обсуждения в Совете.</w:t>
      </w:r>
    </w:p>
    <w:p w14:paraId="4FC266B8" w14:textId="77777777" w:rsidR="00252BB8" w:rsidRPr="004F621F" w:rsidRDefault="00252BB8" w:rsidP="00842057">
      <w:pPr>
        <w:pStyle w:val="Heading1"/>
        <w:rPr>
          <w:lang w:val="ru-RU"/>
        </w:rPr>
      </w:pPr>
      <w:r w:rsidRPr="00551476">
        <w:rPr>
          <w:lang w:val="ru-RU"/>
        </w:rPr>
        <w:lastRenderedPageBreak/>
        <w:t>18</w:t>
      </w:r>
      <w:r w:rsidRPr="00551476">
        <w:rPr>
          <w:lang w:val="ru-RU"/>
        </w:rPr>
        <w:tab/>
      </w:r>
      <w:r>
        <w:rPr>
          <w:lang w:val="ru-RU"/>
        </w:rPr>
        <w:t>Вклад Российской Федерации</w:t>
      </w:r>
      <w:r w:rsidRPr="00551476">
        <w:rPr>
          <w:lang w:val="ru-RU"/>
        </w:rPr>
        <w:t xml:space="preserve"> − </w:t>
      </w:r>
      <w:r>
        <w:rPr>
          <w:lang w:val="ru-RU"/>
        </w:rPr>
        <w:t>Предварительный проект Решения 11</w:t>
      </w:r>
      <w:r w:rsidRPr="00551476">
        <w:rPr>
          <w:lang w:val="ru-RU"/>
        </w:rPr>
        <w:t xml:space="preserve"> (</w:t>
      </w:r>
      <w:r>
        <w:rPr>
          <w:lang w:val="ru-RU"/>
        </w:rPr>
        <w:t>Пересм</w:t>
      </w:r>
      <w:r w:rsidRPr="00551476">
        <w:rPr>
          <w:lang w:val="ru-RU"/>
        </w:rPr>
        <w:t xml:space="preserve">. </w:t>
      </w:r>
      <w:r>
        <w:rPr>
          <w:lang w:val="ru-RU"/>
        </w:rPr>
        <w:t>Дубай</w:t>
      </w:r>
      <w:r w:rsidRPr="004F621F">
        <w:rPr>
          <w:lang w:val="ru-RU"/>
        </w:rPr>
        <w:t>, 2018</w:t>
      </w:r>
      <w:r w:rsidRPr="00870731">
        <w:rPr>
          <w:lang w:val="en-US"/>
        </w:rPr>
        <w:t> </w:t>
      </w:r>
      <w:r>
        <w:rPr>
          <w:lang w:val="ru-RU"/>
        </w:rPr>
        <w:t>г</w:t>
      </w:r>
      <w:r w:rsidRPr="004F621F">
        <w:rPr>
          <w:lang w:val="ru-RU"/>
        </w:rPr>
        <w:t>.) о создании рабочих групп Совета и управлени</w:t>
      </w:r>
      <w:r>
        <w:rPr>
          <w:lang w:val="ru-RU"/>
        </w:rPr>
        <w:t>и</w:t>
      </w:r>
      <w:r w:rsidRPr="004F621F">
        <w:rPr>
          <w:lang w:val="ru-RU"/>
        </w:rPr>
        <w:t xml:space="preserve"> </w:t>
      </w:r>
      <w:r>
        <w:rPr>
          <w:lang w:val="ru-RU"/>
        </w:rPr>
        <w:t xml:space="preserve">ими </w:t>
      </w:r>
      <w:r w:rsidRPr="004F621F">
        <w:rPr>
          <w:lang w:val="ru-RU"/>
        </w:rPr>
        <w:t>(</w:t>
      </w:r>
      <w:r>
        <w:rPr>
          <w:lang w:val="ru-RU"/>
        </w:rPr>
        <w:t>Документ</w:t>
      </w:r>
      <w:r w:rsidRPr="00842057">
        <w:rPr>
          <w:lang w:val="en-US"/>
        </w:rPr>
        <w:t> </w:t>
      </w:r>
      <w:hyperlink r:id="rId45" w:history="1">
        <w:r w:rsidRPr="00842057">
          <w:rPr>
            <w:rStyle w:val="Hyperlink"/>
            <w:bCs/>
            <w:lang w:val="en-US"/>
          </w:rPr>
          <w:t>CWG</w:t>
        </w:r>
        <w:r w:rsidRPr="004F621F">
          <w:rPr>
            <w:rStyle w:val="Hyperlink"/>
            <w:bCs/>
            <w:lang w:val="ru-RU"/>
          </w:rPr>
          <w:t>-</w:t>
        </w:r>
        <w:r w:rsidRPr="00842057">
          <w:rPr>
            <w:rStyle w:val="Hyperlink"/>
            <w:bCs/>
            <w:lang w:val="en-US"/>
          </w:rPr>
          <w:t>FHR</w:t>
        </w:r>
        <w:r w:rsidRPr="004F621F">
          <w:rPr>
            <w:rStyle w:val="Hyperlink"/>
            <w:bCs/>
            <w:lang w:val="ru-RU"/>
          </w:rPr>
          <w:t>-</w:t>
        </w:r>
        <w:r w:rsidRPr="004F621F">
          <w:rPr>
            <w:rStyle w:val="Hyperlink"/>
            <w:lang w:val="ru-RU"/>
          </w:rPr>
          <w:t>15/15</w:t>
        </w:r>
      </w:hyperlink>
      <w:r w:rsidRPr="004F621F">
        <w:rPr>
          <w:rFonts w:eastAsiaTheme="minorHAnsi"/>
          <w:lang w:val="ru-RU"/>
        </w:rPr>
        <w:t>)</w:t>
      </w:r>
    </w:p>
    <w:p w14:paraId="6FEB83D2" w14:textId="77777777" w:rsidR="00252BB8" w:rsidRPr="004F621F" w:rsidRDefault="00252BB8" w:rsidP="00701540">
      <w:pPr>
        <w:rPr>
          <w:lang w:val="ru-RU"/>
        </w:rPr>
      </w:pPr>
      <w:r w:rsidRPr="00193F28">
        <w:rPr>
          <w:lang w:val="ru-RU"/>
        </w:rPr>
        <w:t>18.1</w:t>
      </w:r>
      <w:r w:rsidRPr="00193F28">
        <w:rPr>
          <w:lang w:val="ru-RU"/>
        </w:rPr>
        <w:tab/>
      </w:r>
      <w:r>
        <w:rPr>
          <w:lang w:val="ru-RU"/>
        </w:rPr>
        <w:t>Делегат от Российской Федерации представил Документ </w:t>
      </w:r>
      <w:r w:rsidRPr="004F621F">
        <w:rPr>
          <w:lang w:val="ru-RU"/>
        </w:rPr>
        <w:t>CWG-FHR-15/15</w:t>
      </w:r>
      <w:r>
        <w:rPr>
          <w:lang w:val="ru-RU"/>
        </w:rPr>
        <w:t>, в котором предлагается пересмотреть Решение 11 о</w:t>
      </w:r>
      <w:r w:rsidRPr="004F621F">
        <w:rPr>
          <w:lang w:val="ru-RU"/>
        </w:rPr>
        <w:t xml:space="preserve"> создании рабочих групп Совета и управлени</w:t>
      </w:r>
      <w:r>
        <w:rPr>
          <w:lang w:val="ru-RU"/>
        </w:rPr>
        <w:t>и</w:t>
      </w:r>
      <w:r w:rsidRPr="004F621F">
        <w:rPr>
          <w:lang w:val="ru-RU"/>
        </w:rPr>
        <w:t xml:space="preserve"> ими</w:t>
      </w:r>
      <w:r>
        <w:rPr>
          <w:lang w:val="ru-RU"/>
        </w:rPr>
        <w:t xml:space="preserve"> с учетом опыта управления рабочими группами Совета, полученного в 2018–2022 годах, и обсуждений по возможной доработке этого Решения. Также предлагается распространить сферу действия этого Решения на экспертные группы Совета.</w:t>
      </w:r>
    </w:p>
    <w:p w14:paraId="392D0D78" w14:textId="450130A0" w:rsidR="00252BB8" w:rsidRPr="00150963" w:rsidRDefault="00252BB8" w:rsidP="00701540">
      <w:pPr>
        <w:rPr>
          <w:lang w:val="ru-RU"/>
        </w:rPr>
      </w:pPr>
      <w:r w:rsidRPr="007F2FAF">
        <w:rPr>
          <w:lang w:val="ru-RU"/>
        </w:rPr>
        <w:t>18.2</w:t>
      </w:r>
      <w:r w:rsidRPr="007F2FAF">
        <w:rPr>
          <w:lang w:val="ru-RU"/>
        </w:rPr>
        <w:tab/>
      </w:r>
      <w:r>
        <w:rPr>
          <w:bCs/>
          <w:lang w:val="ru-RU"/>
        </w:rPr>
        <w:t xml:space="preserve">Ввиду ограниченности времени Председатель призвала делегатов направить свои замечания по предлагаемому пересмотру Решения 11, изложенному в </w:t>
      </w:r>
      <w:r w:rsidR="0017300D">
        <w:rPr>
          <w:bCs/>
          <w:lang w:val="ru-RU"/>
        </w:rPr>
        <w:t>д</w:t>
      </w:r>
      <w:r>
        <w:rPr>
          <w:bCs/>
          <w:lang w:val="ru-RU"/>
        </w:rPr>
        <w:t>окументе, Российской Федерации.</w:t>
      </w:r>
    </w:p>
    <w:p w14:paraId="5BB51C6E" w14:textId="766EC3CF" w:rsidR="00244955" w:rsidRPr="000D46EA" w:rsidRDefault="00252BB8" w:rsidP="000D46EA">
      <w:pPr>
        <w:spacing w:before="720"/>
        <w:jc w:val="center"/>
      </w:pPr>
      <w:r>
        <w:t>______________</w:t>
      </w:r>
    </w:p>
    <w:sectPr w:rsidR="00244955" w:rsidRPr="000D46EA" w:rsidSect="00CF629C">
      <w:headerReference w:type="even" r:id="rId46"/>
      <w:headerReference w:type="default" r:id="rId47"/>
      <w:footerReference w:type="even" r:id="rId48"/>
      <w:footerReference w:type="default" r:id="rId49"/>
      <w:headerReference w:type="first" r:id="rId50"/>
      <w:footerReference w:type="first" r:id="rId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DA50C" w14:textId="77777777" w:rsidR="009A1995" w:rsidRDefault="009A1995">
      <w:r>
        <w:separator/>
      </w:r>
    </w:p>
  </w:endnote>
  <w:endnote w:type="continuationSeparator" w:id="0">
    <w:p w14:paraId="40AE595D" w14:textId="77777777" w:rsidR="009A1995" w:rsidRDefault="009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0307" w14:textId="77777777" w:rsidR="00761788" w:rsidRDefault="00761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GoBack"/>
  <w:p w14:paraId="741A44FF" w14:textId="11366991" w:rsidR="00F662D0" w:rsidRPr="00D46136" w:rsidRDefault="00F662D0" w:rsidP="009B0BAE">
    <w:pPr>
      <w:pStyle w:val="Footer"/>
      <w:rPr>
        <w:color w:val="F2F2F2" w:themeColor="background1" w:themeShade="F2"/>
        <w:sz w:val="18"/>
        <w:szCs w:val="18"/>
      </w:rPr>
    </w:pPr>
    <w:r w:rsidRPr="00D46136">
      <w:rPr>
        <w:color w:val="F2F2F2" w:themeColor="background1" w:themeShade="F2"/>
      </w:rPr>
      <w:fldChar w:fldCharType="begin"/>
    </w:r>
    <w:r w:rsidRPr="00D46136">
      <w:rPr>
        <w:color w:val="F2F2F2" w:themeColor="background1" w:themeShade="F2"/>
      </w:rPr>
      <w:instrText xml:space="preserve"> FILENAME \p  \* MERGEFORMAT </w:instrText>
    </w:r>
    <w:r w:rsidRPr="00D46136">
      <w:rPr>
        <w:color w:val="F2F2F2" w:themeColor="background1" w:themeShade="F2"/>
      </w:rPr>
      <w:fldChar w:fldCharType="separate"/>
    </w:r>
    <w:r w:rsidR="00761788" w:rsidRPr="00D46136">
      <w:rPr>
        <w:color w:val="F2F2F2" w:themeColor="background1" w:themeShade="F2"/>
      </w:rPr>
      <w:t>P:\RUS\SG\CONSEIL\C22\000\050R.docx</w:t>
    </w:r>
    <w:r w:rsidRPr="00D46136">
      <w:rPr>
        <w:color w:val="F2F2F2" w:themeColor="background1" w:themeShade="F2"/>
        <w:lang w:val="en-US"/>
      </w:rPr>
      <w:fldChar w:fldCharType="end"/>
    </w:r>
    <w:r w:rsidRPr="00D46136">
      <w:rPr>
        <w:color w:val="F2F2F2" w:themeColor="background1" w:themeShade="F2"/>
      </w:rPr>
      <w:t xml:space="preserve"> (500959)</w:t>
    </w:r>
    <w:r w:rsidRPr="00D46136">
      <w:rPr>
        <w:color w:val="F2F2F2" w:themeColor="background1" w:themeShade="F2"/>
        <w:sz w:val="18"/>
        <w:szCs w:val="18"/>
      </w:rPr>
      <w:t xml:space="preserve"> </w:t>
    </w:r>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C98B" w14:textId="77777777" w:rsidR="00F662D0" w:rsidRDefault="00F662D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C563" w14:textId="77777777" w:rsidR="009A1995" w:rsidRDefault="009A1995">
      <w:r>
        <w:t>____________________</w:t>
      </w:r>
    </w:p>
  </w:footnote>
  <w:footnote w:type="continuationSeparator" w:id="0">
    <w:p w14:paraId="1F654BAB" w14:textId="77777777" w:rsidR="009A1995" w:rsidRDefault="009A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19AC" w14:textId="77777777" w:rsidR="00761788" w:rsidRDefault="00761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5A6B" w14:textId="52808F38" w:rsidR="00F662D0" w:rsidRDefault="00F662D0" w:rsidP="00BD57B7">
    <w:pPr>
      <w:pStyle w:val="Header"/>
    </w:pPr>
    <w:r>
      <w:fldChar w:fldCharType="begin"/>
    </w:r>
    <w:r>
      <w:instrText>PAGE</w:instrText>
    </w:r>
    <w:r>
      <w:fldChar w:fldCharType="separate"/>
    </w:r>
    <w:r w:rsidR="00B83CA0">
      <w:rPr>
        <w:noProof/>
      </w:rPr>
      <w:t>10</w:t>
    </w:r>
    <w:r>
      <w:rPr>
        <w:noProof/>
      </w:rPr>
      <w:fldChar w:fldCharType="end"/>
    </w:r>
  </w:p>
  <w:p w14:paraId="1B2AA2F3" w14:textId="77777777" w:rsidR="00F662D0" w:rsidRDefault="00F662D0" w:rsidP="005B3DEC">
    <w:pPr>
      <w:pStyle w:val="Header"/>
      <w:spacing w:after="480"/>
    </w:pPr>
    <w:r>
      <w:t>C22/</w:t>
    </w:r>
    <w:r>
      <w:rPr>
        <w:lang w:val="ru-RU"/>
      </w:rPr>
      <w:t>50</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D43C" w14:textId="77777777" w:rsidR="00761788" w:rsidRDefault="00761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14713"/>
    <w:multiLevelType w:val="hybridMultilevel"/>
    <w:tmpl w:val="DB6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701E"/>
    <w:multiLevelType w:val="hybridMultilevel"/>
    <w:tmpl w:val="08087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737D8"/>
    <w:multiLevelType w:val="hybridMultilevel"/>
    <w:tmpl w:val="53D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678AC"/>
    <w:multiLevelType w:val="hybridMultilevel"/>
    <w:tmpl w:val="6F1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13AC"/>
    <w:multiLevelType w:val="hybridMultilevel"/>
    <w:tmpl w:val="D996EA0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D6964"/>
    <w:multiLevelType w:val="hybridMultilevel"/>
    <w:tmpl w:val="B7B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3678D"/>
    <w:multiLevelType w:val="hybridMultilevel"/>
    <w:tmpl w:val="BDE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E799D"/>
    <w:multiLevelType w:val="hybridMultilevel"/>
    <w:tmpl w:val="973202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1284FC2"/>
    <w:multiLevelType w:val="hybridMultilevel"/>
    <w:tmpl w:val="FF02B9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4663789"/>
    <w:multiLevelType w:val="hybridMultilevel"/>
    <w:tmpl w:val="688E7EC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4AA157DA"/>
    <w:multiLevelType w:val="hybridMultilevel"/>
    <w:tmpl w:val="2688B12E"/>
    <w:lvl w:ilvl="0" w:tplc="BE2C1E00">
      <w:start w:val="10"/>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3"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EB4DBE"/>
    <w:multiLevelType w:val="hybridMultilevel"/>
    <w:tmpl w:val="8820AD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75466"/>
    <w:multiLevelType w:val="hybridMultilevel"/>
    <w:tmpl w:val="03900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0AB19FE"/>
    <w:multiLevelType w:val="hybridMultilevel"/>
    <w:tmpl w:val="C64CF27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3"/>
  </w:num>
  <w:num w:numId="3">
    <w:abstractNumId w:val="7"/>
  </w:num>
  <w:num w:numId="4">
    <w:abstractNumId w:val="2"/>
  </w:num>
  <w:num w:numId="5">
    <w:abstractNumId w:val="5"/>
  </w:num>
  <w:num w:numId="6">
    <w:abstractNumId w:val="14"/>
  </w:num>
  <w:num w:numId="7">
    <w:abstractNumId w:val="10"/>
  </w:num>
  <w:num w:numId="8">
    <w:abstractNumId w:val="16"/>
  </w:num>
  <w:num w:numId="9">
    <w:abstractNumId w:val="6"/>
  </w:num>
  <w:num w:numId="10">
    <w:abstractNumId w:val="3"/>
  </w:num>
  <w:num w:numId="11">
    <w:abstractNumId w:val="15"/>
  </w:num>
  <w:num w:numId="12">
    <w:abstractNumId w:val="9"/>
  </w:num>
  <w:num w:numId="13">
    <w:abstractNumId w:val="1"/>
  </w:num>
  <w:num w:numId="14">
    <w:abstractNumId w:val="4"/>
  </w:num>
  <w:num w:numId="15">
    <w:abstractNumId w:val="8"/>
  </w:num>
  <w:num w:numId="16">
    <w:abstractNumId w:val="1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fr-FR"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F7"/>
    <w:rsid w:val="00000D8F"/>
    <w:rsid w:val="000015F0"/>
    <w:rsid w:val="00005038"/>
    <w:rsid w:val="00005BE0"/>
    <w:rsid w:val="0002183E"/>
    <w:rsid w:val="00022E3B"/>
    <w:rsid w:val="0002591D"/>
    <w:rsid w:val="00025CA5"/>
    <w:rsid w:val="00027046"/>
    <w:rsid w:val="000333D5"/>
    <w:rsid w:val="00034243"/>
    <w:rsid w:val="00034F83"/>
    <w:rsid w:val="00037DAA"/>
    <w:rsid w:val="000419B3"/>
    <w:rsid w:val="000569B4"/>
    <w:rsid w:val="0005736E"/>
    <w:rsid w:val="000710E8"/>
    <w:rsid w:val="000745D0"/>
    <w:rsid w:val="00076F86"/>
    <w:rsid w:val="00080E82"/>
    <w:rsid w:val="000824AC"/>
    <w:rsid w:val="0008270C"/>
    <w:rsid w:val="00093300"/>
    <w:rsid w:val="000A69A1"/>
    <w:rsid w:val="000B23BF"/>
    <w:rsid w:val="000B402C"/>
    <w:rsid w:val="000C4862"/>
    <w:rsid w:val="000D46EA"/>
    <w:rsid w:val="000D6AF7"/>
    <w:rsid w:val="000E0A0F"/>
    <w:rsid w:val="000E568E"/>
    <w:rsid w:val="000E5AF5"/>
    <w:rsid w:val="000E5ED6"/>
    <w:rsid w:val="000E6A5B"/>
    <w:rsid w:val="000F5FD6"/>
    <w:rsid w:val="0010059E"/>
    <w:rsid w:val="00101F58"/>
    <w:rsid w:val="00101FC5"/>
    <w:rsid w:val="00105ED2"/>
    <w:rsid w:val="001068DC"/>
    <w:rsid w:val="00112B24"/>
    <w:rsid w:val="00115E09"/>
    <w:rsid w:val="00121601"/>
    <w:rsid w:val="00124A18"/>
    <w:rsid w:val="001268E0"/>
    <w:rsid w:val="00143229"/>
    <w:rsid w:val="00145BB6"/>
    <w:rsid w:val="0014734F"/>
    <w:rsid w:val="001474C2"/>
    <w:rsid w:val="00150CC0"/>
    <w:rsid w:val="0015710D"/>
    <w:rsid w:val="00163340"/>
    <w:rsid w:val="00163981"/>
    <w:rsid w:val="00163A32"/>
    <w:rsid w:val="00164C6C"/>
    <w:rsid w:val="001714F6"/>
    <w:rsid w:val="0017300D"/>
    <w:rsid w:val="0017698B"/>
    <w:rsid w:val="00177939"/>
    <w:rsid w:val="00180A32"/>
    <w:rsid w:val="00182A5F"/>
    <w:rsid w:val="00183300"/>
    <w:rsid w:val="00183DED"/>
    <w:rsid w:val="001851F8"/>
    <w:rsid w:val="00192B41"/>
    <w:rsid w:val="001A4B93"/>
    <w:rsid w:val="001B3C78"/>
    <w:rsid w:val="001B788A"/>
    <w:rsid w:val="001B7B09"/>
    <w:rsid w:val="001C3FAF"/>
    <w:rsid w:val="001C64CD"/>
    <w:rsid w:val="001D3FD0"/>
    <w:rsid w:val="001D5177"/>
    <w:rsid w:val="001E21F4"/>
    <w:rsid w:val="001E278E"/>
    <w:rsid w:val="001E4224"/>
    <w:rsid w:val="001E57FC"/>
    <w:rsid w:val="001E6719"/>
    <w:rsid w:val="001E73F5"/>
    <w:rsid w:val="001E7F50"/>
    <w:rsid w:val="001F7421"/>
    <w:rsid w:val="001F772E"/>
    <w:rsid w:val="001F7D02"/>
    <w:rsid w:val="00204F1E"/>
    <w:rsid w:val="00217B34"/>
    <w:rsid w:val="00225368"/>
    <w:rsid w:val="00227FF0"/>
    <w:rsid w:val="002334A2"/>
    <w:rsid w:val="0024042A"/>
    <w:rsid w:val="00244955"/>
    <w:rsid w:val="00252BB8"/>
    <w:rsid w:val="00252E4F"/>
    <w:rsid w:val="002622A7"/>
    <w:rsid w:val="00265A9A"/>
    <w:rsid w:val="00267438"/>
    <w:rsid w:val="00270274"/>
    <w:rsid w:val="0028428A"/>
    <w:rsid w:val="00291EB6"/>
    <w:rsid w:val="00296848"/>
    <w:rsid w:val="002B400C"/>
    <w:rsid w:val="002B6316"/>
    <w:rsid w:val="002C4E6D"/>
    <w:rsid w:val="002C587D"/>
    <w:rsid w:val="002D2F57"/>
    <w:rsid w:val="002D31B7"/>
    <w:rsid w:val="002D48C5"/>
    <w:rsid w:val="002F1CBE"/>
    <w:rsid w:val="00302442"/>
    <w:rsid w:val="00302AA3"/>
    <w:rsid w:val="003139D5"/>
    <w:rsid w:val="00317167"/>
    <w:rsid w:val="003260EF"/>
    <w:rsid w:val="003346FA"/>
    <w:rsid w:val="00335CF8"/>
    <w:rsid w:val="00337E86"/>
    <w:rsid w:val="00346C72"/>
    <w:rsid w:val="00347129"/>
    <w:rsid w:val="00380D06"/>
    <w:rsid w:val="00380E7F"/>
    <w:rsid w:val="00390DEA"/>
    <w:rsid w:val="003952A2"/>
    <w:rsid w:val="003A0A6E"/>
    <w:rsid w:val="003A7971"/>
    <w:rsid w:val="003D6D52"/>
    <w:rsid w:val="003E0B07"/>
    <w:rsid w:val="003F099E"/>
    <w:rsid w:val="003F1B40"/>
    <w:rsid w:val="003F235E"/>
    <w:rsid w:val="003F5DAE"/>
    <w:rsid w:val="003F6445"/>
    <w:rsid w:val="00401EED"/>
    <w:rsid w:val="004023E0"/>
    <w:rsid w:val="00403DD8"/>
    <w:rsid w:val="0040478B"/>
    <w:rsid w:val="00404D5D"/>
    <w:rsid w:val="00405438"/>
    <w:rsid w:val="00407A39"/>
    <w:rsid w:val="004165A2"/>
    <w:rsid w:val="004177DF"/>
    <w:rsid w:val="004228E5"/>
    <w:rsid w:val="004239E9"/>
    <w:rsid w:val="00426CF4"/>
    <w:rsid w:val="00441704"/>
    <w:rsid w:val="00442515"/>
    <w:rsid w:val="00446B62"/>
    <w:rsid w:val="0045032B"/>
    <w:rsid w:val="0045686C"/>
    <w:rsid w:val="00457FC7"/>
    <w:rsid w:val="004809AE"/>
    <w:rsid w:val="00482A59"/>
    <w:rsid w:val="00483324"/>
    <w:rsid w:val="00483A5B"/>
    <w:rsid w:val="00483B40"/>
    <w:rsid w:val="004918C4"/>
    <w:rsid w:val="00491D0A"/>
    <w:rsid w:val="00492D5F"/>
    <w:rsid w:val="00496204"/>
    <w:rsid w:val="00497703"/>
    <w:rsid w:val="004A0374"/>
    <w:rsid w:val="004A2092"/>
    <w:rsid w:val="004A2E56"/>
    <w:rsid w:val="004A45B5"/>
    <w:rsid w:val="004B5C79"/>
    <w:rsid w:val="004B6BE7"/>
    <w:rsid w:val="004B6EE4"/>
    <w:rsid w:val="004C13D7"/>
    <w:rsid w:val="004C566D"/>
    <w:rsid w:val="004C74EF"/>
    <w:rsid w:val="004D0129"/>
    <w:rsid w:val="004D68D0"/>
    <w:rsid w:val="004D7A81"/>
    <w:rsid w:val="004E12F7"/>
    <w:rsid w:val="004F2717"/>
    <w:rsid w:val="004F7116"/>
    <w:rsid w:val="00500864"/>
    <w:rsid w:val="00503F34"/>
    <w:rsid w:val="00516DDF"/>
    <w:rsid w:val="00517293"/>
    <w:rsid w:val="00521B2F"/>
    <w:rsid w:val="005225DD"/>
    <w:rsid w:val="00525E2E"/>
    <w:rsid w:val="005268FF"/>
    <w:rsid w:val="00532F5A"/>
    <w:rsid w:val="00535FF0"/>
    <w:rsid w:val="00553D79"/>
    <w:rsid w:val="00560F99"/>
    <w:rsid w:val="00562492"/>
    <w:rsid w:val="0058647B"/>
    <w:rsid w:val="0059410F"/>
    <w:rsid w:val="00597B26"/>
    <w:rsid w:val="005A2597"/>
    <w:rsid w:val="005A2878"/>
    <w:rsid w:val="005A2883"/>
    <w:rsid w:val="005A64D5"/>
    <w:rsid w:val="005B3DEC"/>
    <w:rsid w:val="005B4CE5"/>
    <w:rsid w:val="005C2FDC"/>
    <w:rsid w:val="005E056A"/>
    <w:rsid w:val="005E6F9A"/>
    <w:rsid w:val="006006CD"/>
    <w:rsid w:val="00601994"/>
    <w:rsid w:val="00603091"/>
    <w:rsid w:val="00603744"/>
    <w:rsid w:val="00604E15"/>
    <w:rsid w:val="00620DE8"/>
    <w:rsid w:val="00622E76"/>
    <w:rsid w:val="006326FA"/>
    <w:rsid w:val="00634C36"/>
    <w:rsid w:val="006368DB"/>
    <w:rsid w:val="006536C4"/>
    <w:rsid w:val="00653E0C"/>
    <w:rsid w:val="006600C3"/>
    <w:rsid w:val="006632D4"/>
    <w:rsid w:val="00663F16"/>
    <w:rsid w:val="006701DE"/>
    <w:rsid w:val="00675817"/>
    <w:rsid w:val="0067583D"/>
    <w:rsid w:val="00677589"/>
    <w:rsid w:val="006A08F3"/>
    <w:rsid w:val="006A3D0A"/>
    <w:rsid w:val="006A69EA"/>
    <w:rsid w:val="006A7CC0"/>
    <w:rsid w:val="006B26B6"/>
    <w:rsid w:val="006C0DEB"/>
    <w:rsid w:val="006C60BE"/>
    <w:rsid w:val="006D4AE4"/>
    <w:rsid w:val="006D65CA"/>
    <w:rsid w:val="006E2D42"/>
    <w:rsid w:val="006E4384"/>
    <w:rsid w:val="006F2391"/>
    <w:rsid w:val="00701540"/>
    <w:rsid w:val="00703676"/>
    <w:rsid w:val="007058BC"/>
    <w:rsid w:val="00707304"/>
    <w:rsid w:val="00714524"/>
    <w:rsid w:val="0071709D"/>
    <w:rsid w:val="00720924"/>
    <w:rsid w:val="00724528"/>
    <w:rsid w:val="00724ED8"/>
    <w:rsid w:val="00727495"/>
    <w:rsid w:val="00730162"/>
    <w:rsid w:val="007306A4"/>
    <w:rsid w:val="00730AED"/>
    <w:rsid w:val="00730AFC"/>
    <w:rsid w:val="00730C9B"/>
    <w:rsid w:val="00732269"/>
    <w:rsid w:val="00745CE1"/>
    <w:rsid w:val="00746A16"/>
    <w:rsid w:val="00752ED1"/>
    <w:rsid w:val="00754BD0"/>
    <w:rsid w:val="00761788"/>
    <w:rsid w:val="00764A6D"/>
    <w:rsid w:val="00772C9E"/>
    <w:rsid w:val="00781A9A"/>
    <w:rsid w:val="007825DC"/>
    <w:rsid w:val="00785ABD"/>
    <w:rsid w:val="00785B6F"/>
    <w:rsid w:val="00786D66"/>
    <w:rsid w:val="00787B49"/>
    <w:rsid w:val="00787E20"/>
    <w:rsid w:val="00787FAA"/>
    <w:rsid w:val="007A2DD4"/>
    <w:rsid w:val="007B4C26"/>
    <w:rsid w:val="007C3C4A"/>
    <w:rsid w:val="007D38B5"/>
    <w:rsid w:val="007D5B06"/>
    <w:rsid w:val="007E0D62"/>
    <w:rsid w:val="007E2737"/>
    <w:rsid w:val="007E5001"/>
    <w:rsid w:val="007E7EA0"/>
    <w:rsid w:val="007F1468"/>
    <w:rsid w:val="007F60B7"/>
    <w:rsid w:val="0080448C"/>
    <w:rsid w:val="00807255"/>
    <w:rsid w:val="0081023E"/>
    <w:rsid w:val="00810D01"/>
    <w:rsid w:val="008127B3"/>
    <w:rsid w:val="008155FC"/>
    <w:rsid w:val="008173AA"/>
    <w:rsid w:val="00820D95"/>
    <w:rsid w:val="008224D7"/>
    <w:rsid w:val="008237F0"/>
    <w:rsid w:val="00827A19"/>
    <w:rsid w:val="00832FFF"/>
    <w:rsid w:val="00833F46"/>
    <w:rsid w:val="008344E9"/>
    <w:rsid w:val="008367BF"/>
    <w:rsid w:val="00840A14"/>
    <w:rsid w:val="00842057"/>
    <w:rsid w:val="00843239"/>
    <w:rsid w:val="0086062A"/>
    <w:rsid w:val="00870731"/>
    <w:rsid w:val="008772FF"/>
    <w:rsid w:val="008778D4"/>
    <w:rsid w:val="0088535C"/>
    <w:rsid w:val="00885D86"/>
    <w:rsid w:val="008A311C"/>
    <w:rsid w:val="008A6F47"/>
    <w:rsid w:val="008B30E2"/>
    <w:rsid w:val="008B3CC4"/>
    <w:rsid w:val="008B62B4"/>
    <w:rsid w:val="008C0862"/>
    <w:rsid w:val="008D2BAD"/>
    <w:rsid w:val="008D2D7B"/>
    <w:rsid w:val="008D4FBA"/>
    <w:rsid w:val="008E0737"/>
    <w:rsid w:val="008E3524"/>
    <w:rsid w:val="008E536B"/>
    <w:rsid w:val="008E7859"/>
    <w:rsid w:val="008F5C60"/>
    <w:rsid w:val="008F6B62"/>
    <w:rsid w:val="008F71A8"/>
    <w:rsid w:val="008F7C2C"/>
    <w:rsid w:val="00922219"/>
    <w:rsid w:val="009237C8"/>
    <w:rsid w:val="009248A4"/>
    <w:rsid w:val="009265C0"/>
    <w:rsid w:val="00930FE0"/>
    <w:rsid w:val="00940E96"/>
    <w:rsid w:val="00943488"/>
    <w:rsid w:val="009551DC"/>
    <w:rsid w:val="00964684"/>
    <w:rsid w:val="009673A3"/>
    <w:rsid w:val="00970FB6"/>
    <w:rsid w:val="0097132A"/>
    <w:rsid w:val="009824BC"/>
    <w:rsid w:val="00991450"/>
    <w:rsid w:val="009932E2"/>
    <w:rsid w:val="00994843"/>
    <w:rsid w:val="00995A98"/>
    <w:rsid w:val="009A0879"/>
    <w:rsid w:val="009A1995"/>
    <w:rsid w:val="009A1EF8"/>
    <w:rsid w:val="009A3F4E"/>
    <w:rsid w:val="009A472F"/>
    <w:rsid w:val="009A61E0"/>
    <w:rsid w:val="009A6BFD"/>
    <w:rsid w:val="009B0BAE"/>
    <w:rsid w:val="009B4DBC"/>
    <w:rsid w:val="009B6817"/>
    <w:rsid w:val="009C1C89"/>
    <w:rsid w:val="009D0720"/>
    <w:rsid w:val="009D2D34"/>
    <w:rsid w:val="009E06CC"/>
    <w:rsid w:val="009E4598"/>
    <w:rsid w:val="009F115C"/>
    <w:rsid w:val="009F3273"/>
    <w:rsid w:val="009F332C"/>
    <w:rsid w:val="009F3448"/>
    <w:rsid w:val="00A01947"/>
    <w:rsid w:val="00A01CF9"/>
    <w:rsid w:val="00A050A0"/>
    <w:rsid w:val="00A0553E"/>
    <w:rsid w:val="00A105F3"/>
    <w:rsid w:val="00A10AB8"/>
    <w:rsid w:val="00A27160"/>
    <w:rsid w:val="00A34EE5"/>
    <w:rsid w:val="00A532B3"/>
    <w:rsid w:val="00A54360"/>
    <w:rsid w:val="00A62C65"/>
    <w:rsid w:val="00A6305E"/>
    <w:rsid w:val="00A6487C"/>
    <w:rsid w:val="00A712E3"/>
    <w:rsid w:val="00A71773"/>
    <w:rsid w:val="00A72A61"/>
    <w:rsid w:val="00A878E3"/>
    <w:rsid w:val="00A96494"/>
    <w:rsid w:val="00AA19CE"/>
    <w:rsid w:val="00AA2E9E"/>
    <w:rsid w:val="00AA6858"/>
    <w:rsid w:val="00AB1F11"/>
    <w:rsid w:val="00AC2667"/>
    <w:rsid w:val="00AC5B37"/>
    <w:rsid w:val="00AD1AFB"/>
    <w:rsid w:val="00AE2C85"/>
    <w:rsid w:val="00AE2F8A"/>
    <w:rsid w:val="00AE5BC3"/>
    <w:rsid w:val="00AF3A11"/>
    <w:rsid w:val="00B12A37"/>
    <w:rsid w:val="00B1303A"/>
    <w:rsid w:val="00B1766F"/>
    <w:rsid w:val="00B25B18"/>
    <w:rsid w:val="00B25E8F"/>
    <w:rsid w:val="00B31398"/>
    <w:rsid w:val="00B32FC7"/>
    <w:rsid w:val="00B41C02"/>
    <w:rsid w:val="00B43E79"/>
    <w:rsid w:val="00B63EF2"/>
    <w:rsid w:val="00B70FFD"/>
    <w:rsid w:val="00B77B8F"/>
    <w:rsid w:val="00B83CA0"/>
    <w:rsid w:val="00B856D0"/>
    <w:rsid w:val="00B8581E"/>
    <w:rsid w:val="00B93471"/>
    <w:rsid w:val="00BA71DB"/>
    <w:rsid w:val="00BA7D89"/>
    <w:rsid w:val="00BB1FAC"/>
    <w:rsid w:val="00BC0D39"/>
    <w:rsid w:val="00BC2C86"/>
    <w:rsid w:val="00BC7147"/>
    <w:rsid w:val="00BC7BC0"/>
    <w:rsid w:val="00BD2283"/>
    <w:rsid w:val="00BD57B7"/>
    <w:rsid w:val="00BD6390"/>
    <w:rsid w:val="00BD702B"/>
    <w:rsid w:val="00BD7967"/>
    <w:rsid w:val="00BE63E2"/>
    <w:rsid w:val="00BE705F"/>
    <w:rsid w:val="00BF0857"/>
    <w:rsid w:val="00BF1C19"/>
    <w:rsid w:val="00BF679B"/>
    <w:rsid w:val="00C0311E"/>
    <w:rsid w:val="00C07273"/>
    <w:rsid w:val="00C14F45"/>
    <w:rsid w:val="00C22779"/>
    <w:rsid w:val="00C23F27"/>
    <w:rsid w:val="00C24A79"/>
    <w:rsid w:val="00C33A4C"/>
    <w:rsid w:val="00C359E5"/>
    <w:rsid w:val="00C44047"/>
    <w:rsid w:val="00C661F5"/>
    <w:rsid w:val="00C701DB"/>
    <w:rsid w:val="00C71D23"/>
    <w:rsid w:val="00C90AA1"/>
    <w:rsid w:val="00C941E8"/>
    <w:rsid w:val="00C9489E"/>
    <w:rsid w:val="00CA0875"/>
    <w:rsid w:val="00CA57C6"/>
    <w:rsid w:val="00CB630D"/>
    <w:rsid w:val="00CC0B61"/>
    <w:rsid w:val="00CC1775"/>
    <w:rsid w:val="00CD2009"/>
    <w:rsid w:val="00CE36E4"/>
    <w:rsid w:val="00CF2A96"/>
    <w:rsid w:val="00CF629C"/>
    <w:rsid w:val="00CF6A93"/>
    <w:rsid w:val="00D07DB0"/>
    <w:rsid w:val="00D110A3"/>
    <w:rsid w:val="00D133F2"/>
    <w:rsid w:val="00D32548"/>
    <w:rsid w:val="00D3271D"/>
    <w:rsid w:val="00D37644"/>
    <w:rsid w:val="00D377E1"/>
    <w:rsid w:val="00D377E5"/>
    <w:rsid w:val="00D43ABC"/>
    <w:rsid w:val="00D44570"/>
    <w:rsid w:val="00D44ED3"/>
    <w:rsid w:val="00D46136"/>
    <w:rsid w:val="00D51B7D"/>
    <w:rsid w:val="00D572C0"/>
    <w:rsid w:val="00D57355"/>
    <w:rsid w:val="00D63795"/>
    <w:rsid w:val="00D6641E"/>
    <w:rsid w:val="00D7768A"/>
    <w:rsid w:val="00D81377"/>
    <w:rsid w:val="00D92EEA"/>
    <w:rsid w:val="00D93679"/>
    <w:rsid w:val="00D94F15"/>
    <w:rsid w:val="00D9696C"/>
    <w:rsid w:val="00DA0079"/>
    <w:rsid w:val="00DA5D4E"/>
    <w:rsid w:val="00DB05FA"/>
    <w:rsid w:val="00DB542B"/>
    <w:rsid w:val="00DB547D"/>
    <w:rsid w:val="00DD238F"/>
    <w:rsid w:val="00DF0CA8"/>
    <w:rsid w:val="00DF1AE8"/>
    <w:rsid w:val="00DF4BB8"/>
    <w:rsid w:val="00DF57B3"/>
    <w:rsid w:val="00E05127"/>
    <w:rsid w:val="00E12482"/>
    <w:rsid w:val="00E15103"/>
    <w:rsid w:val="00E176BA"/>
    <w:rsid w:val="00E217BC"/>
    <w:rsid w:val="00E2352A"/>
    <w:rsid w:val="00E2597F"/>
    <w:rsid w:val="00E27052"/>
    <w:rsid w:val="00E35849"/>
    <w:rsid w:val="00E41367"/>
    <w:rsid w:val="00E417DB"/>
    <w:rsid w:val="00E423EC"/>
    <w:rsid w:val="00E42E47"/>
    <w:rsid w:val="00E55121"/>
    <w:rsid w:val="00E5529E"/>
    <w:rsid w:val="00E624FF"/>
    <w:rsid w:val="00E749C5"/>
    <w:rsid w:val="00E75DFF"/>
    <w:rsid w:val="00E776A1"/>
    <w:rsid w:val="00E84984"/>
    <w:rsid w:val="00E8737B"/>
    <w:rsid w:val="00E91684"/>
    <w:rsid w:val="00E95701"/>
    <w:rsid w:val="00E97ADD"/>
    <w:rsid w:val="00EB4FCB"/>
    <w:rsid w:val="00EB54CB"/>
    <w:rsid w:val="00EC6BC5"/>
    <w:rsid w:val="00ED03B9"/>
    <w:rsid w:val="00ED1F0E"/>
    <w:rsid w:val="00ED4CAC"/>
    <w:rsid w:val="00ED4E80"/>
    <w:rsid w:val="00EE18E6"/>
    <w:rsid w:val="00EE4C70"/>
    <w:rsid w:val="00EF0848"/>
    <w:rsid w:val="00EF1DB8"/>
    <w:rsid w:val="00EF6025"/>
    <w:rsid w:val="00F12674"/>
    <w:rsid w:val="00F12F11"/>
    <w:rsid w:val="00F23FD1"/>
    <w:rsid w:val="00F3271A"/>
    <w:rsid w:val="00F35898"/>
    <w:rsid w:val="00F41CDF"/>
    <w:rsid w:val="00F4285B"/>
    <w:rsid w:val="00F45609"/>
    <w:rsid w:val="00F50817"/>
    <w:rsid w:val="00F5225B"/>
    <w:rsid w:val="00F54D92"/>
    <w:rsid w:val="00F567E4"/>
    <w:rsid w:val="00F662D0"/>
    <w:rsid w:val="00F704CB"/>
    <w:rsid w:val="00F74502"/>
    <w:rsid w:val="00F75658"/>
    <w:rsid w:val="00F96E87"/>
    <w:rsid w:val="00FA61F3"/>
    <w:rsid w:val="00FC39FB"/>
    <w:rsid w:val="00FC563E"/>
    <w:rsid w:val="00FD6077"/>
    <w:rsid w:val="00FD660A"/>
    <w:rsid w:val="00FD6EDA"/>
    <w:rsid w:val="00FD7FB2"/>
    <w:rsid w:val="00FE2870"/>
    <w:rsid w:val="00FE44B0"/>
    <w:rsid w:val="00FE5701"/>
    <w:rsid w:val="00FE577D"/>
    <w:rsid w:val="00FF1F9F"/>
    <w:rsid w:val="00FF7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61736"/>
  <w15:docId w15:val="{96052D36-F150-4A40-8F93-B50138A2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styleId="UnresolvedMention">
    <w:name w:val="Unresolved Mention"/>
    <w:basedOn w:val="DefaultParagraphFont"/>
    <w:uiPriority w:val="99"/>
    <w:semiHidden/>
    <w:unhideWhenUsed/>
    <w:rsid w:val="00C33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FHR14-C-0010/en" TargetMode="External"/><Relationship Id="rId18" Type="http://schemas.openxmlformats.org/officeDocument/2006/relationships/hyperlink" Target="https://www.itu.int/md/S22-CWGFHR15-C-0016/en" TargetMode="External"/><Relationship Id="rId26" Type="http://schemas.openxmlformats.org/officeDocument/2006/relationships/hyperlink" Target="https://www.itu.int/md/S22-CWGFHR15-C-0005/en" TargetMode="External"/><Relationship Id="rId39" Type="http://schemas.openxmlformats.org/officeDocument/2006/relationships/hyperlink" Target="https://www.itu.int/md/S22-CWGFHR15-C-0020/en" TargetMode="External"/><Relationship Id="rId3" Type="http://schemas.openxmlformats.org/officeDocument/2006/relationships/styles" Target="styles.xml"/><Relationship Id="rId21" Type="http://schemas.openxmlformats.org/officeDocument/2006/relationships/hyperlink" Target="https://www.itu.int/md/S21-CWGFHR14-C-0011/en" TargetMode="External"/><Relationship Id="rId34" Type="http://schemas.openxmlformats.org/officeDocument/2006/relationships/hyperlink" Target="https://www.itu.int/md/S22-CWGFHR15-C-0011/en" TargetMode="External"/><Relationship Id="rId42" Type="http://schemas.openxmlformats.org/officeDocument/2006/relationships/hyperlink" Target="https://www.itu.int/md/S22-CWGFHR15-C-0007/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2-CWGFHR15-C-0019/en" TargetMode="External"/><Relationship Id="rId17" Type="http://schemas.openxmlformats.org/officeDocument/2006/relationships/hyperlink" Target="https://www.itu.int/md/S22-CWGFHR15-C-0009/en" TargetMode="External"/><Relationship Id="rId25" Type="http://schemas.openxmlformats.org/officeDocument/2006/relationships/hyperlink" Target="https://www.itu.int/md/S21-CWGFHR14-INF-0001/en" TargetMode="External"/><Relationship Id="rId33" Type="http://schemas.openxmlformats.org/officeDocument/2006/relationships/hyperlink" Target="https://www.itu.int/md/S22-CWGFHR15-C-0010/en" TargetMode="External"/><Relationship Id="rId38" Type="http://schemas.openxmlformats.org/officeDocument/2006/relationships/hyperlink" Target="https://www.itu.int/md/S22-CWGFHR15-C-0013/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WGFHR14-C-0007/en" TargetMode="External"/><Relationship Id="rId20" Type="http://schemas.openxmlformats.org/officeDocument/2006/relationships/hyperlink" Target="https://www.itu.int/md/S21-CWGFHR14-C-0009/en" TargetMode="External"/><Relationship Id="rId29" Type="http://schemas.openxmlformats.org/officeDocument/2006/relationships/hyperlink" Target="https://www.itu.int/md/S21-CWGFHR14-C-0004/en" TargetMode="External"/><Relationship Id="rId41" Type="http://schemas.openxmlformats.org/officeDocument/2006/relationships/hyperlink" Target="https://www.itu.int/md/S22-CWGFHR15-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FHR14-C-0012/en" TargetMode="External"/><Relationship Id="rId24" Type="http://schemas.openxmlformats.org/officeDocument/2006/relationships/hyperlink" Target="https://www.itu.int/md/S21-CWGFHR14-C-0002/en" TargetMode="External"/><Relationship Id="rId32" Type="http://schemas.openxmlformats.org/officeDocument/2006/relationships/hyperlink" Target="https://www.itu.int/md/S22-CWGFHR15-C-0006/en" TargetMode="External"/><Relationship Id="rId37" Type="http://schemas.openxmlformats.org/officeDocument/2006/relationships/hyperlink" Target="https://www.itu.int/md/S21-CWGFHR14-C-0018/en" TargetMode="External"/><Relationship Id="rId40" Type="http://schemas.openxmlformats.org/officeDocument/2006/relationships/hyperlink" Target="https://www.itu.int/md/S22-CWGFHR15-C-0012/en" TargetMode="External"/><Relationship Id="rId45" Type="http://schemas.openxmlformats.org/officeDocument/2006/relationships/hyperlink" Target="https://www.itu.int/md/S22-CWGFHR15-C-0015/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WGFHR14-C-0006/en" TargetMode="External"/><Relationship Id="rId23" Type="http://schemas.openxmlformats.org/officeDocument/2006/relationships/hyperlink" Target="https://www.itu.int/md/S22-CWGFHR15-C-0014/en" TargetMode="External"/><Relationship Id="rId28" Type="http://schemas.openxmlformats.org/officeDocument/2006/relationships/hyperlink" Target="https://www.itu.int/md/S22-CWGFHR15-C-0004/en" TargetMode="External"/><Relationship Id="rId36" Type="http://schemas.openxmlformats.org/officeDocument/2006/relationships/hyperlink" Target="https://www.itu.int/md/S22-CWGFHR15-C-0021/en" TargetMode="External"/><Relationship Id="rId49" Type="http://schemas.openxmlformats.org/officeDocument/2006/relationships/footer" Target="footer2.xml"/><Relationship Id="rId10" Type="http://schemas.openxmlformats.org/officeDocument/2006/relationships/hyperlink" Target="https://www.itu.int/md/S19-CL-C-0142/en" TargetMode="External"/><Relationship Id="rId19" Type="http://schemas.openxmlformats.org/officeDocument/2006/relationships/hyperlink" Target="https://www.itu.int/md/S22-CWGFHR15-C-0008/en" TargetMode="External"/><Relationship Id="rId31" Type="http://schemas.openxmlformats.org/officeDocument/2006/relationships/hyperlink" Target="https://www.itu.int/md/S21-CWGFHR14-C-0004/en" TargetMode="External"/><Relationship Id="rId44" Type="http://schemas.openxmlformats.org/officeDocument/2006/relationships/hyperlink" Target="https://www.itu.int/md/S22-CWGFHR15-C-0017/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21-CL-C-0050/en" TargetMode="External"/><Relationship Id="rId14" Type="http://schemas.openxmlformats.org/officeDocument/2006/relationships/hyperlink" Target="https://www.itu.int/md/S21-CL-C-0054/en" TargetMode="External"/><Relationship Id="rId22" Type="http://schemas.openxmlformats.org/officeDocument/2006/relationships/hyperlink" Target="https://www.itu.int/md/S22-CWGFHR15-C-0003/en" TargetMode="External"/><Relationship Id="rId27" Type="http://schemas.openxmlformats.org/officeDocument/2006/relationships/hyperlink" Target="https://www.itu.int/md/S21-CWGFHR14-C-0003/en" TargetMode="External"/><Relationship Id="rId30" Type="http://schemas.openxmlformats.org/officeDocument/2006/relationships/hyperlink" Target="https://www.itu.int/md/S22-CWGFHR15-C-0006/en" TargetMode="External"/><Relationship Id="rId35" Type="http://schemas.openxmlformats.org/officeDocument/2006/relationships/hyperlink" Target="https://www.itu.int/md/S22-CWGFHR15-C-0010/en" TargetMode="External"/><Relationship Id="rId43" Type="http://schemas.openxmlformats.org/officeDocument/2006/relationships/hyperlink" Target="https://www.itu.int/md/S22-CWGFHR15-C-0018/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5BE4-ACB1-4582-9675-CA1E9A22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PR_C22.dotx</Template>
  <TotalTime>1</TotalTime>
  <Pages>20</Pages>
  <Words>7549</Words>
  <Characters>55407</Characters>
  <Application>Microsoft Office Word</Application>
  <DocSecurity>4</DocSecurity>
  <Lines>461</Lines>
  <Paragraphs>125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62831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2022</dc:subject>
  <dc:creator>Rudometova, Alisa</dc:creator>
  <cp:keywords>C2022, C22, Council-22</cp:keywords>
  <dc:description/>
  <cp:lastModifiedBy>Xue, Kun</cp:lastModifiedBy>
  <cp:revision>2</cp:revision>
  <cp:lastPrinted>2006-03-28T16:12:00Z</cp:lastPrinted>
  <dcterms:created xsi:type="dcterms:W3CDTF">2022-03-20T07:47:00Z</dcterms:created>
  <dcterms:modified xsi:type="dcterms:W3CDTF">2022-03-20T07:47:00Z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