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0250B">
            <w:pPr>
              <w:spacing w:before="360" w:after="48"/>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B0250B">
            <w:pPr>
              <w:spacing w:before="0"/>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B0250B">
            <w:pPr>
              <w:spacing w:before="0"/>
              <w:rPr>
                <w:b/>
                <w:smallCaps/>
                <w:szCs w:val="24"/>
              </w:rPr>
            </w:pPr>
          </w:p>
        </w:tc>
        <w:tc>
          <w:tcPr>
            <w:tcW w:w="3120" w:type="dxa"/>
            <w:tcBorders>
              <w:bottom w:val="single" w:sz="12" w:space="0" w:color="auto"/>
            </w:tcBorders>
          </w:tcPr>
          <w:p w14:paraId="76506FC1" w14:textId="77777777" w:rsidR="002A2188" w:rsidRPr="00813E5E" w:rsidRDefault="002A2188" w:rsidP="00B0250B">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B0250B">
            <w:pPr>
              <w:spacing w:before="0"/>
              <w:rPr>
                <w:b/>
                <w:smallCaps/>
                <w:szCs w:val="24"/>
              </w:rPr>
            </w:pPr>
          </w:p>
        </w:tc>
        <w:tc>
          <w:tcPr>
            <w:tcW w:w="3120" w:type="dxa"/>
            <w:tcBorders>
              <w:top w:val="single" w:sz="12" w:space="0" w:color="auto"/>
            </w:tcBorders>
          </w:tcPr>
          <w:p w14:paraId="49C653C0" w14:textId="77777777" w:rsidR="002A2188" w:rsidRPr="00813E5E" w:rsidRDefault="002A2188" w:rsidP="00B0250B">
            <w:pPr>
              <w:spacing w:before="0"/>
              <w:rPr>
                <w:szCs w:val="24"/>
              </w:rPr>
            </w:pPr>
          </w:p>
        </w:tc>
      </w:tr>
      <w:tr w:rsidR="002A2188" w:rsidRPr="00813E5E" w14:paraId="15B0AE9E" w14:textId="77777777" w:rsidTr="00464B6C">
        <w:trPr>
          <w:cantSplit/>
          <w:trHeight w:val="23"/>
        </w:trPr>
        <w:tc>
          <w:tcPr>
            <w:tcW w:w="6911" w:type="dxa"/>
            <w:vMerge w:val="restart"/>
          </w:tcPr>
          <w:p w14:paraId="6F107B8A" w14:textId="1E4914F1" w:rsidR="002A2188" w:rsidRPr="00E85629" w:rsidRDefault="0014634F" w:rsidP="00B0250B">
            <w:pPr>
              <w:tabs>
                <w:tab w:val="left" w:pos="851"/>
              </w:tabs>
              <w:spacing w:before="0"/>
              <w:rPr>
                <w:b/>
              </w:rPr>
            </w:pPr>
            <w:bookmarkStart w:id="3" w:name="dmeeting" w:colFirst="0" w:colLast="0"/>
            <w:bookmarkStart w:id="4" w:name="dnum" w:colFirst="1" w:colLast="1"/>
            <w:r>
              <w:rPr>
                <w:b/>
              </w:rPr>
              <w:t>Agenda item:</w:t>
            </w:r>
            <w:r w:rsidR="00FA282A">
              <w:rPr>
                <w:b/>
              </w:rPr>
              <w:t xml:space="preserve"> </w:t>
            </w:r>
            <w:r w:rsidR="00FA282A" w:rsidRPr="0013767A">
              <w:rPr>
                <w:b/>
              </w:rPr>
              <w:t xml:space="preserve">ADM </w:t>
            </w:r>
            <w:r w:rsidR="0013767A" w:rsidRPr="0013767A">
              <w:rPr>
                <w:b/>
              </w:rPr>
              <w:t>17</w:t>
            </w:r>
          </w:p>
        </w:tc>
        <w:tc>
          <w:tcPr>
            <w:tcW w:w="3120" w:type="dxa"/>
          </w:tcPr>
          <w:p w14:paraId="66604129" w14:textId="591EF887" w:rsidR="002A2188" w:rsidRPr="00E85629" w:rsidRDefault="002A2188" w:rsidP="00B0250B">
            <w:pPr>
              <w:tabs>
                <w:tab w:val="left" w:pos="851"/>
              </w:tabs>
              <w:spacing w:before="0"/>
              <w:rPr>
                <w:b/>
              </w:rPr>
            </w:pPr>
            <w:r>
              <w:rPr>
                <w:b/>
              </w:rPr>
              <w:t>Document C</w:t>
            </w:r>
            <w:r w:rsidR="004A1B8B">
              <w:rPr>
                <w:b/>
              </w:rPr>
              <w:t>2</w:t>
            </w:r>
            <w:r w:rsidR="0014634F">
              <w:rPr>
                <w:b/>
              </w:rPr>
              <w:t>2</w:t>
            </w:r>
            <w:r>
              <w:rPr>
                <w:b/>
              </w:rPr>
              <w:t>/</w:t>
            </w:r>
            <w:r w:rsidR="00DB558A">
              <w:rPr>
                <w:b/>
              </w:rPr>
              <w:t>48</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B0250B">
            <w:pPr>
              <w:tabs>
                <w:tab w:val="left" w:pos="851"/>
              </w:tabs>
              <w:spacing w:before="0"/>
              <w:rPr>
                <w:b/>
              </w:rPr>
            </w:pPr>
            <w:bookmarkStart w:id="5" w:name="ddate" w:colFirst="1" w:colLast="1"/>
            <w:bookmarkEnd w:id="3"/>
            <w:bookmarkEnd w:id="4"/>
          </w:p>
        </w:tc>
        <w:tc>
          <w:tcPr>
            <w:tcW w:w="3120" w:type="dxa"/>
          </w:tcPr>
          <w:p w14:paraId="2B0CDBEF" w14:textId="27160B0D" w:rsidR="002A2188" w:rsidRPr="00E85629" w:rsidRDefault="00DB558A" w:rsidP="00B0250B">
            <w:pPr>
              <w:tabs>
                <w:tab w:val="left" w:pos="993"/>
              </w:tabs>
              <w:spacing w:before="0"/>
              <w:rPr>
                <w:b/>
              </w:rPr>
            </w:pPr>
            <w:r>
              <w:rPr>
                <w:b/>
              </w:rPr>
              <w:t>22 December 2021</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B0250B">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B0250B">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77BCB0CF" w:rsidR="002A2188" w:rsidRPr="00813E5E" w:rsidRDefault="00B0250B" w:rsidP="00464B6C">
            <w:pPr>
              <w:pStyle w:val="Source"/>
            </w:pPr>
            <w:bookmarkStart w:id="7" w:name="dsource" w:colFirst="0" w:colLast="0"/>
            <w:bookmarkEnd w:id="6"/>
            <w:r>
              <w:t xml:space="preserve">Contribution by </w:t>
            </w:r>
            <w:r w:rsidR="00967E6C">
              <w:t>MSAG Chairperson</w:t>
            </w:r>
          </w:p>
        </w:tc>
      </w:tr>
      <w:tr w:rsidR="002A2188" w:rsidRPr="00813E5E" w14:paraId="5B5E8CC5" w14:textId="77777777" w:rsidTr="00464B6C">
        <w:trPr>
          <w:cantSplit/>
        </w:trPr>
        <w:tc>
          <w:tcPr>
            <w:tcW w:w="10031" w:type="dxa"/>
            <w:gridSpan w:val="2"/>
          </w:tcPr>
          <w:p w14:paraId="3689B12B" w14:textId="1643824B" w:rsidR="002A2188" w:rsidRPr="00813E5E" w:rsidRDefault="003947AC" w:rsidP="00464B6C">
            <w:pPr>
              <w:pStyle w:val="Title1"/>
            </w:pPr>
            <w:bookmarkStart w:id="8" w:name="dtitle1" w:colFirst="0" w:colLast="0"/>
            <w:bookmarkEnd w:id="7"/>
            <w:r w:rsidRPr="000C4C1E">
              <w:rPr>
                <w:szCs w:val="28"/>
              </w:rPr>
              <w:t xml:space="preserve">SUMMARY REPORT ON THE WORK OF THE MEMBER STATES ADVISORY GROUP </w:t>
            </w:r>
            <w:r w:rsidRPr="000C4C1E">
              <w:rPr>
                <w:szCs w:val="28"/>
              </w:rPr>
              <w:br/>
              <w:t>ON THE UNION’S HEADQUARTERS PREMISES PROJECT</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34E38646" w14:textId="34AF8549" w:rsidR="002A2188" w:rsidRPr="001636A8" w:rsidRDefault="001636A8" w:rsidP="001636A8">
            <w:pPr>
              <w:spacing w:after="120"/>
              <w:jc w:val="both"/>
              <w:rPr>
                <w:rFonts w:asciiTheme="minorHAnsi" w:hAnsiTheme="minorHAnsi"/>
              </w:rPr>
            </w:pPr>
            <w:r w:rsidRPr="00FE7CFF">
              <w:rPr>
                <w:rFonts w:asciiTheme="minorHAnsi" w:hAnsiTheme="minorHAnsi"/>
              </w:rPr>
              <w:t>This document presents a summary report on the work of the Member States Advisory Group on the Union’s headquarters premises project (MSAG)</w:t>
            </w:r>
            <w:r>
              <w:rPr>
                <w:rFonts w:asciiTheme="minorHAnsi" w:hAnsiTheme="minorHAnsi"/>
              </w:rPr>
              <w:t xml:space="preserve"> since last reported to the Council</w:t>
            </w:r>
            <w:r w:rsidRPr="00FE7CFF">
              <w:rPr>
                <w:rFonts w:asciiTheme="minorHAnsi" w:hAnsiTheme="minorHAnsi"/>
              </w:rPr>
              <w:t>.</w:t>
            </w:r>
          </w:p>
          <w:p w14:paraId="17A30379" w14:textId="77777777" w:rsidR="002A2188" w:rsidRPr="00813E5E" w:rsidRDefault="002A2188" w:rsidP="00464B6C">
            <w:pPr>
              <w:pStyle w:val="Headingb"/>
            </w:pPr>
            <w:r w:rsidRPr="00813E5E">
              <w:t>Action required</w:t>
            </w:r>
          </w:p>
          <w:p w14:paraId="63C8FCD7" w14:textId="6B173713" w:rsidR="002A2188" w:rsidRPr="00547475" w:rsidRDefault="00547475" w:rsidP="00547475">
            <w:pPr>
              <w:spacing w:after="120"/>
              <w:jc w:val="both"/>
              <w:rPr>
                <w:rFonts w:asciiTheme="minorHAnsi" w:hAnsiTheme="minorHAnsi"/>
              </w:rPr>
            </w:pPr>
            <w:r w:rsidRPr="00FE7CFF">
              <w:rPr>
                <w:rFonts w:asciiTheme="minorHAnsi" w:hAnsiTheme="minorHAnsi"/>
              </w:rPr>
              <w:t xml:space="preserve">The Council is invited to </w:t>
            </w:r>
            <w:r w:rsidRPr="00FE7CFF">
              <w:rPr>
                <w:rFonts w:asciiTheme="minorHAnsi" w:hAnsiTheme="minorHAnsi"/>
                <w:b/>
                <w:bCs/>
              </w:rPr>
              <w:t>take note</w:t>
            </w:r>
            <w:r w:rsidRPr="00FE7CFF">
              <w:rPr>
                <w:rFonts w:asciiTheme="minorHAnsi" w:hAnsiTheme="minorHAnsi"/>
              </w:rPr>
              <w:t xml:space="preserve"> of the report and </w:t>
            </w:r>
            <w:r w:rsidRPr="00FE7CFF">
              <w:rPr>
                <w:rFonts w:asciiTheme="minorHAnsi" w:hAnsiTheme="minorHAnsi"/>
                <w:b/>
              </w:rPr>
              <w:t>provide any further guidance</w:t>
            </w:r>
            <w:r w:rsidRPr="00FE7CFF">
              <w:rPr>
                <w:rFonts w:asciiTheme="minorHAnsi" w:hAnsiTheme="minorHAnsi"/>
              </w:rPr>
              <w:t xml:space="preserve"> as appropriate.</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614A95B1" w:rsidR="002A2188" w:rsidRPr="00E332ED" w:rsidRDefault="00096224" w:rsidP="003508F0">
            <w:pPr>
              <w:spacing w:after="120"/>
              <w:rPr>
                <w:i/>
                <w:iCs/>
              </w:rPr>
            </w:pPr>
            <w:hyperlink r:id="rId12" w:history="1">
              <w:r w:rsidR="00E332ED" w:rsidRPr="00E332ED">
                <w:rPr>
                  <w:rStyle w:val="Hyperlink"/>
                  <w:rFonts w:asciiTheme="minorHAnsi" w:hAnsiTheme="minorHAnsi"/>
                  <w:bCs/>
                  <w:i/>
                  <w:iCs/>
                </w:rPr>
                <w:t>Council Decision 588</w:t>
              </w:r>
            </w:hyperlink>
            <w:r w:rsidR="00E332ED" w:rsidRPr="00E332ED">
              <w:rPr>
                <w:rFonts w:asciiTheme="minorHAnsi" w:hAnsiTheme="minorHAnsi"/>
                <w:bCs/>
                <w:i/>
                <w:iCs/>
              </w:rPr>
              <w:t xml:space="preserve">, </w:t>
            </w:r>
            <w:hyperlink r:id="rId13" w:history="1">
              <w:r w:rsidR="00E332ED" w:rsidRPr="00E332ED">
                <w:rPr>
                  <w:rStyle w:val="Hyperlink"/>
                  <w:rFonts w:asciiTheme="minorHAnsi" w:hAnsiTheme="minorHAnsi"/>
                  <w:bCs/>
                  <w:i/>
                  <w:iCs/>
                </w:rPr>
                <w:t>Council Decision 619</w:t>
              </w:r>
            </w:hyperlink>
            <w:r w:rsidR="00E332ED" w:rsidRPr="00E332ED">
              <w:rPr>
                <w:rFonts w:asciiTheme="minorHAnsi" w:hAnsiTheme="minorHAnsi"/>
                <w:bCs/>
                <w:i/>
                <w:iCs/>
              </w:rPr>
              <w:t xml:space="preserve">, </w:t>
            </w:r>
            <w:hyperlink r:id="rId14" w:history="1">
              <w:r w:rsidR="00E332ED" w:rsidRPr="00E332ED">
                <w:rPr>
                  <w:rStyle w:val="Hyperlink"/>
                  <w:rFonts w:asciiTheme="minorHAnsi" w:hAnsiTheme="minorHAnsi"/>
                  <w:bCs/>
                  <w:i/>
                  <w:iCs/>
                </w:rPr>
                <w:t>Resolution 212 (Dubai, 2018)</w:t>
              </w:r>
            </w:hyperlink>
            <w:r w:rsidR="00E332ED" w:rsidRPr="00E332ED">
              <w:rPr>
                <w:rStyle w:val="Hyperlink"/>
                <w:rFonts w:asciiTheme="minorHAnsi" w:hAnsiTheme="minorHAnsi"/>
                <w:bCs/>
                <w:i/>
                <w:iCs/>
                <w:color w:val="auto"/>
                <w:u w:val="none"/>
              </w:rPr>
              <w:t xml:space="preserve">, </w:t>
            </w:r>
            <w:hyperlink r:id="rId15" w:history="1">
              <w:r w:rsidR="00E332ED" w:rsidRPr="00E332ED">
                <w:rPr>
                  <w:rStyle w:val="Hyperlink"/>
                  <w:rFonts w:asciiTheme="minorHAnsi" w:hAnsiTheme="minorHAnsi"/>
                  <w:bCs/>
                  <w:i/>
                  <w:iCs/>
                </w:rPr>
                <w:t>C19/48</w:t>
              </w:r>
            </w:hyperlink>
            <w:r w:rsidR="00E332ED" w:rsidRPr="00E332ED">
              <w:rPr>
                <w:rStyle w:val="Hyperlink"/>
                <w:rFonts w:asciiTheme="minorHAnsi" w:hAnsiTheme="minorHAnsi"/>
                <w:bCs/>
                <w:i/>
                <w:iCs/>
                <w:u w:val="none"/>
              </w:rPr>
              <w:t xml:space="preserve">, </w:t>
            </w:r>
            <w:hyperlink r:id="rId16" w:history="1">
              <w:r w:rsidR="00E332ED" w:rsidRPr="00E332ED">
                <w:rPr>
                  <w:rStyle w:val="Hyperlink"/>
                  <w:rFonts w:asciiTheme="minorHAnsi" w:hAnsiTheme="minorHAnsi"/>
                  <w:bCs/>
                  <w:i/>
                  <w:iCs/>
                </w:rPr>
                <w:t>C20/48</w:t>
              </w:r>
            </w:hyperlink>
            <w:r w:rsidR="006E4C40" w:rsidRPr="006E4C40">
              <w:rPr>
                <w:rStyle w:val="Hyperlink"/>
                <w:rFonts w:asciiTheme="minorHAnsi" w:hAnsiTheme="minorHAnsi"/>
                <w:bCs/>
                <w:u w:val="none"/>
              </w:rPr>
              <w:t xml:space="preserve">, </w:t>
            </w:r>
            <w:hyperlink r:id="rId17" w:history="1">
              <w:r w:rsidR="006E4C40" w:rsidRPr="00872BEE">
                <w:rPr>
                  <w:rStyle w:val="Hyperlink"/>
                  <w:rFonts w:asciiTheme="minorHAnsi" w:hAnsiTheme="minorHAnsi"/>
                  <w:bCs/>
                  <w:i/>
                  <w:iCs/>
                </w:rPr>
                <w:t>C21/48</w:t>
              </w:r>
            </w:hyperlink>
          </w:p>
        </w:tc>
      </w:tr>
    </w:tbl>
    <w:p w14:paraId="1A1BD434" w14:textId="77777777" w:rsidR="00881FA1" w:rsidRDefault="00881FA1" w:rsidP="00881FA1">
      <w:pPr>
        <w:pStyle w:val="Normalaftertitle"/>
        <w:tabs>
          <w:tab w:val="clear" w:pos="567"/>
          <w:tab w:val="clear" w:pos="1134"/>
          <w:tab w:val="clear" w:pos="1701"/>
          <w:tab w:val="clear" w:pos="2268"/>
          <w:tab w:val="clear" w:pos="2835"/>
        </w:tabs>
        <w:snapToGrid w:val="0"/>
        <w:spacing w:before="600" w:after="120"/>
        <w:jc w:val="both"/>
        <w:rPr>
          <w:rFonts w:asciiTheme="minorHAnsi" w:hAnsiTheme="minorHAnsi"/>
          <w:b/>
          <w:bCs/>
          <w:color w:val="000000" w:themeColor="text1"/>
        </w:rPr>
      </w:pPr>
      <w:bookmarkStart w:id="9" w:name="dstart"/>
      <w:bookmarkStart w:id="10" w:name="dbreak"/>
      <w:bookmarkEnd w:id="9"/>
      <w:bookmarkEnd w:id="10"/>
      <w:r w:rsidRPr="00FE7CFF">
        <w:rPr>
          <w:rFonts w:asciiTheme="minorHAnsi" w:hAnsiTheme="minorHAnsi"/>
          <w:b/>
          <w:bCs/>
          <w:color w:val="000000" w:themeColor="text1"/>
        </w:rPr>
        <w:t>1.</w:t>
      </w:r>
      <w:r w:rsidRPr="00FE7CFF">
        <w:rPr>
          <w:rFonts w:asciiTheme="minorHAnsi" w:hAnsiTheme="minorHAnsi"/>
          <w:b/>
          <w:bCs/>
          <w:color w:val="000000" w:themeColor="text1"/>
        </w:rPr>
        <w:tab/>
      </w:r>
      <w:r>
        <w:rPr>
          <w:rFonts w:asciiTheme="minorHAnsi" w:hAnsiTheme="minorHAnsi"/>
          <w:b/>
          <w:bCs/>
          <w:color w:val="000000" w:themeColor="text1"/>
        </w:rPr>
        <w:t>Summary of recent MSAG meetings</w:t>
      </w:r>
    </w:p>
    <w:p w14:paraId="7A5D235A" w14:textId="18738607" w:rsidR="001019F3" w:rsidRPr="007E1449" w:rsidRDefault="001019F3" w:rsidP="001019F3">
      <w:pPr>
        <w:spacing w:after="120"/>
        <w:jc w:val="both"/>
        <w:rPr>
          <w:rFonts w:asciiTheme="minorHAnsi" w:hAnsiTheme="minorHAnsi" w:cstheme="minorHAnsi"/>
        </w:rPr>
      </w:pPr>
      <w:r w:rsidRPr="007E1449">
        <w:rPr>
          <w:rFonts w:asciiTheme="minorHAnsi" w:hAnsiTheme="minorHAnsi"/>
        </w:rPr>
        <w:t xml:space="preserve">Since the </w:t>
      </w:r>
      <w:r>
        <w:rPr>
          <w:rFonts w:asciiTheme="minorHAnsi" w:hAnsiTheme="minorHAnsi"/>
        </w:rPr>
        <w:t xml:space="preserve">report to the </w:t>
      </w:r>
      <w:r w:rsidR="00D23BA0">
        <w:rPr>
          <w:rFonts w:asciiTheme="minorHAnsi" w:hAnsiTheme="minorHAnsi"/>
        </w:rPr>
        <w:t>June</w:t>
      </w:r>
      <w:r>
        <w:rPr>
          <w:rFonts w:asciiTheme="minorHAnsi" w:hAnsiTheme="minorHAnsi"/>
        </w:rPr>
        <w:t xml:space="preserve"> 202</w:t>
      </w:r>
      <w:r w:rsidR="00D23BA0">
        <w:rPr>
          <w:rFonts w:asciiTheme="minorHAnsi" w:hAnsiTheme="minorHAnsi"/>
        </w:rPr>
        <w:t>1</w:t>
      </w:r>
      <w:r w:rsidRPr="007E1449">
        <w:rPr>
          <w:rFonts w:asciiTheme="minorHAnsi" w:hAnsiTheme="minorHAnsi"/>
        </w:rPr>
        <w:t xml:space="preserve"> </w:t>
      </w:r>
      <w:r w:rsidR="000574FD">
        <w:rPr>
          <w:rFonts w:asciiTheme="minorHAnsi" w:hAnsiTheme="minorHAnsi"/>
        </w:rPr>
        <w:t>meeting</w:t>
      </w:r>
      <w:r w:rsidR="000574FD" w:rsidRPr="007E1449">
        <w:rPr>
          <w:rFonts w:asciiTheme="minorHAnsi" w:hAnsiTheme="minorHAnsi"/>
        </w:rPr>
        <w:t xml:space="preserve"> </w:t>
      </w:r>
      <w:r w:rsidRPr="007E1449">
        <w:rPr>
          <w:rFonts w:asciiTheme="minorHAnsi" w:hAnsiTheme="minorHAnsi"/>
        </w:rPr>
        <w:t>of the</w:t>
      </w:r>
      <w:r>
        <w:rPr>
          <w:rFonts w:asciiTheme="minorHAnsi" w:hAnsiTheme="minorHAnsi"/>
        </w:rPr>
        <w:t xml:space="preserve"> Virtual consultation of</w:t>
      </w:r>
      <w:r w:rsidRPr="007E1449">
        <w:rPr>
          <w:rFonts w:asciiTheme="minorHAnsi" w:hAnsiTheme="minorHAnsi"/>
        </w:rPr>
        <w:t xml:space="preserve"> </w:t>
      </w:r>
      <w:r>
        <w:rPr>
          <w:rFonts w:asciiTheme="minorHAnsi" w:hAnsiTheme="minorHAnsi"/>
        </w:rPr>
        <w:t>c</w:t>
      </w:r>
      <w:r w:rsidRPr="007E1449">
        <w:rPr>
          <w:rFonts w:asciiTheme="minorHAnsi" w:hAnsiTheme="minorHAnsi"/>
        </w:rPr>
        <w:t>ouncil</w:t>
      </w:r>
      <w:r>
        <w:rPr>
          <w:rFonts w:asciiTheme="minorHAnsi" w:hAnsiTheme="minorHAnsi"/>
        </w:rPr>
        <w:t xml:space="preserve">lors in </w:t>
      </w:r>
      <w:hyperlink r:id="rId18" w:history="1">
        <w:r w:rsidR="00D23BA0" w:rsidRPr="00D23BA0">
          <w:rPr>
            <w:rStyle w:val="Hyperlink"/>
            <w:rFonts w:asciiTheme="minorHAnsi" w:hAnsiTheme="minorHAnsi"/>
            <w:bCs/>
          </w:rPr>
          <w:t>C21/48</w:t>
        </w:r>
      </w:hyperlink>
      <w:r w:rsidRPr="007E1449">
        <w:rPr>
          <w:rFonts w:asciiTheme="minorHAnsi" w:hAnsiTheme="minorHAnsi"/>
        </w:rPr>
        <w:t xml:space="preserve">, there have been </w:t>
      </w:r>
      <w:r>
        <w:rPr>
          <w:rFonts w:asciiTheme="minorHAnsi" w:hAnsiTheme="minorHAnsi"/>
        </w:rPr>
        <w:t>two</w:t>
      </w:r>
      <w:r w:rsidRPr="007E1449">
        <w:rPr>
          <w:rFonts w:asciiTheme="minorHAnsi" w:hAnsiTheme="minorHAnsi"/>
        </w:rPr>
        <w:t xml:space="preserve"> meetings of the Member States </w:t>
      </w:r>
      <w:r w:rsidRPr="00C61001">
        <w:rPr>
          <w:rFonts w:asciiTheme="minorHAnsi" w:hAnsiTheme="minorHAnsi"/>
          <w:spacing w:val="-4"/>
        </w:rPr>
        <w:t xml:space="preserve">Advisory Group on the Union’s headquarters premises project (MSAG). </w:t>
      </w:r>
      <w:r>
        <w:rPr>
          <w:rFonts w:asciiTheme="minorHAnsi" w:hAnsiTheme="minorHAnsi"/>
          <w:spacing w:val="-4"/>
        </w:rPr>
        <w:t>These</w:t>
      </w:r>
      <w:r>
        <w:rPr>
          <w:rFonts w:asciiTheme="minorHAnsi" w:hAnsiTheme="minorHAnsi"/>
          <w:spacing w:val="-2"/>
        </w:rPr>
        <w:t xml:space="preserve"> were</w:t>
      </w:r>
      <w:r w:rsidRPr="00C61001">
        <w:rPr>
          <w:rFonts w:asciiTheme="minorHAnsi" w:hAnsiTheme="minorHAnsi"/>
          <w:spacing w:val="-2"/>
        </w:rPr>
        <w:t xml:space="preserve"> virtual meeting</w:t>
      </w:r>
      <w:r>
        <w:rPr>
          <w:rFonts w:asciiTheme="minorHAnsi" w:hAnsiTheme="minorHAnsi"/>
          <w:spacing w:val="-2"/>
        </w:rPr>
        <w:t>s</w:t>
      </w:r>
      <w:r w:rsidRPr="00C61001">
        <w:rPr>
          <w:rFonts w:asciiTheme="minorHAnsi" w:hAnsiTheme="minorHAnsi"/>
          <w:spacing w:val="-2"/>
        </w:rPr>
        <w:t xml:space="preserve"> on </w:t>
      </w:r>
      <w:r>
        <w:rPr>
          <w:rFonts w:asciiTheme="minorHAnsi" w:hAnsiTheme="minorHAnsi"/>
          <w:spacing w:val="-2"/>
        </w:rPr>
        <w:t>1</w:t>
      </w:r>
      <w:r w:rsidR="00766CEB">
        <w:rPr>
          <w:rFonts w:asciiTheme="minorHAnsi" w:hAnsiTheme="minorHAnsi"/>
          <w:spacing w:val="-2"/>
        </w:rPr>
        <w:t>4</w:t>
      </w:r>
      <w:r>
        <w:rPr>
          <w:rFonts w:asciiTheme="minorHAnsi" w:hAnsiTheme="minorHAnsi"/>
          <w:spacing w:val="-2"/>
        </w:rPr>
        <w:t xml:space="preserve"> </w:t>
      </w:r>
      <w:r w:rsidR="00766CEB">
        <w:rPr>
          <w:rFonts w:asciiTheme="minorHAnsi" w:hAnsiTheme="minorHAnsi"/>
          <w:spacing w:val="-2"/>
        </w:rPr>
        <w:t>Sept</w:t>
      </w:r>
      <w:r>
        <w:rPr>
          <w:rFonts w:asciiTheme="minorHAnsi" w:hAnsiTheme="minorHAnsi"/>
          <w:spacing w:val="-2"/>
        </w:rPr>
        <w:t>ember</w:t>
      </w:r>
      <w:r w:rsidRPr="00C61001">
        <w:rPr>
          <w:rFonts w:asciiTheme="minorHAnsi" w:hAnsiTheme="minorHAnsi"/>
          <w:spacing w:val="-2"/>
        </w:rPr>
        <w:t xml:space="preserve"> 202</w:t>
      </w:r>
      <w:r w:rsidR="00766CEB">
        <w:rPr>
          <w:rFonts w:asciiTheme="minorHAnsi" w:hAnsiTheme="minorHAnsi"/>
          <w:spacing w:val="-2"/>
        </w:rPr>
        <w:t xml:space="preserve">1 </w:t>
      </w:r>
      <w:r>
        <w:rPr>
          <w:rFonts w:asciiTheme="minorHAnsi" w:hAnsiTheme="minorHAnsi"/>
          <w:spacing w:val="-2"/>
        </w:rPr>
        <w:t xml:space="preserve">and </w:t>
      </w:r>
      <w:r w:rsidR="00766CEB">
        <w:rPr>
          <w:rFonts w:asciiTheme="minorHAnsi" w:hAnsiTheme="minorHAnsi"/>
          <w:spacing w:val="-2"/>
        </w:rPr>
        <w:t>1</w:t>
      </w:r>
      <w:r w:rsidR="00A923C5">
        <w:rPr>
          <w:rFonts w:asciiTheme="minorHAnsi" w:hAnsiTheme="minorHAnsi"/>
          <w:spacing w:val="-2"/>
        </w:rPr>
        <w:t>5</w:t>
      </w:r>
      <w:r>
        <w:rPr>
          <w:rFonts w:asciiTheme="minorHAnsi" w:hAnsiTheme="minorHAnsi"/>
          <w:spacing w:val="-2"/>
        </w:rPr>
        <w:t xml:space="preserve"> </w:t>
      </w:r>
      <w:r w:rsidR="00766CEB">
        <w:rPr>
          <w:rFonts w:asciiTheme="minorHAnsi" w:hAnsiTheme="minorHAnsi"/>
          <w:spacing w:val="-2"/>
        </w:rPr>
        <w:t>December</w:t>
      </w:r>
      <w:r>
        <w:rPr>
          <w:rFonts w:asciiTheme="minorHAnsi" w:hAnsiTheme="minorHAnsi"/>
          <w:spacing w:val="-2"/>
        </w:rPr>
        <w:t xml:space="preserve"> 2021</w:t>
      </w:r>
      <w:r w:rsidRPr="00C61001">
        <w:rPr>
          <w:rFonts w:asciiTheme="minorHAnsi" w:hAnsiTheme="minorHAnsi"/>
          <w:spacing w:val="-2"/>
        </w:rPr>
        <w:t>,</w:t>
      </w:r>
      <w:r w:rsidRPr="007E1449">
        <w:rPr>
          <w:rFonts w:asciiTheme="minorHAnsi" w:hAnsiTheme="minorHAnsi"/>
        </w:rPr>
        <w:t xml:space="preserve"> with Mr</w:t>
      </w:r>
      <w:r w:rsidR="00DB558A">
        <w:rPr>
          <w:rFonts w:asciiTheme="minorHAnsi" w:hAnsiTheme="minorHAnsi"/>
        </w:rPr>
        <w:t> </w:t>
      </w:r>
      <w:r w:rsidRPr="007E1449">
        <w:rPr>
          <w:rFonts w:asciiTheme="minorHAnsi" w:hAnsiTheme="minorHAnsi"/>
        </w:rPr>
        <w:t xml:space="preserve">Greg Ratta (USA) as </w:t>
      </w:r>
      <w:r>
        <w:rPr>
          <w:rFonts w:asciiTheme="minorHAnsi" w:hAnsiTheme="minorHAnsi"/>
        </w:rPr>
        <w:t>c</w:t>
      </w:r>
      <w:r w:rsidRPr="007E1449">
        <w:rPr>
          <w:rFonts w:asciiTheme="minorHAnsi" w:hAnsiTheme="minorHAnsi"/>
        </w:rPr>
        <w:t xml:space="preserve">hairperson. The full reports of these meetings can be accessed at the following link: </w:t>
      </w:r>
      <w:hyperlink r:id="rId19" w:history="1">
        <w:r w:rsidRPr="00CC0472">
          <w:rPr>
            <w:rStyle w:val="Hyperlink"/>
            <w:rFonts w:asciiTheme="minorHAnsi" w:hAnsiTheme="minorHAnsi"/>
          </w:rPr>
          <w:t>https://www.itu.int/en/hq-building/Pages/default.aspx</w:t>
        </w:r>
      </w:hyperlink>
      <w:r>
        <w:rPr>
          <w:rFonts w:asciiTheme="minorHAnsi" w:hAnsiTheme="minorHAnsi"/>
        </w:rPr>
        <w:t xml:space="preserve"> </w:t>
      </w:r>
      <w:r w:rsidRPr="007E1449">
        <w:rPr>
          <w:rFonts w:asciiTheme="minorHAnsi" w:hAnsiTheme="minorHAnsi"/>
        </w:rPr>
        <w:t>(TIES</w:t>
      </w:r>
      <w:r>
        <w:rPr>
          <w:rFonts w:asciiTheme="minorHAnsi" w:hAnsiTheme="minorHAnsi"/>
        </w:rPr>
        <w:t>-</w:t>
      </w:r>
      <w:r w:rsidRPr="007E1449">
        <w:rPr>
          <w:rFonts w:asciiTheme="minorHAnsi" w:hAnsiTheme="minorHAnsi"/>
        </w:rPr>
        <w:t>protected).</w:t>
      </w:r>
      <w:r>
        <w:rPr>
          <w:rFonts w:asciiTheme="minorHAnsi" w:hAnsiTheme="minorHAnsi"/>
        </w:rPr>
        <w:t xml:space="preserve"> </w:t>
      </w:r>
      <w:r w:rsidRPr="008741F5">
        <w:rPr>
          <w:rFonts w:asciiTheme="minorHAnsi" w:hAnsiTheme="minorHAnsi" w:cstheme="minorHAnsi"/>
        </w:rPr>
        <w:t>The</w:t>
      </w:r>
      <w:r>
        <w:rPr>
          <w:rFonts w:asciiTheme="minorHAnsi" w:hAnsiTheme="minorHAnsi" w:cstheme="minorHAnsi"/>
        </w:rPr>
        <w:t>se</w:t>
      </w:r>
      <w:r w:rsidRPr="008741F5">
        <w:rPr>
          <w:rFonts w:asciiTheme="minorHAnsi" w:hAnsiTheme="minorHAnsi" w:cstheme="minorHAnsi"/>
        </w:rPr>
        <w:t xml:space="preserve"> meetings are summarized below.</w:t>
      </w:r>
    </w:p>
    <w:p w14:paraId="031B8012" w14:textId="0BE190DC" w:rsidR="0004253E" w:rsidRPr="00904DA3" w:rsidRDefault="0004253E" w:rsidP="0004253E">
      <w:pPr>
        <w:pStyle w:val="ListParagraph"/>
        <w:numPr>
          <w:ilvl w:val="1"/>
          <w:numId w:val="2"/>
        </w:numPr>
        <w:spacing w:after="120"/>
        <w:contextualSpacing w:val="0"/>
        <w:jc w:val="both"/>
        <w:rPr>
          <w:rFonts w:asciiTheme="minorHAnsi" w:hAnsiTheme="minorHAnsi" w:cstheme="minorHAnsi"/>
        </w:rPr>
      </w:pPr>
      <w:r w:rsidRPr="00904DA3">
        <w:rPr>
          <w:rFonts w:eastAsia="SimSun"/>
          <w:color w:val="000000" w:themeColor="text1"/>
          <w:lang w:eastAsia="en-AU"/>
        </w:rPr>
        <w:t xml:space="preserve">The </w:t>
      </w:r>
      <w:r w:rsidRPr="00904DA3">
        <w:rPr>
          <w:rFonts w:eastAsia="SimSun"/>
          <w:b/>
          <w:bCs/>
          <w:color w:val="000000" w:themeColor="text1"/>
          <w:lang w:eastAsia="en-AU"/>
        </w:rPr>
        <w:t>1</w:t>
      </w:r>
      <w:r w:rsidR="000C465C" w:rsidRPr="00904DA3">
        <w:rPr>
          <w:rFonts w:eastAsia="SimSun"/>
          <w:b/>
          <w:bCs/>
          <w:color w:val="000000" w:themeColor="text1"/>
          <w:lang w:eastAsia="en-AU"/>
        </w:rPr>
        <w:t>5</w:t>
      </w:r>
      <w:r w:rsidRPr="00904DA3">
        <w:rPr>
          <w:rFonts w:eastAsia="SimSun"/>
          <w:b/>
          <w:bCs/>
          <w:color w:val="000000" w:themeColor="text1"/>
          <w:lang w:eastAsia="en-AU"/>
        </w:rPr>
        <w:t>th meeting</w:t>
      </w:r>
      <w:r w:rsidRPr="00904DA3">
        <w:rPr>
          <w:rFonts w:eastAsia="SimSun"/>
          <w:color w:val="000000" w:themeColor="text1"/>
          <w:lang w:eastAsia="en-AU"/>
        </w:rPr>
        <w:t xml:space="preserve"> (1</w:t>
      </w:r>
      <w:r w:rsidR="000C465C" w:rsidRPr="00904DA3">
        <w:rPr>
          <w:rFonts w:eastAsia="SimSun"/>
          <w:color w:val="000000" w:themeColor="text1"/>
          <w:lang w:eastAsia="en-AU"/>
        </w:rPr>
        <w:t>4</w:t>
      </w:r>
      <w:r w:rsidRPr="00904DA3">
        <w:rPr>
          <w:rFonts w:eastAsia="SimSun"/>
          <w:color w:val="000000" w:themeColor="text1"/>
          <w:lang w:eastAsia="en-AU"/>
        </w:rPr>
        <w:t xml:space="preserve"> </w:t>
      </w:r>
      <w:r w:rsidR="000C465C" w:rsidRPr="00904DA3">
        <w:rPr>
          <w:rFonts w:eastAsia="SimSun"/>
          <w:color w:val="000000" w:themeColor="text1"/>
          <w:lang w:eastAsia="en-AU"/>
        </w:rPr>
        <w:t>Sept</w:t>
      </w:r>
      <w:r w:rsidRPr="00904DA3">
        <w:rPr>
          <w:rFonts w:eastAsia="SimSun"/>
          <w:color w:val="000000" w:themeColor="text1"/>
          <w:lang w:eastAsia="en-AU"/>
        </w:rPr>
        <w:t>ember 202</w:t>
      </w:r>
      <w:r w:rsidR="000C465C" w:rsidRPr="00904DA3">
        <w:rPr>
          <w:rFonts w:eastAsia="SimSun"/>
          <w:color w:val="000000" w:themeColor="text1"/>
          <w:lang w:eastAsia="en-AU"/>
        </w:rPr>
        <w:t>1</w:t>
      </w:r>
      <w:r w:rsidRPr="00904DA3">
        <w:rPr>
          <w:rFonts w:eastAsia="SimSun"/>
          <w:color w:val="000000" w:themeColor="text1"/>
          <w:lang w:eastAsia="en-AU"/>
        </w:rPr>
        <w:t xml:space="preserve">) of MSAG </w:t>
      </w:r>
      <w:r w:rsidR="000D7A0A" w:rsidRPr="00904DA3">
        <w:rPr>
          <w:rFonts w:asciiTheme="minorHAnsi" w:hAnsiTheme="minorHAnsi" w:cstheme="minorHAnsi"/>
        </w:rPr>
        <w:t>consider</w:t>
      </w:r>
      <w:r w:rsidRPr="00904DA3">
        <w:rPr>
          <w:rFonts w:asciiTheme="minorHAnsi" w:hAnsiTheme="minorHAnsi" w:cstheme="minorHAnsi"/>
        </w:rPr>
        <w:t xml:space="preserve">ed </w:t>
      </w:r>
      <w:r w:rsidR="000D7A0A" w:rsidRPr="00904DA3">
        <w:rPr>
          <w:rFonts w:asciiTheme="minorHAnsi" w:hAnsiTheme="minorHAnsi" w:cstheme="minorHAnsi"/>
        </w:rPr>
        <w:t>a</w:t>
      </w:r>
      <w:r w:rsidRPr="00904DA3">
        <w:rPr>
          <w:rFonts w:asciiTheme="minorHAnsi" w:hAnsiTheme="minorHAnsi" w:cstheme="minorHAnsi"/>
        </w:rPr>
        <w:t xml:space="preserve"> </w:t>
      </w:r>
      <w:r w:rsidR="000D7A0A" w:rsidRPr="00904DA3">
        <w:rPr>
          <w:rFonts w:asciiTheme="minorHAnsi" w:hAnsiTheme="minorHAnsi" w:cstheme="minorHAnsi"/>
        </w:rPr>
        <w:t xml:space="preserve">verbal </w:t>
      </w:r>
      <w:r w:rsidRPr="00904DA3">
        <w:rPr>
          <w:rFonts w:asciiTheme="minorHAnsi" w:hAnsiTheme="minorHAnsi" w:cstheme="minorHAnsi"/>
        </w:rPr>
        <w:t xml:space="preserve">progress report on the project, examined the </w:t>
      </w:r>
      <w:r w:rsidR="005526CF" w:rsidRPr="00904DA3">
        <w:rPr>
          <w:rFonts w:asciiTheme="minorHAnsi" w:hAnsiTheme="minorHAnsi" w:cstheme="minorHAnsi"/>
        </w:rPr>
        <w:t>29</w:t>
      </w:r>
      <w:r w:rsidRPr="00904DA3">
        <w:rPr>
          <w:rFonts w:asciiTheme="minorHAnsi" w:hAnsiTheme="minorHAnsi" w:cstheme="minorHAnsi"/>
        </w:rPr>
        <w:t xml:space="preserve"> risk register items that had been revised through </w:t>
      </w:r>
      <w:r w:rsidR="000D7A0A" w:rsidRPr="00904DA3">
        <w:rPr>
          <w:rFonts w:asciiTheme="minorHAnsi" w:hAnsiTheme="minorHAnsi" w:cstheme="minorHAnsi"/>
        </w:rPr>
        <w:t>June, July</w:t>
      </w:r>
      <w:r w:rsidR="0014114F">
        <w:rPr>
          <w:rFonts w:asciiTheme="minorHAnsi" w:hAnsiTheme="minorHAnsi" w:cstheme="minorHAnsi"/>
        </w:rPr>
        <w:t>,</w:t>
      </w:r>
      <w:r w:rsidR="000D7A0A" w:rsidRPr="00904DA3">
        <w:rPr>
          <w:rFonts w:asciiTheme="minorHAnsi" w:hAnsiTheme="minorHAnsi" w:cstheme="minorHAnsi"/>
        </w:rPr>
        <w:t xml:space="preserve"> and </w:t>
      </w:r>
      <w:r w:rsidRPr="00904DA3">
        <w:rPr>
          <w:rFonts w:asciiTheme="minorHAnsi" w:hAnsiTheme="minorHAnsi" w:cstheme="minorHAnsi"/>
        </w:rPr>
        <w:t>August</w:t>
      </w:r>
      <w:r w:rsidR="00904DA3" w:rsidRPr="00904DA3">
        <w:rPr>
          <w:rFonts w:asciiTheme="minorHAnsi" w:hAnsiTheme="minorHAnsi" w:cstheme="minorHAnsi"/>
        </w:rPr>
        <w:t>.</w:t>
      </w:r>
    </w:p>
    <w:p w14:paraId="510CE723" w14:textId="01C8331D" w:rsidR="0004253E" w:rsidRPr="00904DA3" w:rsidRDefault="0004253E" w:rsidP="0004253E">
      <w:pPr>
        <w:spacing w:after="120"/>
        <w:ind w:left="540"/>
        <w:jc w:val="both"/>
        <w:rPr>
          <w:rFonts w:asciiTheme="minorHAnsi" w:hAnsiTheme="minorHAnsi" w:cstheme="minorHAnsi"/>
        </w:rPr>
      </w:pPr>
      <w:r w:rsidRPr="00904DA3">
        <w:rPr>
          <w:rFonts w:asciiTheme="minorHAnsi" w:hAnsiTheme="minorHAnsi" w:cstheme="minorHAnsi"/>
        </w:rPr>
        <w:t xml:space="preserve">As a reminder, a risk register is a tool that is a best practice within project management to identify and manage risks. Risk registers record answers the question “what would happen if &lt;x&gt; occurs, and how much would it cost?”. The items considered during this meeting focused upon </w:t>
      </w:r>
      <w:r w:rsidR="008F5705" w:rsidRPr="00904DA3">
        <w:rPr>
          <w:rFonts w:asciiTheme="minorHAnsi" w:hAnsiTheme="minorHAnsi" w:cstheme="minorHAnsi"/>
        </w:rPr>
        <w:t xml:space="preserve">the engagement of staff relative to the upcoming work environment, assuring adequate </w:t>
      </w:r>
      <w:r w:rsidR="008F5705" w:rsidRPr="00904DA3">
        <w:rPr>
          <w:rFonts w:asciiTheme="minorHAnsi" w:hAnsiTheme="minorHAnsi" w:cstheme="minorHAnsi"/>
        </w:rPr>
        <w:lastRenderedPageBreak/>
        <w:t>meeting arrangements for ITU study groups and working parties</w:t>
      </w:r>
      <w:r w:rsidR="00904DA3" w:rsidRPr="00904DA3">
        <w:rPr>
          <w:rFonts w:asciiTheme="minorHAnsi" w:hAnsiTheme="minorHAnsi" w:cstheme="minorHAnsi"/>
        </w:rPr>
        <w:t>, and understanding the motivation for modifications to the changed risk register items.</w:t>
      </w:r>
    </w:p>
    <w:p w14:paraId="44BB96A3" w14:textId="0FA9470D" w:rsidR="00854993" w:rsidRDefault="00205438" w:rsidP="00854993">
      <w:pPr>
        <w:pStyle w:val="ListParagraph"/>
        <w:numPr>
          <w:ilvl w:val="1"/>
          <w:numId w:val="2"/>
        </w:numPr>
        <w:spacing w:after="120"/>
        <w:contextualSpacing w:val="0"/>
        <w:jc w:val="both"/>
        <w:rPr>
          <w:rFonts w:asciiTheme="minorHAnsi" w:hAnsiTheme="minorHAnsi" w:cstheme="minorHAnsi"/>
        </w:rPr>
      </w:pPr>
      <w:r w:rsidRPr="00904DA3">
        <w:rPr>
          <w:rFonts w:eastAsia="SimSun"/>
          <w:color w:val="000000" w:themeColor="text1"/>
          <w:lang w:eastAsia="en-AU"/>
        </w:rPr>
        <w:t xml:space="preserve">The </w:t>
      </w:r>
      <w:r w:rsidRPr="00904DA3">
        <w:rPr>
          <w:rFonts w:eastAsia="SimSun"/>
          <w:b/>
          <w:bCs/>
          <w:color w:val="000000" w:themeColor="text1"/>
          <w:lang w:eastAsia="en-AU"/>
        </w:rPr>
        <w:t>16th meeting</w:t>
      </w:r>
      <w:r w:rsidRPr="00904DA3">
        <w:rPr>
          <w:rFonts w:eastAsia="SimSun"/>
          <w:color w:val="000000" w:themeColor="text1"/>
          <w:lang w:eastAsia="en-AU"/>
        </w:rPr>
        <w:t xml:space="preserve"> (15 December 2021) of MSAG </w:t>
      </w:r>
      <w:r w:rsidR="00854993" w:rsidRPr="00904DA3">
        <w:rPr>
          <w:rFonts w:asciiTheme="minorHAnsi" w:hAnsiTheme="minorHAnsi" w:cstheme="minorHAnsi"/>
        </w:rPr>
        <w:t xml:space="preserve">considered a verbal progress report on the project, examined the </w:t>
      </w:r>
      <w:r w:rsidR="00DA6D56">
        <w:rPr>
          <w:rFonts w:asciiTheme="minorHAnsi" w:hAnsiTheme="minorHAnsi" w:cstheme="minorHAnsi"/>
        </w:rPr>
        <w:t>10</w:t>
      </w:r>
      <w:r w:rsidR="00854993" w:rsidRPr="00904DA3">
        <w:rPr>
          <w:rFonts w:asciiTheme="minorHAnsi" w:hAnsiTheme="minorHAnsi" w:cstheme="minorHAnsi"/>
        </w:rPr>
        <w:t xml:space="preserve"> risk register items that had been revised through </w:t>
      </w:r>
      <w:r w:rsidR="00DA6D56">
        <w:rPr>
          <w:rFonts w:asciiTheme="minorHAnsi" w:hAnsiTheme="minorHAnsi" w:cstheme="minorHAnsi"/>
        </w:rPr>
        <w:t>September, October</w:t>
      </w:r>
      <w:r w:rsidR="0014114F">
        <w:rPr>
          <w:rFonts w:asciiTheme="minorHAnsi" w:hAnsiTheme="minorHAnsi" w:cstheme="minorHAnsi"/>
        </w:rPr>
        <w:t>,</w:t>
      </w:r>
      <w:r w:rsidR="00DA6D56">
        <w:rPr>
          <w:rFonts w:asciiTheme="minorHAnsi" w:hAnsiTheme="minorHAnsi" w:cstheme="minorHAnsi"/>
        </w:rPr>
        <w:t xml:space="preserve"> and November</w:t>
      </w:r>
      <w:r w:rsidR="00854993" w:rsidRPr="00904DA3">
        <w:rPr>
          <w:rFonts w:asciiTheme="minorHAnsi" w:hAnsiTheme="minorHAnsi" w:cstheme="minorHAnsi"/>
        </w:rPr>
        <w:t>.</w:t>
      </w:r>
      <w:r w:rsidR="0061322E" w:rsidRPr="0061322E">
        <w:rPr>
          <w:rFonts w:asciiTheme="minorHAnsi" w:hAnsiTheme="minorHAnsi" w:cstheme="minorHAnsi"/>
        </w:rPr>
        <w:t xml:space="preserve"> </w:t>
      </w:r>
      <w:r w:rsidR="0061322E" w:rsidRPr="00904DA3">
        <w:rPr>
          <w:rFonts w:asciiTheme="minorHAnsi" w:hAnsiTheme="minorHAnsi" w:cstheme="minorHAnsi"/>
        </w:rPr>
        <w:t xml:space="preserve">The items considered during this meeting focused upon </w:t>
      </w:r>
      <w:r w:rsidR="00C220F4">
        <w:rPr>
          <w:rFonts w:asciiTheme="minorHAnsi" w:hAnsiTheme="minorHAnsi" w:cstheme="minorHAnsi"/>
        </w:rPr>
        <w:t>the financing of the Risk Register Fund and other financial challenges facing ITU</w:t>
      </w:r>
      <w:r w:rsidR="0061322E" w:rsidRPr="00904DA3">
        <w:rPr>
          <w:rFonts w:asciiTheme="minorHAnsi" w:hAnsiTheme="minorHAnsi" w:cstheme="minorHAnsi"/>
        </w:rPr>
        <w:t>.</w:t>
      </w:r>
      <w:r w:rsidR="002A2633">
        <w:rPr>
          <w:rFonts w:asciiTheme="minorHAnsi" w:hAnsiTheme="minorHAnsi" w:cstheme="minorHAnsi"/>
        </w:rPr>
        <w:t xml:space="preserve"> MSAG also heard reports on the preparations for convening meetings of ITU study groups and working parties as well as the status of sponsorship and donations.</w:t>
      </w:r>
    </w:p>
    <w:p w14:paraId="43053D3F" w14:textId="4115DE16" w:rsidR="002A2633" w:rsidRDefault="00013C62" w:rsidP="002A2633">
      <w:pPr>
        <w:tabs>
          <w:tab w:val="clear" w:pos="567"/>
          <w:tab w:val="left" w:pos="540"/>
        </w:tabs>
        <w:spacing w:after="120"/>
        <w:ind w:left="540"/>
        <w:jc w:val="both"/>
        <w:rPr>
          <w:rFonts w:asciiTheme="minorHAnsi" w:hAnsiTheme="minorHAnsi" w:cstheme="minorHAnsi"/>
        </w:rPr>
      </w:pPr>
      <w:r w:rsidRPr="00013C62">
        <w:rPr>
          <w:rFonts w:asciiTheme="minorHAnsi" w:hAnsiTheme="minorHAnsi" w:cstheme="minorHAnsi"/>
        </w:rPr>
        <w:t>Mr Alassane Ba, Chief</w:t>
      </w:r>
      <w:r>
        <w:rPr>
          <w:rFonts w:asciiTheme="minorHAnsi" w:hAnsiTheme="minorHAnsi" w:cstheme="minorHAnsi"/>
        </w:rPr>
        <w:t xml:space="preserve"> of the</w:t>
      </w:r>
      <w:r w:rsidRPr="00013C62">
        <w:rPr>
          <w:rFonts w:asciiTheme="minorHAnsi" w:hAnsiTheme="minorHAnsi" w:cstheme="minorHAnsi"/>
        </w:rPr>
        <w:t xml:space="preserve"> </w:t>
      </w:r>
      <w:r>
        <w:rPr>
          <w:rFonts w:asciiTheme="minorHAnsi" w:hAnsiTheme="minorHAnsi" w:cstheme="minorHAnsi"/>
        </w:rPr>
        <w:t xml:space="preserve">ITU </w:t>
      </w:r>
      <w:r w:rsidRPr="00013C62">
        <w:rPr>
          <w:rFonts w:asciiTheme="minorHAnsi" w:hAnsiTheme="minorHAnsi" w:cstheme="minorHAnsi"/>
        </w:rPr>
        <w:t>Financial Resources Management Department</w:t>
      </w:r>
      <w:r>
        <w:rPr>
          <w:rFonts w:asciiTheme="minorHAnsi" w:hAnsiTheme="minorHAnsi" w:cstheme="minorHAnsi"/>
        </w:rPr>
        <w:t>, reported that</w:t>
      </w:r>
      <w:r w:rsidR="00922F72" w:rsidRPr="00922F72">
        <w:t xml:space="preserve"> </w:t>
      </w:r>
      <w:r w:rsidR="00B83B8C">
        <w:t xml:space="preserve">since January 2015, </w:t>
      </w:r>
      <w:r w:rsidR="00922F72" w:rsidRPr="00922F72">
        <w:rPr>
          <w:rFonts w:asciiTheme="minorHAnsi" w:hAnsiTheme="minorHAnsi" w:cstheme="minorHAnsi"/>
        </w:rPr>
        <w:t>the Swiss National Bank</w:t>
      </w:r>
      <w:r w:rsidR="00922F72">
        <w:rPr>
          <w:rFonts w:asciiTheme="minorHAnsi" w:hAnsiTheme="minorHAnsi" w:cstheme="minorHAnsi"/>
        </w:rPr>
        <w:t xml:space="preserve"> has been applying</w:t>
      </w:r>
      <w:r w:rsidR="00922F72" w:rsidRPr="00922F72">
        <w:rPr>
          <w:rFonts w:asciiTheme="minorHAnsi" w:hAnsiTheme="minorHAnsi" w:cstheme="minorHAnsi"/>
        </w:rPr>
        <w:t xml:space="preserve"> </w:t>
      </w:r>
      <w:r w:rsidR="00922F72">
        <w:rPr>
          <w:rFonts w:asciiTheme="minorHAnsi" w:hAnsiTheme="minorHAnsi" w:cstheme="minorHAnsi"/>
        </w:rPr>
        <w:t xml:space="preserve">a negative </w:t>
      </w:r>
      <w:r w:rsidR="00922F72" w:rsidRPr="00922F72">
        <w:rPr>
          <w:rFonts w:asciiTheme="minorHAnsi" w:hAnsiTheme="minorHAnsi" w:cstheme="minorHAnsi"/>
        </w:rPr>
        <w:t>interest rate</w:t>
      </w:r>
      <w:r w:rsidR="00B83B8C">
        <w:rPr>
          <w:rFonts w:asciiTheme="minorHAnsi" w:hAnsiTheme="minorHAnsi" w:cstheme="minorHAnsi"/>
        </w:rPr>
        <w:t xml:space="preserve">. </w:t>
      </w:r>
      <w:r w:rsidR="00B83B8C" w:rsidRPr="00B83B8C">
        <w:rPr>
          <w:rFonts w:asciiTheme="minorHAnsi" w:hAnsiTheme="minorHAnsi" w:cstheme="minorHAnsi"/>
        </w:rPr>
        <w:t>This policy has become the rule for all commercial banks in Switzerland and across borders in the Swiss franc currency</w:t>
      </w:r>
      <w:r w:rsidR="00B83B8C">
        <w:rPr>
          <w:rFonts w:asciiTheme="minorHAnsi" w:hAnsiTheme="minorHAnsi" w:cstheme="minorHAnsi"/>
        </w:rPr>
        <w:t xml:space="preserve"> </w:t>
      </w:r>
      <w:r w:rsidR="00922F72" w:rsidRPr="00922F72">
        <w:rPr>
          <w:rFonts w:asciiTheme="minorHAnsi" w:hAnsiTheme="minorHAnsi" w:cstheme="minorHAnsi"/>
        </w:rPr>
        <w:t>to all deposits exceeding</w:t>
      </w:r>
      <w:r w:rsidR="00922F72">
        <w:rPr>
          <w:rFonts w:asciiTheme="minorHAnsi" w:hAnsiTheme="minorHAnsi" w:cstheme="minorHAnsi"/>
        </w:rPr>
        <w:t xml:space="preserve"> a </w:t>
      </w:r>
      <w:r w:rsidR="00E14273">
        <w:rPr>
          <w:rFonts w:asciiTheme="minorHAnsi" w:hAnsiTheme="minorHAnsi" w:cstheme="minorHAnsi"/>
        </w:rPr>
        <w:t>particular amount.</w:t>
      </w:r>
      <w:r w:rsidR="000B6251">
        <w:rPr>
          <w:rFonts w:asciiTheme="minorHAnsi" w:hAnsiTheme="minorHAnsi" w:cstheme="minorHAnsi"/>
        </w:rPr>
        <w:t xml:space="preserve"> Without efforts to limit the </w:t>
      </w:r>
      <w:r w:rsidR="008970AF">
        <w:rPr>
          <w:rFonts w:asciiTheme="minorHAnsi" w:hAnsiTheme="minorHAnsi" w:cstheme="minorHAnsi"/>
        </w:rPr>
        <w:t xml:space="preserve">balances sitting in the bank, </w:t>
      </w:r>
      <w:r w:rsidR="007D74F0">
        <w:rPr>
          <w:rFonts w:asciiTheme="minorHAnsi" w:hAnsiTheme="minorHAnsi" w:cstheme="minorHAnsi"/>
        </w:rPr>
        <w:t>non-trivial charges will continue to be incurred by ITU.</w:t>
      </w:r>
    </w:p>
    <w:p w14:paraId="1F55A24A" w14:textId="7C132E34" w:rsidR="007E0644" w:rsidRDefault="004E0BB6" w:rsidP="00C23AB7">
      <w:pPr>
        <w:tabs>
          <w:tab w:val="clear" w:pos="567"/>
          <w:tab w:val="left" w:pos="540"/>
        </w:tabs>
        <w:spacing w:after="120"/>
        <w:ind w:left="540"/>
        <w:jc w:val="both"/>
        <w:rPr>
          <w:rFonts w:asciiTheme="minorHAnsi" w:hAnsiTheme="minorHAnsi" w:cstheme="minorHAnsi"/>
        </w:rPr>
      </w:pPr>
      <w:r>
        <w:rPr>
          <w:rFonts w:asciiTheme="minorHAnsi" w:hAnsiTheme="minorHAnsi" w:cstheme="minorHAnsi"/>
        </w:rPr>
        <w:t xml:space="preserve">Mr Ba also reported that </w:t>
      </w:r>
      <w:r w:rsidR="00E51450">
        <w:rPr>
          <w:rFonts w:asciiTheme="minorHAnsi" w:hAnsiTheme="minorHAnsi" w:cstheme="minorHAnsi"/>
        </w:rPr>
        <w:t>i</w:t>
      </w:r>
      <w:r w:rsidR="00EF1ED8" w:rsidRPr="00EF1ED8">
        <w:rPr>
          <w:rFonts w:asciiTheme="minorHAnsi" w:hAnsiTheme="minorHAnsi" w:cstheme="minorHAnsi"/>
        </w:rPr>
        <w:t xml:space="preserve">n 2021 there are no </w:t>
      </w:r>
      <w:r w:rsidR="00EF1ED8">
        <w:rPr>
          <w:rFonts w:asciiTheme="minorHAnsi" w:hAnsiTheme="minorHAnsi" w:cstheme="minorHAnsi"/>
        </w:rPr>
        <w:t xml:space="preserve">expected </w:t>
      </w:r>
      <w:r w:rsidR="00EF1ED8" w:rsidRPr="00EF1ED8">
        <w:rPr>
          <w:rFonts w:asciiTheme="minorHAnsi" w:hAnsiTheme="minorHAnsi" w:cstheme="minorHAnsi"/>
        </w:rPr>
        <w:t xml:space="preserve">savings, so there will be no money moved to </w:t>
      </w:r>
      <w:r w:rsidR="00892C21">
        <w:rPr>
          <w:rFonts w:asciiTheme="minorHAnsi" w:hAnsiTheme="minorHAnsi" w:cstheme="minorHAnsi"/>
        </w:rPr>
        <w:t>the Risk Register</w:t>
      </w:r>
      <w:r w:rsidR="00EF1ED8" w:rsidRPr="00EF1ED8">
        <w:rPr>
          <w:rFonts w:asciiTheme="minorHAnsi" w:hAnsiTheme="minorHAnsi" w:cstheme="minorHAnsi"/>
        </w:rPr>
        <w:t xml:space="preserve"> Fund</w:t>
      </w:r>
      <w:r w:rsidR="0095244E">
        <w:rPr>
          <w:rFonts w:asciiTheme="minorHAnsi" w:hAnsiTheme="minorHAnsi" w:cstheme="minorHAnsi"/>
        </w:rPr>
        <w:t xml:space="preserve"> (RRF)</w:t>
      </w:r>
      <w:r w:rsidR="00EF1ED8" w:rsidRPr="00EF1ED8">
        <w:rPr>
          <w:rFonts w:asciiTheme="minorHAnsi" w:hAnsiTheme="minorHAnsi" w:cstheme="minorHAnsi"/>
        </w:rPr>
        <w:t>.</w:t>
      </w:r>
      <w:r w:rsidR="0095244E">
        <w:rPr>
          <w:rFonts w:asciiTheme="minorHAnsi" w:hAnsiTheme="minorHAnsi" w:cstheme="minorHAnsi"/>
        </w:rPr>
        <w:t xml:space="preserve"> Councillors may remember that MSAG has been commenting on the insufficient funding of the RRF for several years.</w:t>
      </w:r>
      <w:r w:rsidR="00C23AB7">
        <w:rPr>
          <w:rFonts w:asciiTheme="minorHAnsi" w:hAnsiTheme="minorHAnsi" w:cstheme="minorHAnsi"/>
        </w:rPr>
        <w:t xml:space="preserve"> The</w:t>
      </w:r>
      <w:r w:rsidR="007E0644" w:rsidRPr="00DE206C">
        <w:rPr>
          <w:rFonts w:asciiTheme="minorHAnsi" w:hAnsiTheme="minorHAnsi" w:cstheme="minorHAnsi"/>
        </w:rPr>
        <w:t xml:space="preserve"> risk </w:t>
      </w:r>
      <w:r w:rsidR="00C23AB7">
        <w:rPr>
          <w:rFonts w:asciiTheme="minorHAnsi" w:hAnsiTheme="minorHAnsi" w:cstheme="minorHAnsi"/>
        </w:rPr>
        <w:t>register</w:t>
      </w:r>
      <w:r w:rsidR="007E0644" w:rsidRPr="00DE206C">
        <w:rPr>
          <w:rFonts w:asciiTheme="minorHAnsi" w:hAnsiTheme="minorHAnsi" w:cstheme="minorHAnsi"/>
        </w:rPr>
        <w:t xml:space="preserve"> is part of an overall risk management strategy to identify the potential impact of future programme execution</w:t>
      </w:r>
      <w:r w:rsidR="007E0644">
        <w:rPr>
          <w:rFonts w:asciiTheme="minorHAnsi" w:hAnsiTheme="minorHAnsi" w:cstheme="minorHAnsi"/>
        </w:rPr>
        <w:t xml:space="preserve"> and to deve</w:t>
      </w:r>
      <w:r w:rsidR="007E0644" w:rsidRPr="00DE206C">
        <w:rPr>
          <w:rFonts w:asciiTheme="minorHAnsi" w:hAnsiTheme="minorHAnsi" w:cstheme="minorHAnsi"/>
        </w:rPr>
        <w:t>lop recommendations for the effective allocation of contingency funding. The contingency represents approximately 8% (</w:t>
      </w:r>
      <w:r w:rsidR="007E0644">
        <w:rPr>
          <w:rFonts w:asciiTheme="minorHAnsi" w:hAnsiTheme="minorHAnsi" w:cstheme="minorHAnsi"/>
        </w:rPr>
        <w:t xml:space="preserve">CHF </w:t>
      </w:r>
      <w:r w:rsidR="007E0644" w:rsidRPr="00DE206C">
        <w:rPr>
          <w:rFonts w:asciiTheme="minorHAnsi" w:hAnsiTheme="minorHAnsi" w:cstheme="minorHAnsi"/>
        </w:rPr>
        <w:t xml:space="preserve">12.6 </w:t>
      </w:r>
      <w:r w:rsidR="007E0644">
        <w:rPr>
          <w:rFonts w:asciiTheme="minorHAnsi" w:hAnsiTheme="minorHAnsi" w:cstheme="minorHAnsi"/>
        </w:rPr>
        <w:t>million</w:t>
      </w:r>
      <w:r w:rsidR="007E0644" w:rsidRPr="00DE206C">
        <w:rPr>
          <w:rFonts w:asciiTheme="minorHAnsi" w:hAnsiTheme="minorHAnsi" w:cstheme="minorHAnsi"/>
        </w:rPr>
        <w:t xml:space="preserve">) of the CFC budget 1 to 9 and will have to be used in the case of services not provided and/or unexpected expenditures due to hazards and unforeseen work during the demolition and construction periods. </w:t>
      </w:r>
      <w:r w:rsidR="006023E1">
        <w:rPr>
          <w:rFonts w:asciiTheme="minorHAnsi" w:hAnsiTheme="minorHAnsi" w:cstheme="minorHAnsi"/>
        </w:rPr>
        <w:t xml:space="preserve">The establishment of the RRF was a critical element </w:t>
      </w:r>
      <w:r w:rsidR="00A95DE3">
        <w:rPr>
          <w:rFonts w:asciiTheme="minorHAnsi" w:hAnsiTheme="minorHAnsi" w:cstheme="minorHAnsi"/>
        </w:rPr>
        <w:t>that enabled the consensus in Council 201</w:t>
      </w:r>
      <w:r w:rsidR="00D40133">
        <w:rPr>
          <w:rFonts w:asciiTheme="minorHAnsi" w:hAnsiTheme="minorHAnsi" w:cstheme="minorHAnsi"/>
        </w:rPr>
        <w:t>8</w:t>
      </w:r>
      <w:r w:rsidR="00A95DE3">
        <w:rPr>
          <w:rFonts w:asciiTheme="minorHAnsi" w:hAnsiTheme="minorHAnsi" w:cstheme="minorHAnsi"/>
        </w:rPr>
        <w:t xml:space="preserve"> to proceed with the construction project because it reflected the desire of member states to have a hard limit on their financial exposure for the costs of this project.</w:t>
      </w:r>
    </w:p>
    <w:p w14:paraId="14C958B2" w14:textId="508A0498" w:rsidR="00A95DE3" w:rsidRDefault="00A95DE3" w:rsidP="00C23AB7">
      <w:pPr>
        <w:tabs>
          <w:tab w:val="clear" w:pos="567"/>
          <w:tab w:val="left" w:pos="540"/>
        </w:tabs>
        <w:spacing w:after="120"/>
        <w:ind w:left="540"/>
        <w:jc w:val="both"/>
        <w:rPr>
          <w:rFonts w:asciiTheme="minorHAnsi" w:hAnsiTheme="minorHAnsi" w:cstheme="minorHAnsi"/>
        </w:rPr>
      </w:pPr>
      <w:r>
        <w:rPr>
          <w:rFonts w:asciiTheme="minorHAnsi" w:hAnsiTheme="minorHAnsi" w:cstheme="minorHAnsi"/>
        </w:rPr>
        <w:t xml:space="preserve">The discussion </w:t>
      </w:r>
      <w:r w:rsidR="00351A5C">
        <w:rPr>
          <w:rFonts w:asciiTheme="minorHAnsi" w:hAnsiTheme="minorHAnsi" w:cstheme="minorHAnsi"/>
        </w:rPr>
        <w:t xml:space="preserve">observed that </w:t>
      </w:r>
      <w:r w:rsidR="008B1B18">
        <w:rPr>
          <w:rFonts w:asciiTheme="minorHAnsi" w:hAnsiTheme="minorHAnsi" w:cstheme="minorHAnsi"/>
        </w:rPr>
        <w:t>one technique used to manage risk is the use of an insurance policy</w:t>
      </w:r>
      <w:r w:rsidR="00D87003">
        <w:rPr>
          <w:rFonts w:asciiTheme="minorHAnsi" w:hAnsiTheme="minorHAnsi" w:cstheme="minorHAnsi"/>
        </w:rPr>
        <w:t xml:space="preserve"> to transfer the risk, </w:t>
      </w:r>
      <w:proofErr w:type="gramStart"/>
      <w:r w:rsidR="00D87003">
        <w:rPr>
          <w:rFonts w:asciiTheme="minorHAnsi" w:hAnsiTheme="minorHAnsi" w:cstheme="minorHAnsi"/>
        </w:rPr>
        <w:t>similar to</w:t>
      </w:r>
      <w:proofErr w:type="gramEnd"/>
      <w:r w:rsidR="00D87003">
        <w:rPr>
          <w:rFonts w:asciiTheme="minorHAnsi" w:hAnsiTheme="minorHAnsi" w:cstheme="minorHAnsi"/>
        </w:rPr>
        <w:t xml:space="preserve"> what is achieved through health insurance</w:t>
      </w:r>
      <w:r w:rsidR="00053DF4">
        <w:rPr>
          <w:rFonts w:asciiTheme="minorHAnsi" w:hAnsiTheme="minorHAnsi" w:cstheme="minorHAnsi"/>
        </w:rPr>
        <w:t xml:space="preserve"> where </w:t>
      </w:r>
      <w:r w:rsidR="00053DF4" w:rsidRPr="00D40133">
        <w:rPr>
          <w:rFonts w:asciiTheme="minorHAnsi" w:hAnsiTheme="minorHAnsi" w:cstheme="minorHAnsi"/>
        </w:rPr>
        <w:t>the financial risks associated with health care are transferred from the individual to the insurer.</w:t>
      </w:r>
      <w:r w:rsidR="00D87003">
        <w:rPr>
          <w:rFonts w:asciiTheme="minorHAnsi" w:hAnsiTheme="minorHAnsi" w:cstheme="minorHAnsi"/>
        </w:rPr>
        <w:t xml:space="preserve">  </w:t>
      </w:r>
      <w:r w:rsidR="00B921D7" w:rsidRPr="00B921D7">
        <w:rPr>
          <w:rFonts w:asciiTheme="minorHAnsi" w:hAnsiTheme="minorHAnsi" w:cstheme="minorHAnsi"/>
        </w:rPr>
        <w:t>It is customary in large construction projects for the owner (ITU), as well as the contractor, to transfer risks to manage costs</w:t>
      </w:r>
      <w:r w:rsidR="00B921D7">
        <w:rPr>
          <w:rFonts w:asciiTheme="minorHAnsi" w:hAnsiTheme="minorHAnsi" w:cstheme="minorHAnsi"/>
        </w:rPr>
        <w:t xml:space="preserve"> by means of insurance</w:t>
      </w:r>
      <w:r w:rsidR="00B921D7" w:rsidRPr="00B921D7">
        <w:rPr>
          <w:rFonts w:asciiTheme="minorHAnsi" w:hAnsiTheme="minorHAnsi" w:cstheme="minorHAnsi"/>
        </w:rPr>
        <w:t>.</w:t>
      </w:r>
      <w:r w:rsidR="00B921D7">
        <w:rPr>
          <w:rFonts w:asciiTheme="minorHAnsi" w:hAnsiTheme="minorHAnsi" w:cstheme="minorHAnsi"/>
        </w:rPr>
        <w:t xml:space="preserve"> </w:t>
      </w:r>
      <w:r w:rsidR="00D87003">
        <w:rPr>
          <w:rFonts w:asciiTheme="minorHAnsi" w:hAnsiTheme="minorHAnsi" w:cstheme="minorHAnsi"/>
        </w:rPr>
        <w:t xml:space="preserve">While </w:t>
      </w:r>
      <w:r w:rsidR="00B921D7">
        <w:rPr>
          <w:rFonts w:asciiTheme="minorHAnsi" w:hAnsiTheme="minorHAnsi" w:cstheme="minorHAnsi"/>
        </w:rPr>
        <w:t xml:space="preserve">this </w:t>
      </w:r>
      <w:r w:rsidR="00CF50D6">
        <w:rPr>
          <w:rFonts w:asciiTheme="minorHAnsi" w:hAnsiTheme="minorHAnsi" w:cstheme="minorHAnsi"/>
        </w:rPr>
        <w:t xml:space="preserve">approach </w:t>
      </w:r>
      <w:r w:rsidR="00B921D7">
        <w:rPr>
          <w:rFonts w:asciiTheme="minorHAnsi" w:hAnsiTheme="minorHAnsi" w:cstheme="minorHAnsi"/>
        </w:rPr>
        <w:t xml:space="preserve">may </w:t>
      </w:r>
      <w:r w:rsidR="00CF50D6">
        <w:rPr>
          <w:rFonts w:asciiTheme="minorHAnsi" w:hAnsiTheme="minorHAnsi" w:cstheme="minorHAnsi"/>
        </w:rPr>
        <w:t>not be customary with Geneva-based</w:t>
      </w:r>
      <w:r w:rsidR="00D87003">
        <w:rPr>
          <w:rFonts w:asciiTheme="minorHAnsi" w:hAnsiTheme="minorHAnsi" w:cstheme="minorHAnsi"/>
        </w:rPr>
        <w:t xml:space="preserve"> UN construction projects, </w:t>
      </w:r>
      <w:r w:rsidR="003E06B5">
        <w:rPr>
          <w:rFonts w:asciiTheme="minorHAnsi" w:hAnsiTheme="minorHAnsi" w:cstheme="minorHAnsi"/>
        </w:rPr>
        <w:t>responsible parties for those projects</w:t>
      </w:r>
      <w:r w:rsidR="00D87003">
        <w:rPr>
          <w:rFonts w:asciiTheme="minorHAnsi" w:hAnsiTheme="minorHAnsi" w:cstheme="minorHAnsi"/>
        </w:rPr>
        <w:t xml:space="preserve"> also set aside money in advance of construction design and designed to such </w:t>
      </w:r>
      <w:r w:rsidR="006E418D">
        <w:rPr>
          <w:rFonts w:asciiTheme="minorHAnsi" w:hAnsiTheme="minorHAnsi" w:cstheme="minorHAnsi"/>
        </w:rPr>
        <w:t>funding</w:t>
      </w:r>
      <w:r w:rsidR="00D87003">
        <w:rPr>
          <w:rFonts w:asciiTheme="minorHAnsi" w:hAnsiTheme="minorHAnsi" w:cstheme="minorHAnsi"/>
        </w:rPr>
        <w:t>.</w:t>
      </w:r>
      <w:r w:rsidR="00B574D3">
        <w:rPr>
          <w:rFonts w:asciiTheme="minorHAnsi" w:hAnsiTheme="minorHAnsi" w:cstheme="minorHAnsi"/>
        </w:rPr>
        <w:t xml:space="preserve"> MSAG members believe it is advisable for ITU to </w:t>
      </w:r>
      <w:r w:rsidR="005C7831">
        <w:rPr>
          <w:rFonts w:asciiTheme="minorHAnsi" w:hAnsiTheme="minorHAnsi" w:cstheme="minorHAnsi"/>
        </w:rPr>
        <w:t xml:space="preserve">gather more information and consider the use of insurance as a means of transferring risk as an alternative to the RRF. Such an approach could achieve the objective of </w:t>
      </w:r>
      <w:r w:rsidR="00C964DB">
        <w:rPr>
          <w:rFonts w:asciiTheme="minorHAnsi" w:hAnsiTheme="minorHAnsi" w:cstheme="minorHAnsi"/>
        </w:rPr>
        <w:t xml:space="preserve">managing risk and </w:t>
      </w:r>
      <w:r w:rsidR="005C7831">
        <w:rPr>
          <w:rFonts w:asciiTheme="minorHAnsi" w:hAnsiTheme="minorHAnsi" w:cstheme="minorHAnsi"/>
        </w:rPr>
        <w:t xml:space="preserve">reduce the size </w:t>
      </w:r>
      <w:r w:rsidR="00C964DB">
        <w:rPr>
          <w:rFonts w:asciiTheme="minorHAnsi" w:hAnsiTheme="minorHAnsi" w:cstheme="minorHAnsi"/>
        </w:rPr>
        <w:t>required bank accounts.</w:t>
      </w:r>
    </w:p>
    <w:p w14:paraId="016A16C4" w14:textId="4DF7F1E2" w:rsidR="00FE293C" w:rsidRDefault="00FE293C" w:rsidP="00C23AB7">
      <w:pPr>
        <w:tabs>
          <w:tab w:val="clear" w:pos="567"/>
          <w:tab w:val="left" w:pos="540"/>
        </w:tabs>
        <w:spacing w:after="120"/>
        <w:ind w:left="540"/>
        <w:jc w:val="both"/>
        <w:rPr>
          <w:rFonts w:asciiTheme="minorHAnsi" w:hAnsiTheme="minorHAnsi" w:cstheme="minorHAnsi"/>
        </w:rPr>
      </w:pPr>
      <w:r>
        <w:rPr>
          <w:rFonts w:asciiTheme="minorHAnsi" w:hAnsiTheme="minorHAnsi" w:cstheme="minorHAnsi"/>
        </w:rPr>
        <w:t xml:space="preserve">There is recognition within the </w:t>
      </w:r>
      <w:r w:rsidR="000574FD">
        <w:rPr>
          <w:rFonts w:asciiTheme="minorHAnsi" w:hAnsiTheme="minorHAnsi" w:cstheme="minorHAnsi"/>
        </w:rPr>
        <w:t>s</w:t>
      </w:r>
      <w:r>
        <w:rPr>
          <w:rFonts w:asciiTheme="minorHAnsi" w:hAnsiTheme="minorHAnsi" w:cstheme="minorHAnsi"/>
        </w:rPr>
        <w:t>ecretariat and MSAG that the RRF is a supplemental contingency to what is included in the project plan.  It is for this reason that at least some of the MSAG participants believe that the premium for an insurance policy could be reasonably small.</w:t>
      </w:r>
    </w:p>
    <w:p w14:paraId="5661ABC3" w14:textId="77777777" w:rsidR="00846EAF" w:rsidRPr="00846EAF" w:rsidRDefault="00AE3B48" w:rsidP="00846EAF">
      <w:pPr>
        <w:pStyle w:val="Normalaftertitle"/>
        <w:tabs>
          <w:tab w:val="clear" w:pos="567"/>
          <w:tab w:val="clear" w:pos="1134"/>
          <w:tab w:val="clear" w:pos="1701"/>
          <w:tab w:val="clear" w:pos="2268"/>
          <w:tab w:val="clear" w:pos="2835"/>
        </w:tabs>
        <w:snapToGrid w:val="0"/>
        <w:spacing w:before="360" w:after="120"/>
        <w:jc w:val="both"/>
        <w:rPr>
          <w:rFonts w:asciiTheme="minorHAnsi" w:hAnsiTheme="minorHAnsi"/>
          <w:b/>
          <w:bCs/>
          <w:color w:val="000000" w:themeColor="text1"/>
        </w:rPr>
      </w:pPr>
      <w:r w:rsidRPr="00846EAF">
        <w:rPr>
          <w:rFonts w:asciiTheme="minorHAnsi" w:hAnsiTheme="minorHAnsi"/>
          <w:b/>
          <w:bCs/>
          <w:color w:val="000000" w:themeColor="text1"/>
        </w:rPr>
        <w:t>2.</w:t>
      </w:r>
      <w:r w:rsidRPr="00846EAF">
        <w:rPr>
          <w:rFonts w:asciiTheme="minorHAnsi" w:hAnsiTheme="minorHAnsi"/>
          <w:b/>
          <w:bCs/>
          <w:color w:val="000000" w:themeColor="text1"/>
        </w:rPr>
        <w:tab/>
        <w:t>Items for the attention of the Council</w:t>
      </w:r>
    </w:p>
    <w:p w14:paraId="346E512E" w14:textId="2FA5EB4F" w:rsidR="005435AB" w:rsidRPr="005435AB" w:rsidRDefault="00A47D6C" w:rsidP="00A0001A">
      <w:pPr>
        <w:tabs>
          <w:tab w:val="left" w:pos="630"/>
        </w:tabs>
        <w:spacing w:before="0"/>
        <w:jc w:val="both"/>
        <w:rPr>
          <w:rFonts w:asciiTheme="minorHAnsi" w:hAnsiTheme="minorHAnsi"/>
        </w:rPr>
      </w:pPr>
      <w:r w:rsidRPr="00493312">
        <w:rPr>
          <w:rFonts w:asciiTheme="minorHAnsi" w:hAnsiTheme="minorHAnsi"/>
        </w:rPr>
        <w:t xml:space="preserve">MSAG asks that </w:t>
      </w:r>
      <w:r w:rsidR="000574FD">
        <w:rPr>
          <w:rFonts w:asciiTheme="minorHAnsi" w:hAnsiTheme="minorHAnsi"/>
        </w:rPr>
        <w:t xml:space="preserve">the </w:t>
      </w:r>
      <w:r w:rsidRPr="00493312">
        <w:rPr>
          <w:rFonts w:asciiTheme="minorHAnsi" w:hAnsiTheme="minorHAnsi"/>
        </w:rPr>
        <w:t xml:space="preserve">Council initiate with the </w:t>
      </w:r>
      <w:r w:rsidR="00DB558A">
        <w:rPr>
          <w:rFonts w:asciiTheme="minorHAnsi" w:hAnsiTheme="minorHAnsi"/>
        </w:rPr>
        <w:t>s</w:t>
      </w:r>
      <w:r w:rsidRPr="00493312">
        <w:rPr>
          <w:rFonts w:asciiTheme="minorHAnsi" w:hAnsiTheme="minorHAnsi"/>
        </w:rPr>
        <w:t xml:space="preserve">ecretariat the necessary action to gather more information about the possible costs and consider the use of insurance as a means of transferring risk as an alternative to the RRF and report to </w:t>
      </w:r>
      <w:r w:rsidR="000574FD">
        <w:rPr>
          <w:rFonts w:asciiTheme="minorHAnsi" w:hAnsiTheme="minorHAnsi"/>
        </w:rPr>
        <w:t xml:space="preserve">the </w:t>
      </w:r>
      <w:r w:rsidRPr="00493312">
        <w:rPr>
          <w:rFonts w:asciiTheme="minorHAnsi" w:hAnsiTheme="minorHAnsi"/>
        </w:rPr>
        <w:t>Council.</w:t>
      </w:r>
    </w:p>
    <w:p w14:paraId="7809A502" w14:textId="760E69DD" w:rsidR="004A1B8B" w:rsidRPr="00C56A65" w:rsidRDefault="002218AF" w:rsidP="00DB558A">
      <w:pPr>
        <w:spacing w:before="240"/>
        <w:jc w:val="center"/>
        <w:rPr>
          <w:rFonts w:cstheme="minorHAnsi"/>
        </w:rPr>
      </w:pPr>
      <w:r w:rsidRPr="00C56A65">
        <w:rPr>
          <w:rFonts w:cstheme="minorHAnsi"/>
        </w:rPr>
        <w:t>_______________</w:t>
      </w:r>
    </w:p>
    <w:sectPr w:rsidR="004A1B8B" w:rsidRPr="00C56A65" w:rsidSect="00B539DD">
      <w:headerReference w:type="default" r:id="rId20"/>
      <w:footerReference w:type="default" r:id="rId21"/>
      <w:footerReference w:type="first" r:id="rId22"/>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9C07" w14:textId="77777777" w:rsidR="00A42A22" w:rsidRDefault="00A42A22">
      <w:r>
        <w:separator/>
      </w:r>
    </w:p>
  </w:endnote>
  <w:endnote w:type="continuationSeparator" w:id="0">
    <w:p w14:paraId="31578F5B" w14:textId="77777777" w:rsidR="00A42A22" w:rsidRDefault="00A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2958509D" w:rsidR="00CB18FF" w:rsidRDefault="00CB18FF">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C52D" w14:textId="77777777" w:rsidR="00A42A22" w:rsidRDefault="00A42A22">
      <w:r>
        <w:t>____________________</w:t>
      </w:r>
    </w:p>
  </w:footnote>
  <w:footnote w:type="continuationSeparator" w:id="0">
    <w:p w14:paraId="355F982A" w14:textId="77777777" w:rsidR="00A42A22" w:rsidRDefault="00A4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67498BBA"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DB558A">
      <w:rPr>
        <w:bCs/>
      </w:rPr>
      <w:t>48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4D19CB"/>
    <w:multiLevelType w:val="multilevel"/>
    <w:tmpl w:val="5F4A1988"/>
    <w:lvl w:ilvl="0">
      <w:start w:val="1"/>
      <w:numFmt w:val="decimal"/>
      <w:lvlText w:val="%1"/>
      <w:lvlJc w:val="left"/>
      <w:pPr>
        <w:ind w:left="570" w:hanging="570"/>
      </w:pPr>
      <w:rPr>
        <w:rFonts w:ascii="Calibri" w:eastAsia="SimSun" w:hAnsi="Calibri" w:cs="Times New Roman" w:hint="default"/>
        <w:color w:val="000000" w:themeColor="text1"/>
      </w:rPr>
    </w:lvl>
    <w:lvl w:ilvl="1">
      <w:start w:val="1"/>
      <w:numFmt w:val="decimal"/>
      <w:lvlText w:val="%1.%2"/>
      <w:lvlJc w:val="left"/>
      <w:pPr>
        <w:ind w:left="570" w:hanging="570"/>
      </w:pPr>
      <w:rPr>
        <w:rFonts w:ascii="Calibri" w:eastAsia="SimSun" w:hAnsi="Calibri" w:cs="Times New Roman" w:hint="default"/>
        <w:color w:val="000000" w:themeColor="text1"/>
      </w:rPr>
    </w:lvl>
    <w:lvl w:ilvl="2">
      <w:start w:val="1"/>
      <w:numFmt w:val="decimal"/>
      <w:lvlText w:val="%1.%2.%3"/>
      <w:lvlJc w:val="left"/>
      <w:pPr>
        <w:ind w:left="720" w:hanging="720"/>
      </w:pPr>
      <w:rPr>
        <w:rFonts w:ascii="Calibri" w:eastAsia="SimSun" w:hAnsi="Calibri" w:cs="Times New Roman" w:hint="default"/>
        <w:color w:val="000000" w:themeColor="text1"/>
      </w:rPr>
    </w:lvl>
    <w:lvl w:ilvl="3">
      <w:start w:val="1"/>
      <w:numFmt w:val="decimal"/>
      <w:lvlText w:val="%1.%2.%3.%4"/>
      <w:lvlJc w:val="left"/>
      <w:pPr>
        <w:ind w:left="720" w:hanging="720"/>
      </w:pPr>
      <w:rPr>
        <w:rFonts w:ascii="Calibri" w:eastAsia="SimSun" w:hAnsi="Calibri" w:cs="Times New Roman" w:hint="default"/>
        <w:color w:val="000000" w:themeColor="text1"/>
      </w:rPr>
    </w:lvl>
    <w:lvl w:ilvl="4">
      <w:start w:val="1"/>
      <w:numFmt w:val="decimal"/>
      <w:lvlText w:val="%1.%2.%3.%4.%5"/>
      <w:lvlJc w:val="left"/>
      <w:pPr>
        <w:ind w:left="1080" w:hanging="1080"/>
      </w:pPr>
      <w:rPr>
        <w:rFonts w:ascii="Calibri" w:eastAsia="SimSun" w:hAnsi="Calibri" w:cs="Times New Roman" w:hint="default"/>
        <w:color w:val="000000" w:themeColor="text1"/>
      </w:rPr>
    </w:lvl>
    <w:lvl w:ilvl="5">
      <w:start w:val="1"/>
      <w:numFmt w:val="decimal"/>
      <w:lvlText w:val="%1.%2.%3.%4.%5.%6"/>
      <w:lvlJc w:val="left"/>
      <w:pPr>
        <w:ind w:left="1080" w:hanging="1080"/>
      </w:pPr>
      <w:rPr>
        <w:rFonts w:ascii="Calibri" w:eastAsia="SimSun" w:hAnsi="Calibri" w:cs="Times New Roman" w:hint="default"/>
        <w:color w:val="000000" w:themeColor="text1"/>
      </w:rPr>
    </w:lvl>
    <w:lvl w:ilvl="6">
      <w:start w:val="1"/>
      <w:numFmt w:val="decimal"/>
      <w:lvlText w:val="%1.%2.%3.%4.%5.%6.%7"/>
      <w:lvlJc w:val="left"/>
      <w:pPr>
        <w:ind w:left="1440" w:hanging="1440"/>
      </w:pPr>
      <w:rPr>
        <w:rFonts w:ascii="Calibri" w:eastAsia="SimSun" w:hAnsi="Calibri" w:cs="Times New Roman" w:hint="default"/>
        <w:color w:val="000000" w:themeColor="text1"/>
      </w:rPr>
    </w:lvl>
    <w:lvl w:ilvl="7">
      <w:start w:val="1"/>
      <w:numFmt w:val="decimal"/>
      <w:lvlText w:val="%1.%2.%3.%4.%5.%6.%7.%8"/>
      <w:lvlJc w:val="left"/>
      <w:pPr>
        <w:ind w:left="1440" w:hanging="1440"/>
      </w:pPr>
      <w:rPr>
        <w:rFonts w:ascii="Calibri" w:eastAsia="SimSun" w:hAnsi="Calibri" w:cs="Times New Roman" w:hint="default"/>
        <w:color w:val="000000" w:themeColor="text1"/>
      </w:rPr>
    </w:lvl>
    <w:lvl w:ilvl="8">
      <w:start w:val="1"/>
      <w:numFmt w:val="decimal"/>
      <w:lvlText w:val="%1.%2.%3.%4.%5.%6.%7.%8.%9"/>
      <w:lvlJc w:val="left"/>
      <w:pPr>
        <w:ind w:left="1800" w:hanging="1800"/>
      </w:pPr>
      <w:rPr>
        <w:rFonts w:ascii="Calibri" w:eastAsia="SimSun" w:hAnsi="Calibri" w:cs="Times New Roman" w:hint="default"/>
        <w:color w:val="000000" w:themeColor="text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13C62"/>
    <w:rsid w:val="000210D4"/>
    <w:rsid w:val="0004253E"/>
    <w:rsid w:val="00053DF4"/>
    <w:rsid w:val="000574FD"/>
    <w:rsid w:val="00063016"/>
    <w:rsid w:val="00066795"/>
    <w:rsid w:val="00076AF6"/>
    <w:rsid w:val="00085CF2"/>
    <w:rsid w:val="00096224"/>
    <w:rsid w:val="000B1705"/>
    <w:rsid w:val="000B6251"/>
    <w:rsid w:val="000C465C"/>
    <w:rsid w:val="000D75B2"/>
    <w:rsid w:val="000D7A0A"/>
    <w:rsid w:val="001019F3"/>
    <w:rsid w:val="001121F5"/>
    <w:rsid w:val="0013767A"/>
    <w:rsid w:val="001400DC"/>
    <w:rsid w:val="00140CE1"/>
    <w:rsid w:val="0014114F"/>
    <w:rsid w:val="0014634F"/>
    <w:rsid w:val="001636A8"/>
    <w:rsid w:val="0017539C"/>
    <w:rsid w:val="00175AC2"/>
    <w:rsid w:val="0017609F"/>
    <w:rsid w:val="00191237"/>
    <w:rsid w:val="00192109"/>
    <w:rsid w:val="001C628E"/>
    <w:rsid w:val="001E0F7B"/>
    <w:rsid w:val="00205438"/>
    <w:rsid w:val="002119FD"/>
    <w:rsid w:val="002130E0"/>
    <w:rsid w:val="002218AF"/>
    <w:rsid w:val="00264425"/>
    <w:rsid w:val="00265875"/>
    <w:rsid w:val="0027303B"/>
    <w:rsid w:val="0028109B"/>
    <w:rsid w:val="002A2188"/>
    <w:rsid w:val="002A2633"/>
    <w:rsid w:val="002B1F58"/>
    <w:rsid w:val="002C1C7A"/>
    <w:rsid w:val="0030160F"/>
    <w:rsid w:val="00320223"/>
    <w:rsid w:val="00322D0D"/>
    <w:rsid w:val="003508F0"/>
    <w:rsid w:val="00351A5C"/>
    <w:rsid w:val="003942D4"/>
    <w:rsid w:val="003947AC"/>
    <w:rsid w:val="003958A8"/>
    <w:rsid w:val="003C2533"/>
    <w:rsid w:val="003E06B5"/>
    <w:rsid w:val="0040435A"/>
    <w:rsid w:val="00416A24"/>
    <w:rsid w:val="00431D9E"/>
    <w:rsid w:val="00433CE8"/>
    <w:rsid w:val="00434A5C"/>
    <w:rsid w:val="004544D9"/>
    <w:rsid w:val="00473DA0"/>
    <w:rsid w:val="00490E72"/>
    <w:rsid w:val="00491157"/>
    <w:rsid w:val="004921C8"/>
    <w:rsid w:val="00493312"/>
    <w:rsid w:val="004A1B8B"/>
    <w:rsid w:val="004B7F36"/>
    <w:rsid w:val="004D1851"/>
    <w:rsid w:val="004D599D"/>
    <w:rsid w:val="004E0BB6"/>
    <w:rsid w:val="004E2EA5"/>
    <w:rsid w:val="004E3AEB"/>
    <w:rsid w:val="0050223C"/>
    <w:rsid w:val="005243FF"/>
    <w:rsid w:val="005435AB"/>
    <w:rsid w:val="00547475"/>
    <w:rsid w:val="005526CF"/>
    <w:rsid w:val="00564FBC"/>
    <w:rsid w:val="00582442"/>
    <w:rsid w:val="00592DBC"/>
    <w:rsid w:val="005C7831"/>
    <w:rsid w:val="005F3269"/>
    <w:rsid w:val="006023E1"/>
    <w:rsid w:val="0061322E"/>
    <w:rsid w:val="00623AE3"/>
    <w:rsid w:val="0064737F"/>
    <w:rsid w:val="006535F1"/>
    <w:rsid w:val="0065557D"/>
    <w:rsid w:val="00662984"/>
    <w:rsid w:val="006716BB"/>
    <w:rsid w:val="00683D10"/>
    <w:rsid w:val="006B6680"/>
    <w:rsid w:val="006B6DCC"/>
    <w:rsid w:val="006C0F4E"/>
    <w:rsid w:val="006D2403"/>
    <w:rsid w:val="006E418D"/>
    <w:rsid w:val="006E4C40"/>
    <w:rsid w:val="006F0126"/>
    <w:rsid w:val="00702DEF"/>
    <w:rsid w:val="00706861"/>
    <w:rsid w:val="0075051B"/>
    <w:rsid w:val="00766CEB"/>
    <w:rsid w:val="00793188"/>
    <w:rsid w:val="00794D34"/>
    <w:rsid w:val="007C46E5"/>
    <w:rsid w:val="007D74F0"/>
    <w:rsid w:val="007E0644"/>
    <w:rsid w:val="00813E5E"/>
    <w:rsid w:val="00821A85"/>
    <w:rsid w:val="0083581B"/>
    <w:rsid w:val="00846EAF"/>
    <w:rsid w:val="00854993"/>
    <w:rsid w:val="00864AFF"/>
    <w:rsid w:val="00872BEE"/>
    <w:rsid w:val="00881FA1"/>
    <w:rsid w:val="00892C21"/>
    <w:rsid w:val="008970AF"/>
    <w:rsid w:val="008B1B18"/>
    <w:rsid w:val="008B4A6A"/>
    <w:rsid w:val="008C7E27"/>
    <w:rsid w:val="008F5705"/>
    <w:rsid w:val="00904DA3"/>
    <w:rsid w:val="009173EF"/>
    <w:rsid w:val="00922F72"/>
    <w:rsid w:val="00932906"/>
    <w:rsid w:val="0095244E"/>
    <w:rsid w:val="00961B0B"/>
    <w:rsid w:val="00967E6C"/>
    <w:rsid w:val="009B38C3"/>
    <w:rsid w:val="009B7945"/>
    <w:rsid w:val="009E17BD"/>
    <w:rsid w:val="009E485A"/>
    <w:rsid w:val="00A0001A"/>
    <w:rsid w:val="00A04CEC"/>
    <w:rsid w:val="00A27F92"/>
    <w:rsid w:val="00A32257"/>
    <w:rsid w:val="00A36D20"/>
    <w:rsid w:val="00A42A22"/>
    <w:rsid w:val="00A47D6C"/>
    <w:rsid w:val="00A55622"/>
    <w:rsid w:val="00A82624"/>
    <w:rsid w:val="00A83502"/>
    <w:rsid w:val="00A923C5"/>
    <w:rsid w:val="00A95DE3"/>
    <w:rsid w:val="00AD15B3"/>
    <w:rsid w:val="00AE3B48"/>
    <w:rsid w:val="00AF6E49"/>
    <w:rsid w:val="00B011E4"/>
    <w:rsid w:val="00B0250B"/>
    <w:rsid w:val="00B04A67"/>
    <w:rsid w:val="00B0583C"/>
    <w:rsid w:val="00B40A81"/>
    <w:rsid w:val="00B44910"/>
    <w:rsid w:val="00B46098"/>
    <w:rsid w:val="00B539DD"/>
    <w:rsid w:val="00B574D3"/>
    <w:rsid w:val="00B72267"/>
    <w:rsid w:val="00B76EB6"/>
    <w:rsid w:val="00B7737B"/>
    <w:rsid w:val="00B824C8"/>
    <w:rsid w:val="00B83B8C"/>
    <w:rsid w:val="00B84B9D"/>
    <w:rsid w:val="00B921D7"/>
    <w:rsid w:val="00BB5CFF"/>
    <w:rsid w:val="00BC251A"/>
    <w:rsid w:val="00BD032B"/>
    <w:rsid w:val="00BE2640"/>
    <w:rsid w:val="00C01189"/>
    <w:rsid w:val="00C220F4"/>
    <w:rsid w:val="00C23AB7"/>
    <w:rsid w:val="00C3026E"/>
    <w:rsid w:val="00C32CF7"/>
    <w:rsid w:val="00C374DE"/>
    <w:rsid w:val="00C47AD4"/>
    <w:rsid w:val="00C52D81"/>
    <w:rsid w:val="00C55198"/>
    <w:rsid w:val="00C56A65"/>
    <w:rsid w:val="00C964DB"/>
    <w:rsid w:val="00CA6393"/>
    <w:rsid w:val="00CB18FF"/>
    <w:rsid w:val="00CD0C08"/>
    <w:rsid w:val="00CE03FB"/>
    <w:rsid w:val="00CE433C"/>
    <w:rsid w:val="00CF33F3"/>
    <w:rsid w:val="00CF50D6"/>
    <w:rsid w:val="00D06183"/>
    <w:rsid w:val="00D14700"/>
    <w:rsid w:val="00D22C42"/>
    <w:rsid w:val="00D23BA0"/>
    <w:rsid w:val="00D40133"/>
    <w:rsid w:val="00D40E19"/>
    <w:rsid w:val="00D60833"/>
    <w:rsid w:val="00D65041"/>
    <w:rsid w:val="00D87003"/>
    <w:rsid w:val="00DA6D56"/>
    <w:rsid w:val="00DB384B"/>
    <w:rsid w:val="00DB558A"/>
    <w:rsid w:val="00E10E80"/>
    <w:rsid w:val="00E124F0"/>
    <w:rsid w:val="00E14273"/>
    <w:rsid w:val="00E332ED"/>
    <w:rsid w:val="00E51450"/>
    <w:rsid w:val="00E60F04"/>
    <w:rsid w:val="00E854E4"/>
    <w:rsid w:val="00EB0D6F"/>
    <w:rsid w:val="00EB2232"/>
    <w:rsid w:val="00EC5337"/>
    <w:rsid w:val="00EF1ED8"/>
    <w:rsid w:val="00F2150A"/>
    <w:rsid w:val="00F231D8"/>
    <w:rsid w:val="00F46C5F"/>
    <w:rsid w:val="00F65AB9"/>
    <w:rsid w:val="00F83C2D"/>
    <w:rsid w:val="00F94A63"/>
    <w:rsid w:val="00FA1C28"/>
    <w:rsid w:val="00FA282A"/>
    <w:rsid w:val="00FB1279"/>
    <w:rsid w:val="00FB7596"/>
    <w:rsid w:val="00FB788F"/>
    <w:rsid w:val="00FD1390"/>
    <w:rsid w:val="00FE293C"/>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872BEE"/>
    <w:rPr>
      <w:color w:val="605E5C"/>
      <w:shd w:val="clear" w:color="auto" w:fill="E1DFDD"/>
    </w:rPr>
  </w:style>
  <w:style w:type="paragraph" w:styleId="ListParagraph">
    <w:name w:val="List Paragraph"/>
    <w:basedOn w:val="Normal"/>
    <w:uiPriority w:val="34"/>
    <w:qFormat/>
    <w:rsid w:val="0004253E"/>
    <w:pPr>
      <w:ind w:left="720"/>
      <w:contextualSpacing/>
    </w:pPr>
  </w:style>
  <w:style w:type="paragraph" w:styleId="Revision">
    <w:name w:val="Revision"/>
    <w:hidden/>
    <w:uiPriority w:val="99"/>
    <w:semiHidden/>
    <w:rsid w:val="004B7F3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ADD-C-0005/en" TargetMode="External"/><Relationship Id="rId18" Type="http://schemas.openxmlformats.org/officeDocument/2006/relationships/hyperlink" Target="https://www.itu.int/md/S21-CL-C-0048/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yperlink" Target="https://www.itu.int/md/S21-CL-C-0048/en" TargetMode="External"/><Relationship Id="rId2" Type="http://schemas.openxmlformats.org/officeDocument/2006/relationships/customXml" Target="../customXml/item2.xml"/><Relationship Id="rId16" Type="http://schemas.openxmlformats.org/officeDocument/2006/relationships/hyperlink" Target="https://www.itu.int/md/S20-CL-C-004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19-CL-C-0048/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hq-building/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212-E.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6E2D9F1064C94388CCA3D14D44BD29" ma:contentTypeVersion="12" ma:contentTypeDescription="Create a new document." ma:contentTypeScope="" ma:versionID="bb4f7b81e402f30c5c12d1b494a842af">
  <xsd:schema xmlns:xsd="http://www.w3.org/2001/XMLSchema" xmlns:xs="http://www.w3.org/2001/XMLSchema" xmlns:p="http://schemas.microsoft.com/office/2006/metadata/properties" xmlns:ns2="b9cb8e48-1496-495a-9185-61308b326d65" xmlns:ns3="d7f20348-7d28-4ef6-bb65-6aac1f9b6f82" targetNamespace="http://schemas.microsoft.com/office/2006/metadata/properties" ma:root="true" ma:fieldsID="9224af8959991c6462ce3f005e514e3a" ns2:_="" ns3:_="">
    <xsd:import namespace="b9cb8e48-1496-495a-9185-61308b326d65"/>
    <xsd:import namespace="d7f20348-7d28-4ef6-bb65-6aac1f9b6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b8e48-1496-495a-9185-61308b32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20348-7d28-4ef6-bb65-6aac1f9b6f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49DE5-9772-4FE0-8C4E-19EB42960256}">
  <ds:schemaRefs>
    <ds:schemaRef ds:uri="d7f20348-7d28-4ef6-bb65-6aac1f9b6f82"/>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9cb8e48-1496-495a-9185-61308b326d65"/>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746E264-92A4-46D7-8541-967862A6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b8e48-1496-495a-9185-61308b326d65"/>
    <ds:schemaRef ds:uri="d7f20348-7d28-4ef6-bb65-6aac1f9b6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B4D69-1D32-4801-A8AA-8CA23BC50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PE_C21.dotx</Template>
  <TotalTime>25</TotalTime>
  <Pages>2</Pages>
  <Words>856</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Summary report of the work of MSAG</vt:lpstr>
    </vt:vector>
  </TitlesOfParts>
  <Manager>General Secretariat - Pool</Manager>
  <Company/>
  <LinksUpToDate>false</LinksUpToDate>
  <CharactersWithSpaces>5859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2022</dc:subject>
  <dc:creator>Brouard, Ricarda</dc:creator>
  <cp:keywords>C2022, C22, Council-22</cp:keywords>
  <dc:description/>
  <cp:lastModifiedBy>Xue, Kun</cp:lastModifiedBy>
  <cp:revision>6</cp:revision>
  <cp:lastPrinted>2000-07-18T13:30:00Z</cp:lastPrinted>
  <dcterms:created xsi:type="dcterms:W3CDTF">2021-12-23T14:41:00Z</dcterms:created>
  <dcterms:modified xsi:type="dcterms:W3CDTF">2022-01-13T15:29:00Z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0x010100746E2D9F1064C94388CCA3D14D44BD29</vt:lpwstr>
  </property>
</Properties>
</file>