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B86145C" w14:textId="77777777">
        <w:trPr>
          <w:cantSplit/>
        </w:trPr>
        <w:tc>
          <w:tcPr>
            <w:tcW w:w="6912" w:type="dxa"/>
          </w:tcPr>
          <w:p w14:paraId="35AF565C" w14:textId="51C42250"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B01B09" w:rsidRPr="00B01B09">
              <w:rPr>
                <w:b/>
                <w:bCs/>
                <w:szCs w:val="24"/>
              </w:rPr>
              <w:t>Reunión final, Bucarest, 24 de septiembre de 2022</w:t>
            </w:r>
          </w:p>
        </w:tc>
        <w:tc>
          <w:tcPr>
            <w:tcW w:w="3261" w:type="dxa"/>
          </w:tcPr>
          <w:p w14:paraId="2290E3F6"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7FA696BF" wp14:editId="34F21D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7F24135" w14:textId="77777777">
        <w:trPr>
          <w:cantSplit/>
          <w:trHeight w:val="20"/>
        </w:trPr>
        <w:tc>
          <w:tcPr>
            <w:tcW w:w="10173" w:type="dxa"/>
            <w:gridSpan w:val="2"/>
            <w:tcBorders>
              <w:bottom w:val="single" w:sz="12" w:space="0" w:color="auto"/>
            </w:tcBorders>
          </w:tcPr>
          <w:p w14:paraId="51C7C58B" w14:textId="77777777" w:rsidR="00093EEB" w:rsidRPr="00EB1212" w:rsidRDefault="00093EEB">
            <w:pPr>
              <w:spacing w:before="0"/>
              <w:rPr>
                <w:b/>
                <w:bCs/>
                <w:szCs w:val="24"/>
              </w:rPr>
            </w:pPr>
          </w:p>
        </w:tc>
      </w:tr>
      <w:tr w:rsidR="00093EEB" w:rsidRPr="000B0D00" w14:paraId="7DBC5D37" w14:textId="77777777">
        <w:trPr>
          <w:cantSplit/>
          <w:trHeight w:val="20"/>
        </w:trPr>
        <w:tc>
          <w:tcPr>
            <w:tcW w:w="6912" w:type="dxa"/>
            <w:tcBorders>
              <w:top w:val="single" w:sz="12" w:space="0" w:color="auto"/>
            </w:tcBorders>
          </w:tcPr>
          <w:p w14:paraId="23BC74AF"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FD51CBE" w14:textId="77777777" w:rsidR="00093EEB" w:rsidRPr="000B0D00" w:rsidRDefault="00093EEB">
            <w:pPr>
              <w:spacing w:before="0"/>
              <w:rPr>
                <w:b/>
                <w:bCs/>
                <w:szCs w:val="24"/>
              </w:rPr>
            </w:pPr>
          </w:p>
        </w:tc>
      </w:tr>
      <w:tr w:rsidR="00B01B09" w:rsidRPr="000B0D00" w14:paraId="314992BF" w14:textId="77777777">
        <w:trPr>
          <w:cantSplit/>
          <w:trHeight w:val="20"/>
        </w:trPr>
        <w:tc>
          <w:tcPr>
            <w:tcW w:w="6912" w:type="dxa"/>
            <w:shd w:val="clear" w:color="auto" w:fill="auto"/>
          </w:tcPr>
          <w:p w14:paraId="3E511006" w14:textId="1CCDABF0" w:rsidR="00B01B09" w:rsidRPr="00093EEB" w:rsidRDefault="00B01B09" w:rsidP="00B01B0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76B0A">
              <w:rPr>
                <w:rFonts w:cs="Times"/>
                <w:b/>
                <w:szCs w:val="24"/>
              </w:rPr>
              <w:t>Punto del orden del día: ADM 1</w:t>
            </w:r>
            <w:r>
              <w:rPr>
                <w:rFonts w:cs="Times"/>
                <w:b/>
                <w:szCs w:val="24"/>
              </w:rPr>
              <w:t>4</w:t>
            </w:r>
          </w:p>
        </w:tc>
        <w:tc>
          <w:tcPr>
            <w:tcW w:w="3261" w:type="dxa"/>
          </w:tcPr>
          <w:p w14:paraId="46E0988F" w14:textId="7E0F2C97" w:rsidR="00B01B09" w:rsidRPr="00093EEB" w:rsidRDefault="00B01B09" w:rsidP="00B01B09">
            <w:pPr>
              <w:spacing w:before="0"/>
              <w:rPr>
                <w:b/>
                <w:bCs/>
                <w:szCs w:val="24"/>
              </w:rPr>
            </w:pPr>
            <w:r w:rsidRPr="00776B0A">
              <w:rPr>
                <w:b/>
                <w:bCs/>
                <w:szCs w:val="24"/>
              </w:rPr>
              <w:t>Documento C2</w:t>
            </w:r>
            <w:r>
              <w:rPr>
                <w:b/>
                <w:bCs/>
                <w:szCs w:val="24"/>
              </w:rPr>
              <w:t>2</w:t>
            </w:r>
            <w:r w:rsidRPr="00776B0A">
              <w:rPr>
                <w:b/>
                <w:bCs/>
                <w:szCs w:val="24"/>
              </w:rPr>
              <w:t>/46-S</w:t>
            </w:r>
          </w:p>
        </w:tc>
      </w:tr>
      <w:tr w:rsidR="00B01B09" w:rsidRPr="000B0D00" w14:paraId="465BCDFF" w14:textId="77777777">
        <w:trPr>
          <w:cantSplit/>
          <w:trHeight w:val="20"/>
        </w:trPr>
        <w:tc>
          <w:tcPr>
            <w:tcW w:w="6912" w:type="dxa"/>
            <w:shd w:val="clear" w:color="auto" w:fill="auto"/>
          </w:tcPr>
          <w:p w14:paraId="6E8F7955" w14:textId="77777777" w:rsidR="00B01B09" w:rsidRPr="000B0D00" w:rsidRDefault="00B01B09" w:rsidP="00B01B09">
            <w:pPr>
              <w:shd w:val="solid" w:color="FFFFFF" w:fill="FFFFFF"/>
              <w:spacing w:before="0"/>
              <w:rPr>
                <w:smallCaps/>
                <w:szCs w:val="24"/>
              </w:rPr>
            </w:pPr>
            <w:bookmarkStart w:id="5" w:name="ddate" w:colFirst="1" w:colLast="1"/>
            <w:bookmarkEnd w:id="3"/>
            <w:bookmarkEnd w:id="4"/>
          </w:p>
        </w:tc>
        <w:tc>
          <w:tcPr>
            <w:tcW w:w="3261" w:type="dxa"/>
          </w:tcPr>
          <w:p w14:paraId="112EAAD1" w14:textId="67AF5A72" w:rsidR="00B01B09" w:rsidRPr="00093EEB" w:rsidRDefault="00B01B09" w:rsidP="00B01B09">
            <w:pPr>
              <w:spacing w:before="0"/>
              <w:rPr>
                <w:b/>
                <w:bCs/>
                <w:szCs w:val="24"/>
              </w:rPr>
            </w:pPr>
            <w:r>
              <w:rPr>
                <w:b/>
                <w:bCs/>
                <w:szCs w:val="24"/>
              </w:rPr>
              <w:t>25 de mayo</w:t>
            </w:r>
            <w:r w:rsidRPr="00776B0A">
              <w:rPr>
                <w:b/>
                <w:bCs/>
                <w:szCs w:val="24"/>
              </w:rPr>
              <w:t xml:space="preserve"> de 202</w:t>
            </w:r>
            <w:r>
              <w:rPr>
                <w:b/>
                <w:bCs/>
                <w:szCs w:val="24"/>
              </w:rPr>
              <w:t>2</w:t>
            </w:r>
          </w:p>
        </w:tc>
      </w:tr>
      <w:tr w:rsidR="00093EEB" w:rsidRPr="000B0D00" w14:paraId="39E12A75" w14:textId="77777777">
        <w:trPr>
          <w:cantSplit/>
          <w:trHeight w:val="20"/>
        </w:trPr>
        <w:tc>
          <w:tcPr>
            <w:tcW w:w="6912" w:type="dxa"/>
            <w:shd w:val="clear" w:color="auto" w:fill="auto"/>
          </w:tcPr>
          <w:p w14:paraId="4AFA80B5"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07288E21" w14:textId="77777777" w:rsidR="00093EEB" w:rsidRPr="00093EEB" w:rsidRDefault="00093EEB" w:rsidP="00093EEB">
            <w:pPr>
              <w:spacing w:before="0"/>
              <w:rPr>
                <w:b/>
                <w:bCs/>
                <w:szCs w:val="24"/>
              </w:rPr>
            </w:pPr>
            <w:r>
              <w:rPr>
                <w:b/>
                <w:bCs/>
                <w:szCs w:val="24"/>
              </w:rPr>
              <w:t>Original: inglés</w:t>
            </w:r>
          </w:p>
        </w:tc>
      </w:tr>
      <w:tr w:rsidR="00B01B09" w:rsidRPr="000B0D00" w14:paraId="78EC3320" w14:textId="77777777">
        <w:trPr>
          <w:cantSplit/>
        </w:trPr>
        <w:tc>
          <w:tcPr>
            <w:tcW w:w="10173" w:type="dxa"/>
            <w:gridSpan w:val="2"/>
          </w:tcPr>
          <w:p w14:paraId="0E269343" w14:textId="07639B49" w:rsidR="00B01B09" w:rsidRPr="000B0D00" w:rsidRDefault="00B01B09" w:rsidP="00B01B09">
            <w:pPr>
              <w:pStyle w:val="Source"/>
            </w:pPr>
            <w:bookmarkStart w:id="7" w:name="dsource" w:colFirst="0" w:colLast="0"/>
            <w:bookmarkEnd w:id="1"/>
            <w:bookmarkEnd w:id="6"/>
            <w:r w:rsidRPr="00776B0A">
              <w:t>Informe del Secretario General</w:t>
            </w:r>
          </w:p>
        </w:tc>
      </w:tr>
      <w:tr w:rsidR="00B01B09" w:rsidRPr="000B0D00" w14:paraId="71E3C329" w14:textId="77777777">
        <w:trPr>
          <w:cantSplit/>
        </w:trPr>
        <w:tc>
          <w:tcPr>
            <w:tcW w:w="10173" w:type="dxa"/>
            <w:gridSpan w:val="2"/>
          </w:tcPr>
          <w:p w14:paraId="18723EE6" w14:textId="0DD28CE3" w:rsidR="00B01B09" w:rsidRPr="000B0D00" w:rsidRDefault="00B01B09" w:rsidP="00B01B09">
            <w:pPr>
              <w:pStyle w:val="Title1"/>
            </w:pPr>
            <w:bookmarkStart w:id="8" w:name="dtitle1" w:colFirst="0" w:colLast="0"/>
            <w:bookmarkEnd w:id="7"/>
            <w:r w:rsidRPr="00776B0A">
              <w:t>PASIVO DEL SEGURO MÉDICO DESPUÉS DEL SERVICIO (ASHI)</w:t>
            </w:r>
          </w:p>
        </w:tc>
      </w:tr>
      <w:bookmarkEnd w:id="8"/>
    </w:tbl>
    <w:p w14:paraId="49C2F248"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73E8766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6D58DB2" w14:textId="77777777" w:rsidR="00093EEB" w:rsidRPr="000B0D00" w:rsidRDefault="00093EEB">
            <w:pPr>
              <w:pStyle w:val="Headingb"/>
              <w:rPr>
                <w:lang w:val="es-ES"/>
              </w:rPr>
            </w:pPr>
            <w:r w:rsidRPr="000B0D00">
              <w:rPr>
                <w:lang w:val="es-ES"/>
              </w:rPr>
              <w:t>Resumen</w:t>
            </w:r>
          </w:p>
          <w:p w14:paraId="3FD7BEE0" w14:textId="77777777" w:rsidR="00B01B09" w:rsidRPr="00B01B09" w:rsidRDefault="00B01B09" w:rsidP="00B01B09">
            <w:r w:rsidRPr="00B01B09">
              <w:t>En el presente documento se informa de la situación del pasivo del seguro médico después del servicio (ASHI) al 31 de diciembre de 2021, con arreglo a una petición formulada por el Consejo en su reunión de 2014 para recibir informes anuales de la UIT sobre el pasivo del ASHI y para que la UIT presente propuestas de costes para financiar parcialmente este pasivo, de conformidad con lo dispuesto en la Recomendación 6 de los informes del Auditor Externo sobre las cuentas correspondientes a 2012.</w:t>
            </w:r>
          </w:p>
          <w:p w14:paraId="607DA586" w14:textId="77777777" w:rsidR="00093EEB" w:rsidRPr="000B0D00" w:rsidRDefault="00093EEB">
            <w:pPr>
              <w:pStyle w:val="Headingb"/>
              <w:rPr>
                <w:lang w:val="es-ES"/>
              </w:rPr>
            </w:pPr>
            <w:r w:rsidRPr="000B0D00">
              <w:rPr>
                <w:lang w:val="es-ES"/>
              </w:rPr>
              <w:t>Acción solicitada</w:t>
            </w:r>
          </w:p>
          <w:p w14:paraId="2FF58CB0" w14:textId="7F8F3116" w:rsidR="00B01B09" w:rsidRPr="00B01B09" w:rsidRDefault="00B01B09" w:rsidP="00B01B09">
            <w:r w:rsidRPr="00B01B09">
              <w:t xml:space="preserve">Se invita al Consejo a </w:t>
            </w:r>
            <w:r w:rsidRPr="00B01B09">
              <w:rPr>
                <w:b/>
                <w:bCs/>
              </w:rPr>
              <w:t>tomar nota</w:t>
            </w:r>
            <w:r w:rsidRPr="00B01B09">
              <w:t xml:space="preserve"> del presente documento.</w:t>
            </w:r>
          </w:p>
          <w:p w14:paraId="7DAB7767"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3610A274" w14:textId="4D4456D6" w:rsidR="00093EEB" w:rsidRPr="000B0D00" w:rsidRDefault="00093EEB">
            <w:pPr>
              <w:pStyle w:val="Headingb"/>
              <w:rPr>
                <w:lang w:val="es-ES"/>
              </w:rPr>
            </w:pPr>
            <w:r w:rsidRPr="000B0D00">
              <w:rPr>
                <w:lang w:val="es-ES"/>
              </w:rPr>
              <w:t>Referencia</w:t>
            </w:r>
            <w:r w:rsidR="00216EF1">
              <w:rPr>
                <w:lang w:val="es-ES"/>
              </w:rPr>
              <w:t>s</w:t>
            </w:r>
          </w:p>
          <w:p w14:paraId="0A8D9060" w14:textId="1EDC2F21" w:rsidR="00093EEB" w:rsidRPr="00216EF1" w:rsidRDefault="00B01B09" w:rsidP="00216EF1">
            <w:pPr>
              <w:spacing w:after="120"/>
            </w:pPr>
            <w:r w:rsidRPr="00B01B09">
              <w:t xml:space="preserve">Documento </w:t>
            </w:r>
            <w:hyperlink r:id="rId9" w:history="1">
              <w:r w:rsidRPr="00B01B09">
                <w:rPr>
                  <w:rStyle w:val="Hyperlink"/>
                </w:rPr>
                <w:t>C21/46</w:t>
              </w:r>
            </w:hyperlink>
            <w:r w:rsidRPr="00B01B09">
              <w:t xml:space="preserve"> y </w:t>
            </w:r>
            <w:hyperlink r:id="rId10" w:history="1">
              <w:r w:rsidRPr="00B01B09">
                <w:rPr>
                  <w:rStyle w:val="Hyperlink"/>
                </w:rPr>
                <w:t>Decisión 5</w:t>
              </w:r>
            </w:hyperlink>
            <w:r w:rsidRPr="00B01B09">
              <w:t xml:space="preserve"> (Rev. Dubái, 2018)</w:t>
            </w:r>
          </w:p>
        </w:tc>
      </w:tr>
    </w:tbl>
    <w:p w14:paraId="7F725F44" w14:textId="28480C7C" w:rsidR="00B01B09" w:rsidRPr="00B01B09" w:rsidRDefault="00B01B09" w:rsidP="00B01B09">
      <w:pPr>
        <w:pStyle w:val="Heading1"/>
      </w:pPr>
      <w:r w:rsidRPr="00B01B09">
        <w:t>1</w:t>
      </w:r>
      <w:r w:rsidRPr="00B01B09">
        <w:tab/>
        <w:t>Introducción</w:t>
      </w:r>
    </w:p>
    <w:p w14:paraId="61BDA00C" w14:textId="77777777" w:rsidR="00B01B09" w:rsidRPr="00B01B09" w:rsidRDefault="00B01B09" w:rsidP="00B01B09">
      <w:r w:rsidRPr="00B01B09">
        <w:t>1.1</w:t>
      </w:r>
      <w:r w:rsidRPr="00B01B09">
        <w:tab/>
        <w:t>Los activos netos de la UIT han pasado de tener un saldo positivo a tener uno negativo como consecuencia de la gestión del pasivo del ASHI con arreglo a las Normas Internacionales de Contabilidad para el Sector Público (IPSAS), lo que obliga a reconocer el valor actual del pasivo futuro en relación con el ASHI.</w:t>
      </w:r>
    </w:p>
    <w:p w14:paraId="42B1DF60" w14:textId="77777777" w:rsidR="00B01B09" w:rsidRPr="00B01B09" w:rsidRDefault="00B01B09" w:rsidP="00B01B09">
      <w:r w:rsidRPr="00B01B09">
        <w:t>1.2</w:t>
      </w:r>
      <w:r w:rsidRPr="00B01B09">
        <w:tab/>
        <w:t>El programa ASHI, que asegura la continuación del seguro médico de los empleados que pueden beneficiarse de dicho seguro tras la jubilación en forma de programa autofinanciado, se creó en 1967. Desde entonces, los costes conexos que comparten la Unión y el personal han aumentado considerablemente debido al incremento del número de jubilados afiliados y al aumento de los gastos médicos.</w:t>
      </w:r>
    </w:p>
    <w:p w14:paraId="3CD338BF" w14:textId="77777777" w:rsidR="00B01B09" w:rsidRPr="00B01B09" w:rsidRDefault="00B01B09" w:rsidP="00CC4AC2">
      <w:r w:rsidRPr="00B01B09">
        <w:t>1.3</w:t>
      </w:r>
      <w:r w:rsidRPr="00B01B09">
        <w:tab/>
        <w:t xml:space="preserve">El pasivo del ASHI refleja en la fecha de cierre el valor actual de lo que la UIT debería abonar a día de hoy en caso de cese de actividad. Si bien esta situación es muy improbable, la Unión está tratando de aumentar la cobertura del fondo y reducir así las obligaciones conexas. Se han tomado medidas para tratar de que el plan de seguro médico vuelva a registrar superávit con el fin de </w:t>
      </w:r>
      <w:r w:rsidRPr="00B01B09">
        <w:lastRenderedPageBreak/>
        <w:t>poder garantizar una cobertura basada en los ingresos corrientes y crear recursos disponibles para financiar el pasivo actuarial.</w:t>
      </w:r>
    </w:p>
    <w:p w14:paraId="0E34CD2F" w14:textId="50211AF6" w:rsidR="00B01B09" w:rsidRPr="00B01B09" w:rsidRDefault="00B01B09" w:rsidP="00B01B09">
      <w:r w:rsidRPr="00B01B09">
        <w:t>1.4</w:t>
      </w:r>
      <w:r w:rsidRPr="00B01B09">
        <w:tab/>
        <w:t>Las obligaciones relacionadas con el ASHI al 31 de diciembre de 2021 ascienden a</w:t>
      </w:r>
      <w:r w:rsidR="003C3D28">
        <w:t xml:space="preserve"> </w:t>
      </w:r>
      <w:r w:rsidRPr="00B01B09">
        <w:t>545,63</w:t>
      </w:r>
      <w:r w:rsidR="003C3D28">
        <w:t> </w:t>
      </w:r>
      <w:r w:rsidRPr="00B01B09">
        <w:t>millones CHF. La disminución de esta cifra con respecto a los 631,87 millones CHF que se registraban a finales de 2020 podría deberse a la modificación de las hipótesis financieras para</w:t>
      </w:r>
      <w:r w:rsidR="003C3D28">
        <w:t> </w:t>
      </w:r>
      <w:r w:rsidRPr="00B01B09">
        <w:t>2021. El principal elemento que afecta a la evaluación del ASHI es la tasa de descuento utilizada para calcular el valor actual de las futuras solicitudes de reembolso. En 2021, la tasa aumentó del 0,2% al 0,5%. Ese aumento dio lugar a un beneficio en el ASHI de 36,7 millones CHF.</w:t>
      </w:r>
    </w:p>
    <w:p w14:paraId="1AB036BA" w14:textId="73FACD45" w:rsidR="00B01B09" w:rsidRPr="00B01B09" w:rsidRDefault="00B01B09" w:rsidP="00B01B09">
      <w:r w:rsidRPr="00B01B09">
        <w:t>1.5</w:t>
      </w:r>
      <w:r w:rsidRPr="00B01B09">
        <w:tab/>
        <w:t>El segundo elemento que ha afectado favorablemente al pasivo del ASHI en 2021 es la inflación relativa a la evolución en el plano médico. El bajo valor actual de dicha inflación en Suiza, así como la cantidad de solicitudes de reembolso, dieron lugar a un beneficio de 44,7</w:t>
      </w:r>
      <w:r w:rsidR="00346751">
        <w:t> </w:t>
      </w:r>
      <w:r w:rsidRPr="00B01B09">
        <w:t>millones</w:t>
      </w:r>
      <w:r w:rsidR="00346751">
        <w:t> </w:t>
      </w:r>
      <w:r w:rsidRPr="00B01B09">
        <w:t>CHF.</w:t>
      </w:r>
    </w:p>
    <w:p w14:paraId="75304F50" w14:textId="77777777" w:rsidR="00B01B09" w:rsidRPr="00B01B09" w:rsidRDefault="00B01B09" w:rsidP="00B01B09">
      <w:pPr>
        <w:pStyle w:val="Heading1"/>
      </w:pPr>
      <w:r w:rsidRPr="00B01B09">
        <w:t>2</w:t>
      </w:r>
      <w:r w:rsidRPr="00B01B09">
        <w:tab/>
        <w:t>Plan médico de salud en vigor en la UIT</w:t>
      </w:r>
    </w:p>
    <w:p w14:paraId="595FB6C8" w14:textId="53ECF1FD" w:rsidR="00B01B09" w:rsidRPr="00B01B09" w:rsidRDefault="00B01B09" w:rsidP="00B01B09">
      <w:r w:rsidRPr="00B01B09">
        <w:t>2.1</w:t>
      </w:r>
      <w:r w:rsidRPr="00B01B09">
        <w:tab/>
        <w:t>Desde enero de 2020, la UIT forma parte de la Mutualidad de Seguros del Personal de las Naciones Unidas contra Enfermedad y Accidentes (UNSMIS). La adhesión a este plan médico de las Naciones Unidas presenta ventajas para el personal, ya que se ha reducido la tasa de la contribución y se ha eliminado del deducible, y también para la UIT en un enfoque a largo plazo, debido al tamaño de este plan. El plan reúne a varias organizaciones y organismos especializados de las Naciones Unidas con base en Ginebra, e incluye al personal de la Oficina de las Naciones Unidas, el ACNUR y la OMM.</w:t>
      </w:r>
    </w:p>
    <w:p w14:paraId="4A48E25A" w14:textId="6692055C" w:rsidR="00B01B09" w:rsidRPr="00B01B09" w:rsidRDefault="00B01B09" w:rsidP="00B01B09">
      <w:r w:rsidRPr="00B01B09">
        <w:t>2.2</w:t>
      </w:r>
      <w:r w:rsidRPr="00B01B09">
        <w:tab/>
        <w:t>El plan de la UNSMIS se basa en una contribución salarial del 3,4% establecida a partir del 1</w:t>
      </w:r>
      <w:r w:rsidR="00346751">
        <w:t> </w:t>
      </w:r>
      <w:r w:rsidRPr="00B01B09">
        <w:t>de enero de 2020. El seguimiento de la contención de los costes forma parte ahora de las tareas del Comité de la UNSMIS, en el que la UIT tiene un puesto como nuevo miembro.</w:t>
      </w:r>
    </w:p>
    <w:p w14:paraId="692063CB" w14:textId="0AE47E3B" w:rsidR="00B01B09" w:rsidRPr="00B01B09" w:rsidRDefault="00B01B09" w:rsidP="00440936">
      <w:pPr>
        <w:pStyle w:val="Heading1"/>
      </w:pPr>
      <w:r w:rsidRPr="00B01B09">
        <w:t>3</w:t>
      </w:r>
      <w:r w:rsidRPr="00B01B09">
        <w:tab/>
        <w:t>Evolución del pasivo del ASHI en 2021</w:t>
      </w:r>
    </w:p>
    <w:p w14:paraId="1AA15F6E" w14:textId="5313D237" w:rsidR="00B01B09" w:rsidRPr="00B01B09" w:rsidRDefault="00B01B09" w:rsidP="00C35959">
      <w:pPr>
        <w:spacing w:after="120"/>
      </w:pPr>
      <w:r w:rsidRPr="00B01B09">
        <w:t>3.1</w:t>
      </w:r>
      <w:r w:rsidRPr="00B01B09">
        <w:tab/>
        <w:t>La evolución del pasivo del ASHI desde 2010 se ha traducido en unos activos netos cada vez más negativos a medida que se registraban las pérdidas actuariales en los activos netos en su totalidad. A finales de 2021, el pasivo del ASHI disminuyó como consecuencia de la variación de las previsiones, y dio lugar a disminución del pasivo de 86,24 millones CHF.</w:t>
      </w:r>
    </w:p>
    <w:tbl>
      <w:tblPr>
        <w:tblW w:w="5000" w:type="pct"/>
        <w:jc w:val="center"/>
        <w:tblLayout w:type="fixed"/>
        <w:tblLook w:val="04A0" w:firstRow="1" w:lastRow="0" w:firstColumn="1" w:lastColumn="0" w:noHBand="0" w:noVBand="1"/>
      </w:tblPr>
      <w:tblGrid>
        <w:gridCol w:w="6742"/>
        <w:gridCol w:w="1484"/>
        <w:gridCol w:w="1403"/>
      </w:tblGrid>
      <w:tr w:rsidR="00B01B09" w:rsidRPr="00B01B09" w14:paraId="353E51BE" w14:textId="77777777" w:rsidTr="00CC4AC2">
        <w:trPr>
          <w:trHeight w:val="528"/>
          <w:jc w:val="center"/>
        </w:trPr>
        <w:tc>
          <w:tcPr>
            <w:tcW w:w="6742" w:type="dxa"/>
            <w:tcBorders>
              <w:top w:val="single" w:sz="4" w:space="0" w:color="auto"/>
              <w:left w:val="single" w:sz="4" w:space="0" w:color="auto"/>
              <w:bottom w:val="single" w:sz="4" w:space="0" w:color="auto"/>
              <w:right w:val="nil"/>
            </w:tcBorders>
            <w:shd w:val="clear" w:color="auto" w:fill="auto"/>
            <w:vAlign w:val="center"/>
            <w:hideMark/>
          </w:tcPr>
          <w:p w14:paraId="3BD6BC07" w14:textId="4B2B537C" w:rsidR="00B01B09" w:rsidRPr="00B01B09" w:rsidRDefault="00B01B09" w:rsidP="00CC4AC2">
            <w:pPr>
              <w:pStyle w:val="Tablehead"/>
              <w:keepNext/>
              <w:keepLines/>
            </w:pPr>
            <w:r w:rsidRPr="00B01B09">
              <w:t xml:space="preserve">Importe de los compromisos correspondientes </w:t>
            </w:r>
            <w:r w:rsidR="00346751">
              <w:br/>
            </w:r>
            <w:r w:rsidRPr="00B01B09">
              <w:t xml:space="preserve">al Plan ASHI al 31 de diciembre de 2021 y 2020 </w:t>
            </w:r>
            <w:r w:rsidR="00346751">
              <w:br/>
            </w:r>
            <w:r w:rsidRPr="00B01B09">
              <w:t>en el estado de la situación financiera</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833CE" w14:textId="31493D44" w:rsidR="00B01B09" w:rsidRPr="00B01B09" w:rsidRDefault="00B01B09" w:rsidP="00B01B09">
            <w:pPr>
              <w:pStyle w:val="Tablehead"/>
            </w:pPr>
            <w:r w:rsidRPr="00CC4AC2">
              <w:rPr>
                <w:i/>
                <w:iCs/>
              </w:rPr>
              <w:t>En miles CHF</w:t>
            </w:r>
            <w:r w:rsidRPr="00CC4AC2">
              <w:br/>
              <w:t>31</w:t>
            </w:r>
            <w:r w:rsidR="00346751" w:rsidRPr="00CC4AC2">
              <w:t>/</w:t>
            </w:r>
            <w:r w:rsidRPr="00CC4AC2">
              <w:t>12</w:t>
            </w:r>
            <w:r w:rsidR="00346751" w:rsidRPr="00CC4AC2">
              <w:t>/</w:t>
            </w:r>
            <w:r w:rsidRPr="00CC4AC2">
              <w:t>2021</w:t>
            </w:r>
          </w:p>
        </w:tc>
        <w:tc>
          <w:tcPr>
            <w:tcW w:w="1403" w:type="dxa"/>
            <w:tcBorders>
              <w:top w:val="single" w:sz="4" w:space="0" w:color="auto"/>
              <w:left w:val="single" w:sz="4" w:space="0" w:color="auto"/>
              <w:bottom w:val="single" w:sz="4" w:space="0" w:color="auto"/>
              <w:right w:val="single" w:sz="4" w:space="0" w:color="auto"/>
            </w:tcBorders>
            <w:vAlign w:val="center"/>
          </w:tcPr>
          <w:p w14:paraId="47E848D1" w14:textId="61C030B1" w:rsidR="00B01B09" w:rsidRPr="00B01B09" w:rsidRDefault="00B01B09" w:rsidP="00B01B09">
            <w:pPr>
              <w:pStyle w:val="Tablehead"/>
            </w:pPr>
            <w:r w:rsidRPr="00CC4AC2">
              <w:rPr>
                <w:i/>
                <w:iCs/>
              </w:rPr>
              <w:t>En miles CHF</w:t>
            </w:r>
            <w:r w:rsidRPr="00CC4AC2">
              <w:br/>
              <w:t>31</w:t>
            </w:r>
            <w:r w:rsidR="00346751" w:rsidRPr="00CC4AC2">
              <w:t>/</w:t>
            </w:r>
            <w:r w:rsidRPr="00CC4AC2">
              <w:t>12</w:t>
            </w:r>
            <w:r w:rsidR="00346751" w:rsidRPr="00CC4AC2">
              <w:t>/</w:t>
            </w:r>
            <w:r w:rsidRPr="00CC4AC2">
              <w:t>2020</w:t>
            </w:r>
          </w:p>
        </w:tc>
      </w:tr>
      <w:tr w:rsidR="00B01B09" w:rsidRPr="00B01B09" w14:paraId="3373D6C0" w14:textId="77777777" w:rsidTr="00CC4AC2">
        <w:trPr>
          <w:trHeight w:val="264"/>
          <w:jc w:val="center"/>
        </w:trPr>
        <w:tc>
          <w:tcPr>
            <w:tcW w:w="6742" w:type="dxa"/>
            <w:tcBorders>
              <w:top w:val="single" w:sz="4" w:space="0" w:color="auto"/>
              <w:left w:val="single" w:sz="4" w:space="0" w:color="auto"/>
              <w:bottom w:val="nil"/>
              <w:right w:val="single" w:sz="4" w:space="0" w:color="auto"/>
            </w:tcBorders>
            <w:shd w:val="clear" w:color="auto" w:fill="auto"/>
            <w:hideMark/>
          </w:tcPr>
          <w:p w14:paraId="32D2BB5E" w14:textId="7493D2AC" w:rsidR="00B01B09" w:rsidRPr="00B01B09" w:rsidRDefault="00B01B09" w:rsidP="0039125E">
            <w:pPr>
              <w:pStyle w:val="Tabletext"/>
            </w:pPr>
            <w:r w:rsidRPr="00B01B09">
              <w:t>Saldo al 31 de diciembre de 2021-2020</w:t>
            </w:r>
          </w:p>
        </w:tc>
        <w:tc>
          <w:tcPr>
            <w:tcW w:w="1484" w:type="dxa"/>
            <w:tcBorders>
              <w:top w:val="single" w:sz="4" w:space="0" w:color="auto"/>
              <w:left w:val="single" w:sz="4" w:space="0" w:color="auto"/>
              <w:bottom w:val="nil"/>
              <w:right w:val="single" w:sz="4" w:space="0" w:color="auto"/>
            </w:tcBorders>
            <w:shd w:val="clear" w:color="auto" w:fill="auto"/>
          </w:tcPr>
          <w:p w14:paraId="596ADAB7" w14:textId="5CA79936" w:rsidR="00B01B09" w:rsidRPr="00B01B09" w:rsidRDefault="00B01B09" w:rsidP="00C35959">
            <w:pPr>
              <w:pStyle w:val="Tabletext"/>
              <w:keepNext/>
              <w:keepLines/>
              <w:tabs>
                <w:tab w:val="center" w:pos="893"/>
                <w:tab w:val="right" w:pos="1786"/>
              </w:tabs>
              <w:jc w:val="right"/>
            </w:pPr>
            <w:r w:rsidRPr="00B01B09">
              <w:rPr>
                <w:lang w:val="en-GB"/>
              </w:rPr>
              <w:t>631</w:t>
            </w:r>
            <w:r w:rsidR="00C35959">
              <w:rPr>
                <w:lang w:val="en-GB"/>
              </w:rPr>
              <w:t> </w:t>
            </w:r>
            <w:r w:rsidRPr="00B01B09">
              <w:rPr>
                <w:lang w:val="en-GB"/>
              </w:rPr>
              <w:t>870</w:t>
            </w:r>
          </w:p>
        </w:tc>
        <w:tc>
          <w:tcPr>
            <w:tcW w:w="1403" w:type="dxa"/>
            <w:tcBorders>
              <w:top w:val="single" w:sz="4" w:space="0" w:color="auto"/>
              <w:left w:val="single" w:sz="4" w:space="0" w:color="auto"/>
              <w:bottom w:val="nil"/>
              <w:right w:val="single" w:sz="4" w:space="0" w:color="auto"/>
            </w:tcBorders>
            <w:shd w:val="clear" w:color="auto" w:fill="auto"/>
          </w:tcPr>
          <w:p w14:paraId="735588F3" w14:textId="2D174ED6" w:rsidR="00B01B09" w:rsidRPr="00B01B09" w:rsidRDefault="00B01B09" w:rsidP="00C35959">
            <w:pPr>
              <w:pStyle w:val="Tabletext"/>
              <w:keepNext/>
              <w:keepLines/>
              <w:jc w:val="right"/>
            </w:pPr>
            <w:r w:rsidRPr="00B01B09">
              <w:rPr>
                <w:lang w:val="en-GB"/>
              </w:rPr>
              <w:t>611</w:t>
            </w:r>
            <w:r w:rsidR="00C35959">
              <w:rPr>
                <w:lang w:val="en-GB"/>
              </w:rPr>
              <w:t> </w:t>
            </w:r>
            <w:r w:rsidRPr="00B01B09">
              <w:rPr>
                <w:lang w:val="en-GB"/>
              </w:rPr>
              <w:t>896</w:t>
            </w:r>
          </w:p>
        </w:tc>
      </w:tr>
      <w:tr w:rsidR="00B01B09" w:rsidRPr="00B01B09" w14:paraId="4A4855E4" w14:textId="77777777" w:rsidTr="00CC4AC2">
        <w:trPr>
          <w:trHeight w:val="336"/>
          <w:jc w:val="center"/>
        </w:trPr>
        <w:tc>
          <w:tcPr>
            <w:tcW w:w="6742" w:type="dxa"/>
            <w:tcBorders>
              <w:top w:val="nil"/>
              <w:left w:val="single" w:sz="4" w:space="0" w:color="auto"/>
              <w:bottom w:val="nil"/>
              <w:right w:val="single" w:sz="4" w:space="0" w:color="auto"/>
            </w:tcBorders>
            <w:shd w:val="clear" w:color="auto" w:fill="auto"/>
            <w:hideMark/>
          </w:tcPr>
          <w:p w14:paraId="7E0262FB" w14:textId="77777777" w:rsidR="00B01B09" w:rsidRPr="00B01B09" w:rsidRDefault="00B01B09" w:rsidP="0039125E">
            <w:pPr>
              <w:pStyle w:val="Tabletext"/>
            </w:pPr>
            <w:r w:rsidRPr="00B01B09">
              <w:t>Total de los gastos reconocidos en el estado del rendimiento financiero</w:t>
            </w:r>
          </w:p>
        </w:tc>
        <w:tc>
          <w:tcPr>
            <w:tcW w:w="1484" w:type="dxa"/>
            <w:tcBorders>
              <w:top w:val="nil"/>
              <w:left w:val="single" w:sz="4" w:space="0" w:color="auto"/>
              <w:bottom w:val="nil"/>
              <w:right w:val="single" w:sz="4" w:space="0" w:color="auto"/>
            </w:tcBorders>
            <w:shd w:val="clear" w:color="auto" w:fill="auto"/>
          </w:tcPr>
          <w:p w14:paraId="3C9C3237" w14:textId="1060ABD9" w:rsidR="00B01B09" w:rsidRPr="00B01B09" w:rsidRDefault="00B01B09" w:rsidP="00C35959">
            <w:pPr>
              <w:pStyle w:val="Tabletext"/>
              <w:keepNext/>
              <w:keepLines/>
              <w:jc w:val="right"/>
            </w:pPr>
            <w:r w:rsidRPr="00B01B09">
              <w:rPr>
                <w:lang w:val="en-GB"/>
              </w:rPr>
              <w:t>26</w:t>
            </w:r>
            <w:r w:rsidR="00C35959">
              <w:rPr>
                <w:lang w:val="en-GB"/>
              </w:rPr>
              <w:t> </w:t>
            </w:r>
            <w:r w:rsidRPr="00B01B09">
              <w:rPr>
                <w:lang w:val="en-GB"/>
              </w:rPr>
              <w:t>425</w:t>
            </w:r>
          </w:p>
        </w:tc>
        <w:tc>
          <w:tcPr>
            <w:tcW w:w="1403" w:type="dxa"/>
            <w:tcBorders>
              <w:top w:val="nil"/>
              <w:left w:val="single" w:sz="4" w:space="0" w:color="auto"/>
              <w:bottom w:val="nil"/>
              <w:right w:val="single" w:sz="4" w:space="0" w:color="auto"/>
            </w:tcBorders>
            <w:shd w:val="clear" w:color="auto" w:fill="auto"/>
          </w:tcPr>
          <w:p w14:paraId="4F3F4BB6" w14:textId="7EB0B23D" w:rsidR="00B01B09" w:rsidRPr="00B01B09" w:rsidRDefault="00B01B09" w:rsidP="00C35959">
            <w:pPr>
              <w:pStyle w:val="Tabletext"/>
              <w:keepNext/>
              <w:keepLines/>
              <w:jc w:val="right"/>
            </w:pPr>
            <w:r w:rsidRPr="00B01B09">
              <w:rPr>
                <w:lang w:val="en-GB"/>
              </w:rPr>
              <w:t>27</w:t>
            </w:r>
            <w:r w:rsidR="00C35959">
              <w:rPr>
                <w:lang w:val="en-GB"/>
              </w:rPr>
              <w:t> </w:t>
            </w:r>
            <w:r w:rsidRPr="00B01B09">
              <w:rPr>
                <w:lang w:val="en-GB"/>
              </w:rPr>
              <w:t>667</w:t>
            </w:r>
          </w:p>
        </w:tc>
      </w:tr>
      <w:tr w:rsidR="00B01B09" w:rsidRPr="00B01B09" w14:paraId="12B89C12" w14:textId="77777777" w:rsidTr="00CC4AC2">
        <w:trPr>
          <w:trHeight w:val="264"/>
          <w:jc w:val="center"/>
        </w:trPr>
        <w:tc>
          <w:tcPr>
            <w:tcW w:w="6742" w:type="dxa"/>
            <w:tcBorders>
              <w:top w:val="nil"/>
              <w:left w:val="single" w:sz="4" w:space="0" w:color="auto"/>
              <w:bottom w:val="nil"/>
              <w:right w:val="single" w:sz="4" w:space="0" w:color="auto"/>
            </w:tcBorders>
            <w:shd w:val="clear" w:color="auto" w:fill="auto"/>
            <w:hideMark/>
          </w:tcPr>
          <w:p w14:paraId="5413DE53" w14:textId="77777777" w:rsidR="00B01B09" w:rsidRPr="00B01B09" w:rsidRDefault="00B01B09" w:rsidP="0039125E">
            <w:pPr>
              <w:pStyle w:val="Tabletext"/>
            </w:pPr>
            <w:r w:rsidRPr="00B01B09">
              <w:t>Pérdidas actuariales reconocidas en los activos netos</w:t>
            </w:r>
          </w:p>
        </w:tc>
        <w:tc>
          <w:tcPr>
            <w:tcW w:w="1484" w:type="dxa"/>
            <w:tcBorders>
              <w:top w:val="nil"/>
              <w:left w:val="single" w:sz="4" w:space="0" w:color="auto"/>
              <w:bottom w:val="nil"/>
              <w:right w:val="single" w:sz="4" w:space="0" w:color="auto"/>
            </w:tcBorders>
            <w:shd w:val="clear" w:color="auto" w:fill="auto"/>
          </w:tcPr>
          <w:p w14:paraId="1944EF78" w14:textId="2F07CD59" w:rsidR="00B01B09" w:rsidRPr="00B01B09" w:rsidRDefault="00C35959" w:rsidP="00C35959">
            <w:pPr>
              <w:pStyle w:val="Tabletext"/>
              <w:keepNext/>
              <w:keepLines/>
              <w:jc w:val="right"/>
            </w:pPr>
            <w:r w:rsidRPr="00C35959">
              <w:rPr>
                <w:lang w:val="en-GB"/>
              </w:rPr>
              <w:t>–</w:t>
            </w:r>
            <w:r w:rsidR="00B01B09" w:rsidRPr="00B01B09">
              <w:rPr>
                <w:lang w:val="en-GB"/>
              </w:rPr>
              <w:t>103</w:t>
            </w:r>
            <w:r>
              <w:rPr>
                <w:lang w:val="en-GB"/>
              </w:rPr>
              <w:t> </w:t>
            </w:r>
            <w:r w:rsidR="00B01B09" w:rsidRPr="00B01B09">
              <w:rPr>
                <w:lang w:val="en-GB"/>
              </w:rPr>
              <w:t>499</w:t>
            </w:r>
          </w:p>
        </w:tc>
        <w:tc>
          <w:tcPr>
            <w:tcW w:w="1403" w:type="dxa"/>
            <w:tcBorders>
              <w:top w:val="nil"/>
              <w:left w:val="single" w:sz="4" w:space="0" w:color="auto"/>
              <w:bottom w:val="nil"/>
              <w:right w:val="single" w:sz="4" w:space="0" w:color="auto"/>
            </w:tcBorders>
            <w:shd w:val="clear" w:color="auto" w:fill="auto"/>
          </w:tcPr>
          <w:p w14:paraId="04A395DB" w14:textId="14BF6937" w:rsidR="00B01B09" w:rsidRPr="00B01B09" w:rsidRDefault="00C35959" w:rsidP="00C35959">
            <w:pPr>
              <w:pStyle w:val="Tabletext"/>
              <w:keepNext/>
              <w:keepLines/>
              <w:jc w:val="right"/>
            </w:pPr>
            <w:r w:rsidRPr="00C35959">
              <w:rPr>
                <w:lang w:val="en-GB"/>
              </w:rPr>
              <w:t>–</w:t>
            </w:r>
            <w:r w:rsidR="00B01B09" w:rsidRPr="00B01B09">
              <w:rPr>
                <w:lang w:val="en-GB"/>
              </w:rPr>
              <w:t>2</w:t>
            </w:r>
            <w:r>
              <w:rPr>
                <w:lang w:val="en-GB"/>
              </w:rPr>
              <w:t> </w:t>
            </w:r>
            <w:r w:rsidR="00B01B09" w:rsidRPr="00B01B09">
              <w:rPr>
                <w:lang w:val="en-GB"/>
              </w:rPr>
              <w:t>815</w:t>
            </w:r>
          </w:p>
        </w:tc>
      </w:tr>
      <w:tr w:rsidR="00B01B09" w:rsidRPr="00B01B09" w14:paraId="5FF196F8" w14:textId="77777777" w:rsidTr="00CC4AC2">
        <w:trPr>
          <w:trHeight w:val="264"/>
          <w:jc w:val="center"/>
        </w:trPr>
        <w:tc>
          <w:tcPr>
            <w:tcW w:w="6742" w:type="dxa"/>
            <w:tcBorders>
              <w:top w:val="nil"/>
              <w:left w:val="single" w:sz="4" w:space="0" w:color="auto"/>
              <w:bottom w:val="nil"/>
              <w:right w:val="single" w:sz="4" w:space="0" w:color="auto"/>
            </w:tcBorders>
            <w:shd w:val="clear" w:color="auto" w:fill="auto"/>
            <w:vAlign w:val="bottom"/>
            <w:hideMark/>
          </w:tcPr>
          <w:p w14:paraId="4F482A24" w14:textId="77777777" w:rsidR="00B01B09" w:rsidRPr="00B01B09" w:rsidRDefault="00B01B09" w:rsidP="00B01B09">
            <w:pPr>
              <w:pStyle w:val="Tabletext"/>
            </w:pPr>
            <w:r w:rsidRPr="00B01B09">
              <w:t>Contribuciones durante el ejercicio</w:t>
            </w:r>
          </w:p>
        </w:tc>
        <w:tc>
          <w:tcPr>
            <w:tcW w:w="1484" w:type="dxa"/>
            <w:tcBorders>
              <w:top w:val="nil"/>
              <w:left w:val="single" w:sz="4" w:space="0" w:color="auto"/>
              <w:bottom w:val="nil"/>
              <w:right w:val="single" w:sz="4" w:space="0" w:color="auto"/>
            </w:tcBorders>
            <w:shd w:val="clear" w:color="auto" w:fill="auto"/>
          </w:tcPr>
          <w:p w14:paraId="1E858B7C" w14:textId="448855C8" w:rsidR="00B01B09" w:rsidRPr="00B01B09" w:rsidRDefault="00C35959" w:rsidP="00B01B09">
            <w:pPr>
              <w:pStyle w:val="Tabletext"/>
              <w:jc w:val="right"/>
            </w:pPr>
            <w:r w:rsidRPr="00C35959">
              <w:rPr>
                <w:lang w:val="en-GB"/>
              </w:rPr>
              <w:t>–</w:t>
            </w:r>
            <w:r w:rsidR="00B01B09" w:rsidRPr="00B01B09">
              <w:rPr>
                <w:lang w:val="en-GB"/>
              </w:rPr>
              <w:t>9</w:t>
            </w:r>
            <w:r>
              <w:rPr>
                <w:lang w:val="en-GB"/>
              </w:rPr>
              <w:t> </w:t>
            </w:r>
            <w:r w:rsidR="00B01B09" w:rsidRPr="00B01B09">
              <w:rPr>
                <w:lang w:val="en-GB"/>
              </w:rPr>
              <w:t>160</w:t>
            </w:r>
          </w:p>
        </w:tc>
        <w:tc>
          <w:tcPr>
            <w:tcW w:w="1403" w:type="dxa"/>
            <w:tcBorders>
              <w:top w:val="nil"/>
              <w:left w:val="single" w:sz="4" w:space="0" w:color="auto"/>
              <w:bottom w:val="nil"/>
              <w:right w:val="single" w:sz="4" w:space="0" w:color="auto"/>
            </w:tcBorders>
            <w:shd w:val="clear" w:color="auto" w:fill="auto"/>
          </w:tcPr>
          <w:p w14:paraId="0444D6D0" w14:textId="043568C8" w:rsidR="00B01B09" w:rsidRPr="00B01B09" w:rsidRDefault="00C35959" w:rsidP="00B01B09">
            <w:pPr>
              <w:pStyle w:val="Tabletext"/>
              <w:jc w:val="right"/>
            </w:pPr>
            <w:r w:rsidRPr="00C35959">
              <w:rPr>
                <w:lang w:val="en-GB"/>
              </w:rPr>
              <w:t>–</w:t>
            </w:r>
            <w:r w:rsidR="00B01B09" w:rsidRPr="00B01B09">
              <w:rPr>
                <w:lang w:val="en-GB"/>
              </w:rPr>
              <w:t>4</w:t>
            </w:r>
            <w:r>
              <w:rPr>
                <w:lang w:val="en-GB"/>
              </w:rPr>
              <w:t> </w:t>
            </w:r>
            <w:r w:rsidR="00B01B09" w:rsidRPr="00B01B09">
              <w:rPr>
                <w:lang w:val="en-GB"/>
              </w:rPr>
              <w:t>878</w:t>
            </w:r>
          </w:p>
        </w:tc>
      </w:tr>
      <w:tr w:rsidR="00B95C36" w:rsidRPr="00B01B09" w14:paraId="45638611" w14:textId="77777777" w:rsidTr="00CC4AC2">
        <w:trPr>
          <w:trHeight w:val="264"/>
          <w:jc w:val="center"/>
        </w:trPr>
        <w:tc>
          <w:tcPr>
            <w:tcW w:w="6742" w:type="dxa"/>
            <w:tcBorders>
              <w:top w:val="nil"/>
              <w:left w:val="single" w:sz="4" w:space="0" w:color="auto"/>
              <w:bottom w:val="nil"/>
              <w:right w:val="single" w:sz="4" w:space="0" w:color="auto"/>
            </w:tcBorders>
            <w:shd w:val="clear" w:color="auto" w:fill="auto"/>
            <w:vAlign w:val="bottom"/>
          </w:tcPr>
          <w:p w14:paraId="4CC980E7" w14:textId="77777777" w:rsidR="00B95C36" w:rsidRPr="00B01B09" w:rsidRDefault="00B95C36" w:rsidP="00B01B09">
            <w:pPr>
              <w:pStyle w:val="Tabletext"/>
            </w:pPr>
          </w:p>
        </w:tc>
        <w:tc>
          <w:tcPr>
            <w:tcW w:w="1484" w:type="dxa"/>
            <w:tcBorders>
              <w:top w:val="nil"/>
              <w:left w:val="single" w:sz="4" w:space="0" w:color="auto"/>
              <w:bottom w:val="nil"/>
              <w:right w:val="single" w:sz="4" w:space="0" w:color="auto"/>
            </w:tcBorders>
            <w:shd w:val="clear" w:color="auto" w:fill="auto"/>
          </w:tcPr>
          <w:p w14:paraId="6962F25C" w14:textId="77777777" w:rsidR="00B95C36" w:rsidRPr="00C35959" w:rsidRDefault="00B95C36" w:rsidP="00B01B09">
            <w:pPr>
              <w:pStyle w:val="Tabletext"/>
              <w:jc w:val="right"/>
              <w:rPr>
                <w:lang w:val="en-GB"/>
              </w:rPr>
            </w:pPr>
          </w:p>
        </w:tc>
        <w:tc>
          <w:tcPr>
            <w:tcW w:w="1403" w:type="dxa"/>
            <w:tcBorders>
              <w:top w:val="nil"/>
              <w:left w:val="single" w:sz="4" w:space="0" w:color="auto"/>
              <w:bottom w:val="nil"/>
              <w:right w:val="single" w:sz="4" w:space="0" w:color="auto"/>
            </w:tcBorders>
            <w:shd w:val="clear" w:color="auto" w:fill="auto"/>
          </w:tcPr>
          <w:p w14:paraId="13F8A876" w14:textId="77777777" w:rsidR="00B95C36" w:rsidRPr="00C35959" w:rsidRDefault="00B95C36" w:rsidP="00B01B09">
            <w:pPr>
              <w:pStyle w:val="Tabletext"/>
              <w:jc w:val="right"/>
              <w:rPr>
                <w:lang w:val="en-GB"/>
              </w:rPr>
            </w:pPr>
          </w:p>
        </w:tc>
      </w:tr>
      <w:tr w:rsidR="00B01B09" w:rsidRPr="00B01B09" w14:paraId="282064FA" w14:textId="77777777" w:rsidTr="00CC4AC2">
        <w:trPr>
          <w:trHeight w:val="336"/>
          <w:jc w:val="center"/>
        </w:trPr>
        <w:tc>
          <w:tcPr>
            <w:tcW w:w="6742" w:type="dxa"/>
            <w:tcBorders>
              <w:top w:val="nil"/>
              <w:left w:val="single" w:sz="4" w:space="0" w:color="auto"/>
              <w:bottom w:val="single" w:sz="4" w:space="0" w:color="auto"/>
              <w:right w:val="single" w:sz="4" w:space="0" w:color="auto"/>
            </w:tcBorders>
            <w:shd w:val="clear" w:color="auto" w:fill="auto"/>
            <w:hideMark/>
          </w:tcPr>
          <w:p w14:paraId="523984C7" w14:textId="5BCE99F2" w:rsidR="00B01B09" w:rsidRPr="00B01B09" w:rsidRDefault="00B01B09" w:rsidP="00B01B09">
            <w:pPr>
              <w:pStyle w:val="Tabletext"/>
            </w:pPr>
            <w:r w:rsidRPr="00B01B09">
              <w:t xml:space="preserve">Importe de los compromisos correspondientes al Plan ASHI </w:t>
            </w:r>
            <w:r w:rsidR="0039125E">
              <w:br/>
            </w:r>
            <w:r w:rsidRPr="00B01B09">
              <w:t>al 31 de diciembre de 2021-2020</w:t>
            </w:r>
          </w:p>
        </w:tc>
        <w:tc>
          <w:tcPr>
            <w:tcW w:w="1484" w:type="dxa"/>
            <w:tcBorders>
              <w:top w:val="nil"/>
              <w:left w:val="single" w:sz="4" w:space="0" w:color="auto"/>
              <w:bottom w:val="single" w:sz="4" w:space="0" w:color="auto"/>
              <w:right w:val="single" w:sz="4" w:space="0" w:color="auto"/>
            </w:tcBorders>
            <w:shd w:val="clear" w:color="auto" w:fill="auto"/>
          </w:tcPr>
          <w:p w14:paraId="03A7BA96" w14:textId="084C4697" w:rsidR="00B01B09" w:rsidRPr="00B01B09" w:rsidRDefault="00B01B09" w:rsidP="00B01B09">
            <w:pPr>
              <w:pStyle w:val="Tabletext"/>
              <w:jc w:val="right"/>
            </w:pPr>
            <w:r w:rsidRPr="00B01B09">
              <w:rPr>
                <w:lang w:val="en-GB"/>
              </w:rPr>
              <w:t>545</w:t>
            </w:r>
            <w:r w:rsidR="00C35959">
              <w:rPr>
                <w:lang w:val="en-GB"/>
              </w:rPr>
              <w:t> </w:t>
            </w:r>
            <w:r w:rsidRPr="00B01B09">
              <w:rPr>
                <w:lang w:val="en-GB"/>
              </w:rPr>
              <w:t>636</w:t>
            </w:r>
          </w:p>
        </w:tc>
        <w:tc>
          <w:tcPr>
            <w:tcW w:w="1403" w:type="dxa"/>
            <w:tcBorders>
              <w:top w:val="nil"/>
              <w:left w:val="single" w:sz="4" w:space="0" w:color="auto"/>
              <w:bottom w:val="single" w:sz="4" w:space="0" w:color="auto"/>
              <w:right w:val="single" w:sz="4" w:space="0" w:color="auto"/>
            </w:tcBorders>
            <w:shd w:val="clear" w:color="auto" w:fill="auto"/>
          </w:tcPr>
          <w:p w14:paraId="54ADBC5F" w14:textId="0A7ABC89" w:rsidR="00B01B09" w:rsidRPr="00B01B09" w:rsidRDefault="00B01B09" w:rsidP="00B01B09">
            <w:pPr>
              <w:pStyle w:val="Tabletext"/>
              <w:jc w:val="right"/>
            </w:pPr>
            <w:r w:rsidRPr="00B01B09">
              <w:rPr>
                <w:lang w:val="en-GB"/>
              </w:rPr>
              <w:t>631</w:t>
            </w:r>
            <w:r w:rsidR="00C35959">
              <w:rPr>
                <w:lang w:val="en-GB"/>
              </w:rPr>
              <w:t> </w:t>
            </w:r>
            <w:r w:rsidRPr="00B01B09">
              <w:rPr>
                <w:lang w:val="en-GB"/>
              </w:rPr>
              <w:t>870</w:t>
            </w:r>
          </w:p>
        </w:tc>
      </w:tr>
    </w:tbl>
    <w:p w14:paraId="7DCE83D6" w14:textId="77777777" w:rsidR="00B01B09" w:rsidRPr="00B01B09" w:rsidRDefault="00B01B09" w:rsidP="00C35959">
      <w:pPr>
        <w:pStyle w:val="Normalaftertitle"/>
        <w:spacing w:after="120"/>
      </w:pPr>
      <w:r w:rsidRPr="001D73D2">
        <w:lastRenderedPageBreak/>
        <w:t>3.2</w:t>
      </w:r>
      <w:r w:rsidRPr="00B01B09">
        <w:tab/>
        <w:t>En el cuadro siguiente se muestra un estudio de gasto o crédito de pérdidas y ganancias al final del ejercicio financiero.</w:t>
      </w:r>
      <w:bookmarkStart w:id="9" w:name="_Hlk39498592"/>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16"/>
        <w:gridCol w:w="1579"/>
        <w:gridCol w:w="1534"/>
      </w:tblGrid>
      <w:tr w:rsidR="00B01B09" w:rsidRPr="00B01B09" w14:paraId="3A94422A" w14:textId="77777777" w:rsidTr="0039125E">
        <w:trPr>
          <w:jc w:val="center"/>
        </w:trPr>
        <w:tc>
          <w:tcPr>
            <w:tcW w:w="6516" w:type="dxa"/>
            <w:tcBorders>
              <w:top w:val="single" w:sz="4" w:space="0" w:color="auto"/>
              <w:bottom w:val="single" w:sz="4" w:space="0" w:color="auto"/>
              <w:right w:val="single" w:sz="4" w:space="0" w:color="auto"/>
            </w:tcBorders>
            <w:shd w:val="clear" w:color="auto" w:fill="auto"/>
            <w:vAlign w:val="center"/>
            <w:hideMark/>
          </w:tcPr>
          <w:p w14:paraId="76A4B1B5" w14:textId="77777777" w:rsidR="00B01B09" w:rsidRPr="00B01B09" w:rsidRDefault="00B01B09" w:rsidP="00B01B09">
            <w:pPr>
              <w:pStyle w:val="Tablehead"/>
            </w:pPr>
            <w:r w:rsidRPr="00B01B09">
              <w:t>Importes reconocidos en el estado del rendimiento financiero</w:t>
            </w:r>
          </w:p>
        </w:tc>
        <w:tc>
          <w:tcPr>
            <w:tcW w:w="3113" w:type="dxa"/>
            <w:gridSpan w:val="2"/>
            <w:tcBorders>
              <w:top w:val="single" w:sz="4" w:space="0" w:color="auto"/>
              <w:left w:val="single" w:sz="4" w:space="0" w:color="auto"/>
              <w:bottom w:val="single" w:sz="4" w:space="0" w:color="auto"/>
            </w:tcBorders>
            <w:shd w:val="clear" w:color="auto" w:fill="auto"/>
            <w:vAlign w:val="center"/>
            <w:hideMark/>
          </w:tcPr>
          <w:p w14:paraId="27426E75" w14:textId="2518F216" w:rsidR="00B01B09" w:rsidRPr="00CC4AC2" w:rsidRDefault="00B01B09" w:rsidP="00B01B09">
            <w:pPr>
              <w:pStyle w:val="Tablehead"/>
              <w:rPr>
                <w:i/>
                <w:iCs/>
              </w:rPr>
            </w:pPr>
            <w:r w:rsidRPr="00CC4AC2">
              <w:rPr>
                <w:i/>
                <w:iCs/>
              </w:rPr>
              <w:t>En miles CHF</w:t>
            </w:r>
          </w:p>
        </w:tc>
      </w:tr>
      <w:tr w:rsidR="00B01B09" w:rsidRPr="00B01B09" w14:paraId="7002D151" w14:textId="77777777" w:rsidTr="0039125E">
        <w:trPr>
          <w:jc w:val="center"/>
        </w:trPr>
        <w:tc>
          <w:tcPr>
            <w:tcW w:w="6516" w:type="dxa"/>
            <w:tcBorders>
              <w:top w:val="single" w:sz="4" w:space="0" w:color="auto"/>
              <w:right w:val="single" w:sz="4" w:space="0" w:color="auto"/>
            </w:tcBorders>
            <w:shd w:val="clear" w:color="auto" w:fill="auto"/>
            <w:hideMark/>
          </w:tcPr>
          <w:p w14:paraId="64BB1FEB" w14:textId="77777777" w:rsidR="00B01B09" w:rsidRPr="00B01B09" w:rsidRDefault="00B01B09" w:rsidP="00B01B09">
            <w:pPr>
              <w:tabs>
                <w:tab w:val="clear" w:pos="567"/>
                <w:tab w:val="clear" w:pos="1134"/>
                <w:tab w:val="clear" w:pos="1701"/>
                <w:tab w:val="clear" w:pos="2268"/>
                <w:tab w:val="clear" w:pos="2835"/>
              </w:tabs>
              <w:overflowPunct/>
              <w:autoSpaceDE/>
              <w:autoSpaceDN/>
              <w:adjustRightInd/>
              <w:spacing w:before="0"/>
              <w:textAlignment w:val="auto"/>
            </w:pPr>
          </w:p>
        </w:tc>
        <w:tc>
          <w:tcPr>
            <w:tcW w:w="1579" w:type="dxa"/>
            <w:tcBorders>
              <w:top w:val="single" w:sz="4" w:space="0" w:color="auto"/>
              <w:left w:val="single" w:sz="4" w:space="0" w:color="auto"/>
              <w:bottom w:val="nil"/>
            </w:tcBorders>
            <w:shd w:val="clear" w:color="auto" w:fill="auto"/>
            <w:vAlign w:val="bottom"/>
          </w:tcPr>
          <w:p w14:paraId="79C47254" w14:textId="20F9C496" w:rsidR="00B01B09" w:rsidRPr="00B01B09" w:rsidRDefault="00B01B09" w:rsidP="00B01B09">
            <w:pPr>
              <w:pStyle w:val="Tabletext"/>
              <w:jc w:val="center"/>
              <w:rPr>
                <w:b/>
                <w:bCs/>
              </w:rPr>
            </w:pPr>
            <w:r w:rsidRPr="00B01B09">
              <w:rPr>
                <w:b/>
                <w:bCs/>
              </w:rPr>
              <w:t>31</w:t>
            </w:r>
            <w:r w:rsidR="00C35959">
              <w:rPr>
                <w:b/>
                <w:bCs/>
              </w:rPr>
              <w:t>/</w:t>
            </w:r>
            <w:r w:rsidRPr="00B01B09">
              <w:rPr>
                <w:b/>
                <w:bCs/>
              </w:rPr>
              <w:t>12</w:t>
            </w:r>
            <w:r w:rsidR="00C35959">
              <w:rPr>
                <w:b/>
                <w:bCs/>
              </w:rPr>
              <w:t>/</w:t>
            </w:r>
            <w:r w:rsidRPr="00B01B09">
              <w:rPr>
                <w:b/>
                <w:bCs/>
              </w:rPr>
              <w:t>2021</w:t>
            </w:r>
          </w:p>
        </w:tc>
        <w:tc>
          <w:tcPr>
            <w:tcW w:w="1534" w:type="dxa"/>
            <w:tcBorders>
              <w:top w:val="single" w:sz="4" w:space="0" w:color="auto"/>
              <w:left w:val="single" w:sz="4" w:space="0" w:color="auto"/>
              <w:bottom w:val="nil"/>
            </w:tcBorders>
            <w:vAlign w:val="bottom"/>
          </w:tcPr>
          <w:p w14:paraId="0062F94E" w14:textId="59754EAB" w:rsidR="00B01B09" w:rsidRPr="00B01B09" w:rsidRDefault="00B01B09" w:rsidP="00B01B09">
            <w:pPr>
              <w:pStyle w:val="Tabletext"/>
              <w:jc w:val="center"/>
              <w:rPr>
                <w:b/>
                <w:bCs/>
              </w:rPr>
            </w:pPr>
            <w:r w:rsidRPr="00B01B09">
              <w:rPr>
                <w:b/>
                <w:bCs/>
              </w:rPr>
              <w:t>31</w:t>
            </w:r>
            <w:r w:rsidR="00C35959">
              <w:rPr>
                <w:b/>
                <w:bCs/>
              </w:rPr>
              <w:t>/</w:t>
            </w:r>
            <w:r w:rsidRPr="00B01B09">
              <w:rPr>
                <w:b/>
                <w:bCs/>
              </w:rPr>
              <w:t>12</w:t>
            </w:r>
            <w:r w:rsidR="00C35959">
              <w:rPr>
                <w:b/>
                <w:bCs/>
              </w:rPr>
              <w:t>/</w:t>
            </w:r>
            <w:r w:rsidRPr="00B01B09">
              <w:rPr>
                <w:b/>
                <w:bCs/>
              </w:rPr>
              <w:t>2020</w:t>
            </w:r>
          </w:p>
        </w:tc>
      </w:tr>
      <w:tr w:rsidR="00B01B09" w:rsidRPr="00B01B09" w14:paraId="57DE4A9E" w14:textId="77777777" w:rsidTr="0039125E">
        <w:trPr>
          <w:jc w:val="center"/>
        </w:trPr>
        <w:tc>
          <w:tcPr>
            <w:tcW w:w="6516" w:type="dxa"/>
            <w:tcBorders>
              <w:top w:val="nil"/>
              <w:left w:val="single" w:sz="4" w:space="0" w:color="auto"/>
              <w:bottom w:val="nil"/>
              <w:right w:val="single" w:sz="4" w:space="0" w:color="auto"/>
            </w:tcBorders>
            <w:shd w:val="clear" w:color="auto" w:fill="auto"/>
            <w:hideMark/>
          </w:tcPr>
          <w:p w14:paraId="3725022B" w14:textId="3CAD9AD4" w:rsidR="00B01B09" w:rsidRPr="00B01B09" w:rsidRDefault="00B01B09" w:rsidP="00B01B09">
            <w:pPr>
              <w:pStyle w:val="Tabletext"/>
            </w:pPr>
            <w:r w:rsidRPr="00B01B09">
              <w:t>Actualización de obligaciones y contribuciones para el ejercicio</w:t>
            </w:r>
          </w:p>
        </w:tc>
        <w:tc>
          <w:tcPr>
            <w:tcW w:w="1579" w:type="dxa"/>
            <w:tcBorders>
              <w:top w:val="nil"/>
              <w:left w:val="nil"/>
              <w:bottom w:val="nil"/>
              <w:right w:val="single" w:sz="4" w:space="0" w:color="auto"/>
            </w:tcBorders>
            <w:shd w:val="clear" w:color="auto" w:fill="auto"/>
            <w:vAlign w:val="bottom"/>
          </w:tcPr>
          <w:p w14:paraId="21D10982" w14:textId="77777777" w:rsidR="00B01B09" w:rsidRPr="00B01B09" w:rsidRDefault="00B01B09" w:rsidP="00B01B09">
            <w:pPr>
              <w:pStyle w:val="Tabletext"/>
              <w:jc w:val="right"/>
            </w:pPr>
          </w:p>
        </w:tc>
        <w:tc>
          <w:tcPr>
            <w:tcW w:w="1534" w:type="dxa"/>
            <w:tcBorders>
              <w:top w:val="nil"/>
              <w:left w:val="nil"/>
              <w:bottom w:val="nil"/>
              <w:right w:val="single" w:sz="4" w:space="0" w:color="auto"/>
            </w:tcBorders>
            <w:vAlign w:val="bottom"/>
          </w:tcPr>
          <w:p w14:paraId="6B668A8E" w14:textId="77777777" w:rsidR="00B01B09" w:rsidRPr="00B01B09" w:rsidRDefault="00B01B09" w:rsidP="00B01B09">
            <w:pPr>
              <w:pStyle w:val="Tabletext"/>
              <w:jc w:val="right"/>
            </w:pPr>
          </w:p>
        </w:tc>
      </w:tr>
      <w:tr w:rsidR="00B01B09" w:rsidRPr="00B01B09" w14:paraId="25A74950" w14:textId="77777777" w:rsidTr="0039125E">
        <w:trPr>
          <w:jc w:val="center"/>
        </w:trPr>
        <w:tc>
          <w:tcPr>
            <w:tcW w:w="6516" w:type="dxa"/>
            <w:tcBorders>
              <w:top w:val="nil"/>
              <w:left w:val="single" w:sz="4" w:space="0" w:color="auto"/>
              <w:bottom w:val="nil"/>
              <w:right w:val="single" w:sz="4" w:space="0" w:color="auto"/>
            </w:tcBorders>
            <w:shd w:val="clear" w:color="auto" w:fill="auto"/>
            <w:vAlign w:val="bottom"/>
          </w:tcPr>
          <w:p w14:paraId="05E171EF" w14:textId="77777777" w:rsidR="00B01B09" w:rsidRPr="00B01B09" w:rsidRDefault="00B01B09" w:rsidP="00B01B09">
            <w:pPr>
              <w:pStyle w:val="Tabletext"/>
            </w:pPr>
            <w:r w:rsidRPr="00B01B09">
              <w:t>Costes de servicio</w:t>
            </w:r>
          </w:p>
        </w:tc>
        <w:tc>
          <w:tcPr>
            <w:tcW w:w="1579" w:type="dxa"/>
            <w:tcBorders>
              <w:top w:val="nil"/>
              <w:left w:val="nil"/>
              <w:bottom w:val="nil"/>
              <w:right w:val="single" w:sz="4" w:space="0" w:color="auto"/>
            </w:tcBorders>
            <w:shd w:val="clear" w:color="auto" w:fill="auto"/>
            <w:vAlign w:val="bottom"/>
          </w:tcPr>
          <w:p w14:paraId="34DC8BD5" w14:textId="1BD40759" w:rsidR="00B01B09" w:rsidRPr="00B01B09" w:rsidRDefault="006A2002" w:rsidP="00B01B09">
            <w:pPr>
              <w:pStyle w:val="Tabletext"/>
              <w:jc w:val="right"/>
            </w:pPr>
            <w:r w:rsidRPr="006A2002">
              <w:rPr>
                <w:bCs/>
                <w:lang w:val="en-US"/>
              </w:rPr>
              <w:t>25</w:t>
            </w:r>
            <w:r w:rsidR="001D73D2">
              <w:rPr>
                <w:bCs/>
                <w:lang w:val="en-US"/>
              </w:rPr>
              <w:t> </w:t>
            </w:r>
            <w:r w:rsidRPr="006A2002">
              <w:rPr>
                <w:bCs/>
                <w:lang w:val="en-US"/>
              </w:rPr>
              <w:t>171</w:t>
            </w:r>
          </w:p>
        </w:tc>
        <w:tc>
          <w:tcPr>
            <w:tcW w:w="1534" w:type="dxa"/>
            <w:tcBorders>
              <w:top w:val="nil"/>
              <w:left w:val="nil"/>
              <w:bottom w:val="nil"/>
              <w:right w:val="single" w:sz="4" w:space="0" w:color="auto"/>
            </w:tcBorders>
            <w:shd w:val="clear" w:color="auto" w:fill="auto"/>
            <w:vAlign w:val="bottom"/>
          </w:tcPr>
          <w:p w14:paraId="0BED3217" w14:textId="12CB9DF4" w:rsidR="00B01B09" w:rsidRPr="00B01B09" w:rsidRDefault="006A2002" w:rsidP="00B01B09">
            <w:pPr>
              <w:pStyle w:val="Tabletext"/>
              <w:jc w:val="right"/>
            </w:pPr>
            <w:r w:rsidRPr="006A2002">
              <w:rPr>
                <w:bCs/>
                <w:lang w:val="en-US"/>
              </w:rPr>
              <w:t>24</w:t>
            </w:r>
            <w:r w:rsidR="001D73D2">
              <w:rPr>
                <w:bCs/>
                <w:lang w:val="en-US"/>
              </w:rPr>
              <w:t> </w:t>
            </w:r>
            <w:r w:rsidRPr="006A2002">
              <w:rPr>
                <w:bCs/>
                <w:lang w:val="en-US"/>
              </w:rPr>
              <w:t>026</w:t>
            </w:r>
          </w:p>
        </w:tc>
      </w:tr>
      <w:tr w:rsidR="00B01B09" w:rsidRPr="00B01B09" w14:paraId="0C1A98F9" w14:textId="77777777" w:rsidTr="0039125E">
        <w:trPr>
          <w:jc w:val="center"/>
        </w:trPr>
        <w:tc>
          <w:tcPr>
            <w:tcW w:w="6516" w:type="dxa"/>
            <w:tcBorders>
              <w:top w:val="nil"/>
              <w:left w:val="single" w:sz="4" w:space="0" w:color="auto"/>
              <w:bottom w:val="nil"/>
              <w:right w:val="single" w:sz="4" w:space="0" w:color="auto"/>
            </w:tcBorders>
            <w:shd w:val="clear" w:color="auto" w:fill="auto"/>
            <w:vAlign w:val="bottom"/>
            <w:hideMark/>
          </w:tcPr>
          <w:p w14:paraId="54E68C56" w14:textId="77777777" w:rsidR="00B01B09" w:rsidRPr="00B01B09" w:rsidRDefault="00B01B09" w:rsidP="00B01B09">
            <w:pPr>
              <w:pStyle w:val="Tabletext"/>
            </w:pPr>
            <w:r w:rsidRPr="00B01B09">
              <w:t>Carga financiera</w:t>
            </w:r>
          </w:p>
        </w:tc>
        <w:tc>
          <w:tcPr>
            <w:tcW w:w="1579" w:type="dxa"/>
            <w:tcBorders>
              <w:top w:val="nil"/>
              <w:left w:val="nil"/>
              <w:bottom w:val="nil"/>
              <w:right w:val="single" w:sz="4" w:space="0" w:color="auto"/>
            </w:tcBorders>
            <w:shd w:val="clear" w:color="auto" w:fill="auto"/>
            <w:vAlign w:val="bottom"/>
          </w:tcPr>
          <w:p w14:paraId="2BA2969C" w14:textId="1D532820" w:rsidR="00B01B09" w:rsidRPr="00B01B09" w:rsidRDefault="006A2002" w:rsidP="00B01B09">
            <w:pPr>
              <w:pStyle w:val="Tabletext"/>
              <w:jc w:val="right"/>
            </w:pPr>
            <w:r w:rsidRPr="006A2002">
              <w:rPr>
                <w:bCs/>
                <w:lang w:val="en-US"/>
              </w:rPr>
              <w:t>1</w:t>
            </w:r>
            <w:r w:rsidR="001D73D2">
              <w:rPr>
                <w:bCs/>
                <w:lang w:val="en-US"/>
              </w:rPr>
              <w:t> </w:t>
            </w:r>
            <w:r w:rsidRPr="006A2002">
              <w:rPr>
                <w:bCs/>
                <w:lang w:val="en-US"/>
              </w:rPr>
              <w:t>254</w:t>
            </w:r>
          </w:p>
        </w:tc>
        <w:tc>
          <w:tcPr>
            <w:tcW w:w="1534" w:type="dxa"/>
            <w:tcBorders>
              <w:top w:val="nil"/>
              <w:left w:val="nil"/>
              <w:bottom w:val="nil"/>
              <w:right w:val="single" w:sz="4" w:space="0" w:color="auto"/>
            </w:tcBorders>
            <w:shd w:val="clear" w:color="auto" w:fill="auto"/>
            <w:vAlign w:val="bottom"/>
          </w:tcPr>
          <w:p w14:paraId="1778B092" w14:textId="10C0F8AF" w:rsidR="00B01B09" w:rsidRPr="00B01B09" w:rsidRDefault="006A2002" w:rsidP="00B01B09">
            <w:pPr>
              <w:pStyle w:val="Tabletext"/>
              <w:jc w:val="right"/>
            </w:pPr>
            <w:r w:rsidRPr="006A2002">
              <w:rPr>
                <w:bCs/>
                <w:lang w:val="en-US"/>
              </w:rPr>
              <w:t>3</w:t>
            </w:r>
            <w:r w:rsidR="001D73D2">
              <w:rPr>
                <w:bCs/>
                <w:lang w:val="en-US"/>
              </w:rPr>
              <w:t> </w:t>
            </w:r>
            <w:r w:rsidRPr="006A2002">
              <w:rPr>
                <w:bCs/>
                <w:lang w:val="en-US"/>
              </w:rPr>
              <w:t>641</w:t>
            </w:r>
          </w:p>
        </w:tc>
      </w:tr>
      <w:tr w:rsidR="0039125E" w:rsidRPr="00B01B09" w14:paraId="79230BCD" w14:textId="77777777" w:rsidTr="0039125E">
        <w:trPr>
          <w:jc w:val="center"/>
        </w:trPr>
        <w:tc>
          <w:tcPr>
            <w:tcW w:w="6516" w:type="dxa"/>
            <w:tcBorders>
              <w:top w:val="nil"/>
              <w:left w:val="single" w:sz="4" w:space="0" w:color="auto"/>
              <w:bottom w:val="nil"/>
              <w:right w:val="single" w:sz="4" w:space="0" w:color="auto"/>
            </w:tcBorders>
            <w:shd w:val="clear" w:color="auto" w:fill="auto"/>
            <w:vAlign w:val="bottom"/>
          </w:tcPr>
          <w:p w14:paraId="3DB5B3B1" w14:textId="77777777" w:rsidR="0039125E" w:rsidRPr="00B01B09" w:rsidRDefault="0039125E" w:rsidP="00B01B09">
            <w:pPr>
              <w:pStyle w:val="Tabletext"/>
            </w:pPr>
          </w:p>
        </w:tc>
        <w:tc>
          <w:tcPr>
            <w:tcW w:w="1579" w:type="dxa"/>
            <w:tcBorders>
              <w:top w:val="nil"/>
              <w:left w:val="nil"/>
              <w:bottom w:val="nil"/>
              <w:right w:val="single" w:sz="4" w:space="0" w:color="auto"/>
            </w:tcBorders>
            <w:shd w:val="clear" w:color="auto" w:fill="auto"/>
            <w:vAlign w:val="bottom"/>
          </w:tcPr>
          <w:p w14:paraId="7EBB7513" w14:textId="77777777" w:rsidR="0039125E" w:rsidRPr="006A2002" w:rsidRDefault="0039125E" w:rsidP="00B01B09">
            <w:pPr>
              <w:pStyle w:val="Tabletext"/>
              <w:jc w:val="right"/>
              <w:rPr>
                <w:bCs/>
                <w:lang w:val="en-US"/>
              </w:rPr>
            </w:pPr>
          </w:p>
        </w:tc>
        <w:tc>
          <w:tcPr>
            <w:tcW w:w="1534" w:type="dxa"/>
            <w:tcBorders>
              <w:top w:val="nil"/>
              <w:left w:val="nil"/>
              <w:bottom w:val="nil"/>
              <w:right w:val="single" w:sz="4" w:space="0" w:color="auto"/>
            </w:tcBorders>
            <w:shd w:val="clear" w:color="auto" w:fill="auto"/>
            <w:vAlign w:val="bottom"/>
          </w:tcPr>
          <w:p w14:paraId="788749B1" w14:textId="77777777" w:rsidR="0039125E" w:rsidRPr="006A2002" w:rsidRDefault="0039125E" w:rsidP="00B01B09">
            <w:pPr>
              <w:pStyle w:val="Tabletext"/>
              <w:jc w:val="right"/>
              <w:rPr>
                <w:bCs/>
                <w:lang w:val="en-US"/>
              </w:rPr>
            </w:pPr>
          </w:p>
        </w:tc>
      </w:tr>
      <w:tr w:rsidR="00B01B09" w:rsidRPr="00B01B09" w14:paraId="71570603" w14:textId="77777777" w:rsidTr="0039125E">
        <w:trPr>
          <w:jc w:val="center"/>
        </w:trPr>
        <w:tc>
          <w:tcPr>
            <w:tcW w:w="6516" w:type="dxa"/>
            <w:tcBorders>
              <w:top w:val="nil"/>
              <w:left w:val="single" w:sz="4" w:space="0" w:color="auto"/>
              <w:bottom w:val="single" w:sz="4" w:space="0" w:color="auto"/>
              <w:right w:val="single" w:sz="4" w:space="0" w:color="auto"/>
            </w:tcBorders>
            <w:shd w:val="clear" w:color="auto" w:fill="auto"/>
            <w:vAlign w:val="center"/>
          </w:tcPr>
          <w:p w14:paraId="736B4A51" w14:textId="77777777" w:rsidR="00B01B09" w:rsidRPr="00B01B09" w:rsidRDefault="00B01B09" w:rsidP="00B01B09">
            <w:pPr>
              <w:pStyle w:val="Tabletext"/>
            </w:pPr>
            <w:r w:rsidRPr="00B01B09">
              <w:t>Total</w:t>
            </w:r>
          </w:p>
        </w:tc>
        <w:tc>
          <w:tcPr>
            <w:tcW w:w="1579" w:type="dxa"/>
            <w:tcBorders>
              <w:top w:val="single" w:sz="4" w:space="0" w:color="auto"/>
              <w:left w:val="nil"/>
              <w:bottom w:val="single" w:sz="4" w:space="0" w:color="auto"/>
              <w:right w:val="single" w:sz="4" w:space="0" w:color="auto"/>
            </w:tcBorders>
            <w:shd w:val="clear" w:color="auto" w:fill="auto"/>
            <w:vAlign w:val="center"/>
          </w:tcPr>
          <w:p w14:paraId="760EF8AA" w14:textId="4E5F3FFD" w:rsidR="00B01B09" w:rsidRPr="00B01B09" w:rsidRDefault="006A2002" w:rsidP="00B01B09">
            <w:pPr>
              <w:pStyle w:val="Tabletext"/>
              <w:jc w:val="right"/>
            </w:pPr>
            <w:r w:rsidRPr="006A2002">
              <w:rPr>
                <w:lang w:val="en-GB"/>
              </w:rPr>
              <w:t>26</w:t>
            </w:r>
            <w:r w:rsidR="001D73D2">
              <w:rPr>
                <w:lang w:val="en-GB"/>
              </w:rPr>
              <w:t> </w:t>
            </w:r>
            <w:r w:rsidRPr="006A2002">
              <w:rPr>
                <w:lang w:val="en-GB"/>
              </w:rPr>
              <w:t>425</w:t>
            </w:r>
          </w:p>
        </w:tc>
        <w:tc>
          <w:tcPr>
            <w:tcW w:w="1534" w:type="dxa"/>
            <w:tcBorders>
              <w:top w:val="single" w:sz="4" w:space="0" w:color="auto"/>
              <w:left w:val="nil"/>
              <w:bottom w:val="single" w:sz="4" w:space="0" w:color="auto"/>
              <w:right w:val="single" w:sz="4" w:space="0" w:color="auto"/>
            </w:tcBorders>
            <w:vAlign w:val="center"/>
          </w:tcPr>
          <w:p w14:paraId="376679AF" w14:textId="1AA7CB1B" w:rsidR="00B01B09" w:rsidRPr="00B01B09" w:rsidRDefault="006A2002" w:rsidP="00B01B09">
            <w:pPr>
              <w:pStyle w:val="Tabletext"/>
              <w:jc w:val="right"/>
            </w:pPr>
            <w:r w:rsidRPr="006A2002">
              <w:rPr>
                <w:lang w:val="en-GB"/>
              </w:rPr>
              <w:t>27</w:t>
            </w:r>
            <w:r w:rsidR="001D73D2">
              <w:rPr>
                <w:lang w:val="en-GB"/>
              </w:rPr>
              <w:t> </w:t>
            </w:r>
            <w:r w:rsidRPr="006A2002">
              <w:rPr>
                <w:lang w:val="en-GB"/>
              </w:rPr>
              <w:t>667</w:t>
            </w:r>
          </w:p>
        </w:tc>
      </w:tr>
    </w:tbl>
    <w:bookmarkEnd w:id="9"/>
    <w:p w14:paraId="328EA052" w14:textId="77777777" w:rsidR="00B01B09" w:rsidRPr="00B01B09" w:rsidRDefault="00B01B09" w:rsidP="00216EF1">
      <w:pPr>
        <w:pStyle w:val="Normalaftertitle"/>
      </w:pPr>
      <w:r w:rsidRPr="00B01B09">
        <w:t>3.3</w:t>
      </w:r>
      <w:r w:rsidRPr="00B01B09">
        <w:tab/>
        <w:t>Desde 2016, con arreglo a una decisión adoptada por el grupo de tareas de las Naciones Unidas sobre la aplicación de las IPSAS, se han armonizado todos los supuestos relacionados con la valoración del ASHI entre los organismos de las Naciones Unidas.</w:t>
      </w:r>
    </w:p>
    <w:p w14:paraId="24A92DC0" w14:textId="77777777" w:rsidR="00B01B09" w:rsidRPr="00B01B09" w:rsidRDefault="00B01B09" w:rsidP="006A2002">
      <w:r w:rsidRPr="00B01B09">
        <w:t>3.4</w:t>
      </w:r>
      <w:r w:rsidRPr="00B01B09">
        <w:tab/>
        <w:t>Entre los supuestos actuariales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p>
    <w:p w14:paraId="094CEEED" w14:textId="77777777" w:rsidR="00B01B09" w:rsidRPr="00B01B09" w:rsidRDefault="00B01B09" w:rsidP="00440936">
      <w:pPr>
        <w:keepNext/>
        <w:keepLines/>
        <w:spacing w:after="240"/>
      </w:pPr>
      <w:r w:rsidRPr="00B01B09">
        <w:t>3.5</w:t>
      </w:r>
      <w:r w:rsidRPr="00B01B09">
        <w:tab/>
        <w:t>La evolución de estos supuestos se indica en el siguiente cuadro.</w:t>
      </w:r>
      <w:bookmarkStart w:id="10" w:name="_Hlk39499155"/>
    </w:p>
    <w:tbl>
      <w:tblPr>
        <w:tblStyle w:val="TableGrid"/>
        <w:tblW w:w="0" w:type="auto"/>
        <w:tblLayout w:type="fixed"/>
        <w:tblLook w:val="04A0" w:firstRow="1" w:lastRow="0" w:firstColumn="1" w:lastColumn="0" w:noHBand="0" w:noVBand="1"/>
      </w:tblPr>
      <w:tblGrid>
        <w:gridCol w:w="3509"/>
        <w:gridCol w:w="1064"/>
        <w:gridCol w:w="980"/>
        <w:gridCol w:w="1049"/>
        <w:gridCol w:w="980"/>
        <w:gridCol w:w="980"/>
        <w:gridCol w:w="1067"/>
      </w:tblGrid>
      <w:tr w:rsidR="00B01B09" w:rsidRPr="00B01B09" w14:paraId="2E7A57E0" w14:textId="77777777" w:rsidTr="0088265E">
        <w:tc>
          <w:tcPr>
            <w:tcW w:w="3509" w:type="dxa"/>
            <w:tcBorders>
              <w:top w:val="single" w:sz="4" w:space="0" w:color="auto"/>
              <w:left w:val="single" w:sz="4" w:space="0" w:color="auto"/>
              <w:bottom w:val="nil"/>
              <w:right w:val="single" w:sz="4" w:space="0" w:color="auto"/>
            </w:tcBorders>
          </w:tcPr>
          <w:p w14:paraId="6776BB35" w14:textId="77777777" w:rsidR="00B01B09" w:rsidRPr="00B01B09" w:rsidRDefault="00B01B09" w:rsidP="00440936">
            <w:pPr>
              <w:pStyle w:val="Tablehead"/>
              <w:keepNext/>
              <w:keepLines/>
            </w:pPr>
          </w:p>
        </w:tc>
        <w:tc>
          <w:tcPr>
            <w:tcW w:w="1064" w:type="dxa"/>
            <w:tcBorders>
              <w:top w:val="single" w:sz="4" w:space="0" w:color="auto"/>
              <w:left w:val="single" w:sz="4" w:space="0" w:color="auto"/>
              <w:right w:val="single" w:sz="4" w:space="0" w:color="auto"/>
            </w:tcBorders>
            <w:shd w:val="clear" w:color="auto" w:fill="auto"/>
          </w:tcPr>
          <w:p w14:paraId="50F8DA89" w14:textId="32279810" w:rsidR="00B01B09" w:rsidRPr="00B01B09" w:rsidRDefault="00B01B09" w:rsidP="0088265E">
            <w:pPr>
              <w:pStyle w:val="Tablehead"/>
              <w:keepNext/>
              <w:keepLines/>
              <w:rPr>
                <w:bCs/>
              </w:rPr>
            </w:pPr>
            <w:r w:rsidRPr="00B01B09">
              <w:rPr>
                <w:bCs/>
              </w:rPr>
              <w:t>2016</w:t>
            </w:r>
          </w:p>
        </w:tc>
        <w:tc>
          <w:tcPr>
            <w:tcW w:w="980" w:type="dxa"/>
            <w:tcBorders>
              <w:top w:val="single" w:sz="4" w:space="0" w:color="auto"/>
              <w:left w:val="single" w:sz="4" w:space="0" w:color="auto"/>
              <w:right w:val="single" w:sz="4" w:space="0" w:color="auto"/>
            </w:tcBorders>
            <w:shd w:val="clear" w:color="auto" w:fill="auto"/>
          </w:tcPr>
          <w:p w14:paraId="75E4A464" w14:textId="34015BB4" w:rsidR="00B01B09" w:rsidRPr="00B01B09" w:rsidRDefault="00B01B09" w:rsidP="0088265E">
            <w:pPr>
              <w:pStyle w:val="Tablehead"/>
              <w:keepNext/>
              <w:keepLines/>
              <w:rPr>
                <w:bCs/>
              </w:rPr>
            </w:pPr>
            <w:r w:rsidRPr="00B01B09">
              <w:rPr>
                <w:bCs/>
              </w:rPr>
              <w:t>2017</w:t>
            </w:r>
          </w:p>
        </w:tc>
        <w:tc>
          <w:tcPr>
            <w:tcW w:w="1049" w:type="dxa"/>
            <w:tcBorders>
              <w:top w:val="single" w:sz="4" w:space="0" w:color="auto"/>
              <w:left w:val="single" w:sz="4" w:space="0" w:color="auto"/>
              <w:right w:val="single" w:sz="4" w:space="0" w:color="auto"/>
            </w:tcBorders>
            <w:shd w:val="clear" w:color="auto" w:fill="auto"/>
          </w:tcPr>
          <w:p w14:paraId="5F837C60" w14:textId="3327E394" w:rsidR="00B01B09" w:rsidRPr="00B01B09" w:rsidRDefault="00B01B09" w:rsidP="0088265E">
            <w:pPr>
              <w:pStyle w:val="Tablehead"/>
              <w:keepNext/>
              <w:keepLines/>
              <w:rPr>
                <w:bCs/>
              </w:rPr>
            </w:pPr>
            <w:r w:rsidRPr="00B01B09">
              <w:rPr>
                <w:bCs/>
              </w:rPr>
              <w:t>2018</w:t>
            </w:r>
          </w:p>
        </w:tc>
        <w:tc>
          <w:tcPr>
            <w:tcW w:w="980" w:type="dxa"/>
            <w:tcBorders>
              <w:top w:val="single" w:sz="4" w:space="0" w:color="auto"/>
              <w:left w:val="single" w:sz="4" w:space="0" w:color="auto"/>
              <w:right w:val="single" w:sz="4" w:space="0" w:color="auto"/>
            </w:tcBorders>
          </w:tcPr>
          <w:p w14:paraId="52474604" w14:textId="1C5280C8" w:rsidR="00B01B09" w:rsidRPr="00B01B09" w:rsidRDefault="00B01B09" w:rsidP="0088265E">
            <w:pPr>
              <w:pStyle w:val="Tablehead"/>
              <w:keepNext/>
              <w:keepLines/>
              <w:rPr>
                <w:bCs/>
              </w:rPr>
            </w:pPr>
            <w:r w:rsidRPr="00B01B09">
              <w:rPr>
                <w:bCs/>
              </w:rPr>
              <w:t>2019</w:t>
            </w:r>
          </w:p>
        </w:tc>
        <w:tc>
          <w:tcPr>
            <w:tcW w:w="980" w:type="dxa"/>
            <w:tcBorders>
              <w:top w:val="single" w:sz="4" w:space="0" w:color="auto"/>
              <w:left w:val="single" w:sz="4" w:space="0" w:color="auto"/>
              <w:right w:val="single" w:sz="4" w:space="0" w:color="auto"/>
            </w:tcBorders>
          </w:tcPr>
          <w:p w14:paraId="1355EAD0" w14:textId="24232E3B" w:rsidR="00B01B09" w:rsidRPr="00B01B09" w:rsidRDefault="00B01B09" w:rsidP="0088265E">
            <w:pPr>
              <w:pStyle w:val="Tablehead"/>
              <w:keepNext/>
              <w:keepLines/>
              <w:rPr>
                <w:bCs/>
              </w:rPr>
            </w:pPr>
            <w:r w:rsidRPr="00B01B09">
              <w:rPr>
                <w:bCs/>
              </w:rPr>
              <w:t>2020</w:t>
            </w:r>
          </w:p>
        </w:tc>
        <w:tc>
          <w:tcPr>
            <w:tcW w:w="1067" w:type="dxa"/>
            <w:tcBorders>
              <w:top w:val="single" w:sz="4" w:space="0" w:color="auto"/>
              <w:left w:val="single" w:sz="4" w:space="0" w:color="auto"/>
              <w:right w:val="single" w:sz="4" w:space="0" w:color="auto"/>
            </w:tcBorders>
          </w:tcPr>
          <w:p w14:paraId="621DDB7E" w14:textId="74B16266" w:rsidR="00B01B09" w:rsidRPr="00B01B09" w:rsidRDefault="00B01B09" w:rsidP="0088265E">
            <w:pPr>
              <w:pStyle w:val="Tablehead"/>
              <w:keepNext/>
              <w:keepLines/>
              <w:rPr>
                <w:bCs/>
              </w:rPr>
            </w:pPr>
            <w:r w:rsidRPr="00B01B09">
              <w:rPr>
                <w:bCs/>
              </w:rPr>
              <w:t>2021</w:t>
            </w:r>
          </w:p>
        </w:tc>
      </w:tr>
      <w:tr w:rsidR="0088265E" w:rsidRPr="00B01B09" w14:paraId="23B80B61" w14:textId="77777777" w:rsidTr="0088265E">
        <w:tc>
          <w:tcPr>
            <w:tcW w:w="3509" w:type="dxa"/>
            <w:tcBorders>
              <w:top w:val="nil"/>
              <w:left w:val="single" w:sz="4" w:space="0" w:color="auto"/>
              <w:bottom w:val="nil"/>
              <w:right w:val="single" w:sz="4" w:space="0" w:color="auto"/>
            </w:tcBorders>
          </w:tcPr>
          <w:p w14:paraId="268A03D1" w14:textId="77777777" w:rsidR="006A2002" w:rsidRPr="00B01B09" w:rsidRDefault="006A2002" w:rsidP="00D5791A">
            <w:pPr>
              <w:pStyle w:val="Tabletext"/>
            </w:pPr>
            <w:r w:rsidRPr="00B01B09">
              <w:t>Tasa de descuento</w:t>
            </w:r>
          </w:p>
        </w:tc>
        <w:tc>
          <w:tcPr>
            <w:tcW w:w="1064" w:type="dxa"/>
            <w:tcBorders>
              <w:top w:val="single" w:sz="4" w:space="0" w:color="auto"/>
              <w:left w:val="single" w:sz="4" w:space="0" w:color="auto"/>
              <w:bottom w:val="nil"/>
              <w:right w:val="single" w:sz="4" w:space="0" w:color="auto"/>
            </w:tcBorders>
          </w:tcPr>
          <w:p w14:paraId="17C141CB" w14:textId="20E683C1" w:rsidR="006A2002" w:rsidRPr="001D73D2" w:rsidRDefault="006A2002" w:rsidP="0088265E">
            <w:pPr>
              <w:pStyle w:val="Tabletext"/>
              <w:jc w:val="center"/>
            </w:pPr>
            <w:r w:rsidRPr="001D73D2">
              <w:t>0</w:t>
            </w:r>
            <w:r w:rsidR="001D73D2" w:rsidRPr="001D73D2">
              <w:t>,</w:t>
            </w:r>
            <w:r w:rsidRPr="001D73D2">
              <w:t>92%</w:t>
            </w:r>
          </w:p>
        </w:tc>
        <w:tc>
          <w:tcPr>
            <w:tcW w:w="980" w:type="dxa"/>
            <w:tcBorders>
              <w:top w:val="single" w:sz="4" w:space="0" w:color="auto"/>
              <w:left w:val="single" w:sz="4" w:space="0" w:color="auto"/>
              <w:bottom w:val="nil"/>
              <w:right w:val="single" w:sz="4" w:space="0" w:color="auto"/>
            </w:tcBorders>
          </w:tcPr>
          <w:p w14:paraId="6C05CC8E" w14:textId="6AC90B69" w:rsidR="006A2002" w:rsidRPr="001D73D2" w:rsidRDefault="006A2002" w:rsidP="0088265E">
            <w:pPr>
              <w:pStyle w:val="Tabletext"/>
              <w:jc w:val="center"/>
            </w:pPr>
            <w:r w:rsidRPr="001D73D2">
              <w:t>0</w:t>
            </w:r>
            <w:r w:rsidR="001D73D2" w:rsidRPr="001D73D2">
              <w:t>,</w:t>
            </w:r>
            <w:r w:rsidRPr="001D73D2">
              <w:t>90%</w:t>
            </w:r>
          </w:p>
        </w:tc>
        <w:tc>
          <w:tcPr>
            <w:tcW w:w="1049" w:type="dxa"/>
            <w:tcBorders>
              <w:top w:val="single" w:sz="4" w:space="0" w:color="auto"/>
              <w:left w:val="single" w:sz="4" w:space="0" w:color="auto"/>
              <w:bottom w:val="nil"/>
              <w:right w:val="single" w:sz="4" w:space="0" w:color="auto"/>
            </w:tcBorders>
          </w:tcPr>
          <w:p w14:paraId="35854C30" w14:textId="15BA10F3" w:rsidR="006A2002" w:rsidRPr="001D73D2" w:rsidRDefault="006A2002" w:rsidP="0088265E">
            <w:pPr>
              <w:pStyle w:val="Tabletext"/>
              <w:jc w:val="center"/>
            </w:pPr>
            <w:r w:rsidRPr="001D73D2">
              <w:t>1</w:t>
            </w:r>
            <w:r w:rsidR="001D73D2">
              <w:t>,</w:t>
            </w:r>
            <w:r w:rsidRPr="001D73D2">
              <w:t>20%</w:t>
            </w:r>
          </w:p>
        </w:tc>
        <w:tc>
          <w:tcPr>
            <w:tcW w:w="980" w:type="dxa"/>
            <w:tcBorders>
              <w:top w:val="single" w:sz="4" w:space="0" w:color="auto"/>
              <w:left w:val="single" w:sz="4" w:space="0" w:color="auto"/>
              <w:bottom w:val="nil"/>
              <w:right w:val="single" w:sz="4" w:space="0" w:color="auto"/>
            </w:tcBorders>
          </w:tcPr>
          <w:p w14:paraId="55C896CB" w14:textId="011D1955" w:rsidR="006A2002" w:rsidRPr="001D73D2" w:rsidRDefault="006A2002" w:rsidP="0088265E">
            <w:pPr>
              <w:pStyle w:val="Tabletext"/>
              <w:jc w:val="center"/>
            </w:pPr>
            <w:r w:rsidRPr="001D73D2">
              <w:t>0</w:t>
            </w:r>
            <w:r w:rsidR="001D73D2">
              <w:t>,</w:t>
            </w:r>
            <w:r w:rsidRPr="001D73D2">
              <w:t>60%</w:t>
            </w:r>
          </w:p>
        </w:tc>
        <w:tc>
          <w:tcPr>
            <w:tcW w:w="980" w:type="dxa"/>
            <w:tcBorders>
              <w:top w:val="single" w:sz="4" w:space="0" w:color="auto"/>
              <w:left w:val="single" w:sz="4" w:space="0" w:color="auto"/>
              <w:bottom w:val="nil"/>
              <w:right w:val="single" w:sz="4" w:space="0" w:color="auto"/>
            </w:tcBorders>
          </w:tcPr>
          <w:p w14:paraId="0B4DBCEC" w14:textId="380E155B" w:rsidR="006A2002" w:rsidRPr="001D73D2" w:rsidRDefault="006A2002" w:rsidP="0088265E">
            <w:pPr>
              <w:pStyle w:val="Tabletext"/>
              <w:jc w:val="center"/>
            </w:pPr>
            <w:r w:rsidRPr="001D73D2">
              <w:t>0</w:t>
            </w:r>
            <w:r w:rsidR="001D73D2">
              <w:t>,</w:t>
            </w:r>
            <w:r w:rsidRPr="001D73D2">
              <w:t>20%</w:t>
            </w:r>
          </w:p>
        </w:tc>
        <w:tc>
          <w:tcPr>
            <w:tcW w:w="1067" w:type="dxa"/>
            <w:tcBorders>
              <w:top w:val="single" w:sz="4" w:space="0" w:color="auto"/>
              <w:left w:val="single" w:sz="4" w:space="0" w:color="auto"/>
              <w:bottom w:val="nil"/>
              <w:right w:val="single" w:sz="4" w:space="0" w:color="auto"/>
            </w:tcBorders>
          </w:tcPr>
          <w:p w14:paraId="40554EAD" w14:textId="25C3ACED" w:rsidR="006A2002" w:rsidRPr="001D73D2" w:rsidRDefault="006A2002" w:rsidP="0088265E">
            <w:pPr>
              <w:pStyle w:val="Tabletext"/>
              <w:jc w:val="center"/>
            </w:pPr>
            <w:r w:rsidRPr="001D73D2">
              <w:t>0</w:t>
            </w:r>
            <w:r w:rsidR="001D73D2">
              <w:t>,</w:t>
            </w:r>
            <w:r w:rsidRPr="001D73D2">
              <w:t>50%</w:t>
            </w:r>
          </w:p>
        </w:tc>
      </w:tr>
      <w:tr w:rsidR="0088265E" w:rsidRPr="00B01B09" w14:paraId="0A6BB38F" w14:textId="77777777" w:rsidTr="0088265E">
        <w:tc>
          <w:tcPr>
            <w:tcW w:w="3509" w:type="dxa"/>
            <w:tcBorders>
              <w:top w:val="nil"/>
              <w:left w:val="single" w:sz="4" w:space="0" w:color="auto"/>
              <w:bottom w:val="nil"/>
              <w:right w:val="single" w:sz="4" w:space="0" w:color="auto"/>
            </w:tcBorders>
          </w:tcPr>
          <w:p w14:paraId="66995B7B" w14:textId="77777777" w:rsidR="006A2002" w:rsidRPr="00B01B09" w:rsidRDefault="006A2002" w:rsidP="006A2002">
            <w:pPr>
              <w:pStyle w:val="Tabletext"/>
            </w:pPr>
            <w:r w:rsidRPr="00B01B09">
              <w:t>Incremento de los gastos médicos</w:t>
            </w:r>
          </w:p>
        </w:tc>
        <w:tc>
          <w:tcPr>
            <w:tcW w:w="1064" w:type="dxa"/>
            <w:tcBorders>
              <w:top w:val="nil"/>
              <w:left w:val="single" w:sz="4" w:space="0" w:color="auto"/>
              <w:bottom w:val="nil"/>
              <w:right w:val="single" w:sz="4" w:space="0" w:color="auto"/>
            </w:tcBorders>
          </w:tcPr>
          <w:p w14:paraId="24577652" w14:textId="642E3856" w:rsidR="006A2002" w:rsidRPr="0088265E" w:rsidRDefault="006A2002" w:rsidP="0088265E">
            <w:pPr>
              <w:pStyle w:val="Tabletext"/>
              <w:jc w:val="center"/>
              <w:rPr>
                <w:i/>
                <w:iCs/>
              </w:rPr>
            </w:pPr>
            <w:r w:rsidRPr="0088265E">
              <w:rPr>
                <w:i/>
                <w:iCs/>
              </w:rPr>
              <w:t>4</w:t>
            </w:r>
            <w:r w:rsidR="0088265E" w:rsidRPr="0088265E">
              <w:rPr>
                <w:i/>
                <w:iCs/>
              </w:rPr>
              <w:t>,</w:t>
            </w:r>
            <w:r w:rsidRPr="0088265E">
              <w:rPr>
                <w:i/>
                <w:iCs/>
              </w:rPr>
              <w:t>50%</w:t>
            </w:r>
          </w:p>
        </w:tc>
        <w:tc>
          <w:tcPr>
            <w:tcW w:w="980" w:type="dxa"/>
            <w:tcBorders>
              <w:top w:val="nil"/>
              <w:left w:val="single" w:sz="4" w:space="0" w:color="auto"/>
              <w:bottom w:val="nil"/>
              <w:right w:val="single" w:sz="4" w:space="0" w:color="auto"/>
            </w:tcBorders>
          </w:tcPr>
          <w:p w14:paraId="4A62EC33" w14:textId="6A9C4D4B" w:rsidR="006A2002" w:rsidRPr="00B01B09" w:rsidRDefault="006A2002" w:rsidP="0088265E">
            <w:pPr>
              <w:pStyle w:val="Tabletext"/>
              <w:jc w:val="center"/>
              <w:rPr>
                <w:i/>
                <w:iCs/>
              </w:rPr>
            </w:pPr>
            <w:r w:rsidRPr="0088265E">
              <w:rPr>
                <w:i/>
                <w:iCs/>
              </w:rPr>
              <w:t>4</w:t>
            </w:r>
            <w:r w:rsidR="0088265E" w:rsidRPr="0088265E">
              <w:rPr>
                <w:i/>
                <w:iCs/>
              </w:rPr>
              <w:t>,</w:t>
            </w:r>
            <w:r w:rsidRPr="0088265E">
              <w:rPr>
                <w:i/>
                <w:iCs/>
              </w:rPr>
              <w:t>20%</w:t>
            </w:r>
          </w:p>
        </w:tc>
        <w:tc>
          <w:tcPr>
            <w:tcW w:w="1049" w:type="dxa"/>
            <w:tcBorders>
              <w:top w:val="nil"/>
              <w:left w:val="single" w:sz="4" w:space="0" w:color="auto"/>
              <w:bottom w:val="nil"/>
              <w:right w:val="single" w:sz="4" w:space="0" w:color="auto"/>
            </w:tcBorders>
          </w:tcPr>
          <w:p w14:paraId="500C3426" w14:textId="6977115E" w:rsidR="006A2002" w:rsidRPr="00B01B09" w:rsidRDefault="006A2002" w:rsidP="0088265E">
            <w:pPr>
              <w:pStyle w:val="Tabletext"/>
              <w:jc w:val="center"/>
              <w:rPr>
                <w:i/>
                <w:iCs/>
              </w:rPr>
            </w:pPr>
            <w:r w:rsidRPr="0088265E">
              <w:rPr>
                <w:i/>
                <w:iCs/>
              </w:rPr>
              <w:t>3</w:t>
            </w:r>
            <w:r w:rsidR="0088265E" w:rsidRPr="0088265E">
              <w:rPr>
                <w:i/>
                <w:iCs/>
              </w:rPr>
              <w:t>,</w:t>
            </w:r>
            <w:r w:rsidRPr="0088265E">
              <w:rPr>
                <w:i/>
                <w:iCs/>
              </w:rPr>
              <w:t>90%</w:t>
            </w:r>
          </w:p>
        </w:tc>
        <w:tc>
          <w:tcPr>
            <w:tcW w:w="980" w:type="dxa"/>
            <w:tcBorders>
              <w:top w:val="nil"/>
              <w:left w:val="single" w:sz="4" w:space="0" w:color="auto"/>
              <w:bottom w:val="nil"/>
              <w:right w:val="single" w:sz="4" w:space="0" w:color="auto"/>
            </w:tcBorders>
          </w:tcPr>
          <w:p w14:paraId="7F39648D" w14:textId="5C293592" w:rsidR="006A2002" w:rsidRPr="00B01B09" w:rsidRDefault="006A2002" w:rsidP="0088265E">
            <w:pPr>
              <w:pStyle w:val="Tabletext"/>
              <w:jc w:val="center"/>
              <w:rPr>
                <w:i/>
                <w:iCs/>
              </w:rPr>
            </w:pPr>
            <w:r w:rsidRPr="0088265E">
              <w:rPr>
                <w:i/>
                <w:iCs/>
              </w:rPr>
              <w:t>3</w:t>
            </w:r>
            <w:r w:rsidR="0088265E" w:rsidRPr="0088265E">
              <w:rPr>
                <w:i/>
                <w:iCs/>
              </w:rPr>
              <w:t>,</w:t>
            </w:r>
            <w:r w:rsidRPr="0088265E">
              <w:rPr>
                <w:i/>
                <w:iCs/>
              </w:rPr>
              <w:t>00%</w:t>
            </w:r>
          </w:p>
        </w:tc>
        <w:tc>
          <w:tcPr>
            <w:tcW w:w="980" w:type="dxa"/>
            <w:tcBorders>
              <w:top w:val="nil"/>
              <w:left w:val="single" w:sz="4" w:space="0" w:color="auto"/>
              <w:bottom w:val="nil"/>
              <w:right w:val="single" w:sz="4" w:space="0" w:color="auto"/>
            </w:tcBorders>
          </w:tcPr>
          <w:p w14:paraId="57D371C1" w14:textId="5A8203ED" w:rsidR="006A2002" w:rsidRPr="00B01B09" w:rsidRDefault="006A2002" w:rsidP="0088265E">
            <w:pPr>
              <w:pStyle w:val="Tabletext"/>
              <w:jc w:val="center"/>
              <w:rPr>
                <w:i/>
                <w:iCs/>
              </w:rPr>
            </w:pPr>
            <w:r w:rsidRPr="0088265E">
              <w:rPr>
                <w:i/>
                <w:iCs/>
              </w:rPr>
              <w:t>2</w:t>
            </w:r>
            <w:r w:rsidR="0088265E">
              <w:rPr>
                <w:i/>
                <w:iCs/>
              </w:rPr>
              <w:t>,</w:t>
            </w:r>
            <w:r w:rsidRPr="0088265E">
              <w:rPr>
                <w:i/>
                <w:iCs/>
              </w:rPr>
              <w:t>80%</w:t>
            </w:r>
          </w:p>
        </w:tc>
        <w:tc>
          <w:tcPr>
            <w:tcW w:w="1067" w:type="dxa"/>
            <w:tcBorders>
              <w:top w:val="nil"/>
              <w:left w:val="single" w:sz="4" w:space="0" w:color="auto"/>
              <w:bottom w:val="nil"/>
              <w:right w:val="single" w:sz="4" w:space="0" w:color="auto"/>
            </w:tcBorders>
          </w:tcPr>
          <w:p w14:paraId="65BFCEC1" w14:textId="4C6A3E22" w:rsidR="006A2002" w:rsidRPr="00B01B09" w:rsidRDefault="006A2002" w:rsidP="0088265E">
            <w:pPr>
              <w:pStyle w:val="Tabletext"/>
              <w:jc w:val="center"/>
              <w:rPr>
                <w:i/>
                <w:iCs/>
              </w:rPr>
            </w:pPr>
            <w:r w:rsidRPr="0088265E">
              <w:rPr>
                <w:i/>
                <w:iCs/>
              </w:rPr>
              <w:t>2</w:t>
            </w:r>
            <w:r w:rsidR="0088265E">
              <w:rPr>
                <w:i/>
                <w:iCs/>
              </w:rPr>
              <w:t>,</w:t>
            </w:r>
            <w:r w:rsidRPr="0088265E">
              <w:rPr>
                <w:i/>
                <w:iCs/>
              </w:rPr>
              <w:t>50%</w:t>
            </w:r>
          </w:p>
        </w:tc>
      </w:tr>
      <w:tr w:rsidR="0088265E" w:rsidRPr="00B01B09" w14:paraId="73B6E515" w14:textId="77777777" w:rsidTr="0088265E">
        <w:tc>
          <w:tcPr>
            <w:tcW w:w="3509" w:type="dxa"/>
            <w:tcBorders>
              <w:top w:val="nil"/>
              <w:bottom w:val="single" w:sz="4" w:space="0" w:color="auto"/>
              <w:right w:val="single" w:sz="4" w:space="0" w:color="auto"/>
            </w:tcBorders>
          </w:tcPr>
          <w:p w14:paraId="60D42893" w14:textId="77777777" w:rsidR="0088265E" w:rsidRPr="00B01B09" w:rsidRDefault="0088265E" w:rsidP="0088265E">
            <w:pPr>
              <w:pStyle w:val="Tabletext"/>
            </w:pPr>
            <w:r w:rsidRPr="00B01B09">
              <w:t>Aumento de los salarios</w:t>
            </w:r>
          </w:p>
        </w:tc>
        <w:tc>
          <w:tcPr>
            <w:tcW w:w="1064" w:type="dxa"/>
            <w:tcBorders>
              <w:top w:val="nil"/>
              <w:left w:val="single" w:sz="4" w:space="0" w:color="auto"/>
              <w:right w:val="single" w:sz="4" w:space="0" w:color="auto"/>
            </w:tcBorders>
          </w:tcPr>
          <w:p w14:paraId="46256F03" w14:textId="3130FE04" w:rsidR="0088265E" w:rsidRPr="00B01B09" w:rsidRDefault="0088265E" w:rsidP="0088265E">
            <w:pPr>
              <w:pStyle w:val="Tabletext"/>
              <w:jc w:val="center"/>
              <w:rPr>
                <w:i/>
                <w:iCs/>
              </w:rPr>
            </w:pPr>
            <w:r w:rsidRPr="0088265E">
              <w:rPr>
                <w:i/>
                <w:iCs/>
              </w:rPr>
              <w:t>3</w:t>
            </w:r>
            <w:r>
              <w:rPr>
                <w:i/>
                <w:iCs/>
              </w:rPr>
              <w:t>,</w:t>
            </w:r>
            <w:r w:rsidRPr="0088265E">
              <w:rPr>
                <w:i/>
                <w:iCs/>
              </w:rPr>
              <w:t>50%</w:t>
            </w:r>
          </w:p>
        </w:tc>
        <w:tc>
          <w:tcPr>
            <w:tcW w:w="980" w:type="dxa"/>
            <w:tcBorders>
              <w:top w:val="nil"/>
              <w:left w:val="single" w:sz="4" w:space="0" w:color="auto"/>
              <w:right w:val="single" w:sz="4" w:space="0" w:color="auto"/>
            </w:tcBorders>
          </w:tcPr>
          <w:p w14:paraId="2520973D" w14:textId="126804DA" w:rsidR="0088265E" w:rsidRPr="00B01B09" w:rsidRDefault="0088265E" w:rsidP="0088265E">
            <w:pPr>
              <w:pStyle w:val="Tabletext"/>
              <w:jc w:val="center"/>
              <w:rPr>
                <w:i/>
                <w:iCs/>
              </w:rPr>
            </w:pPr>
            <w:r w:rsidRPr="0088265E">
              <w:rPr>
                <w:i/>
                <w:iCs/>
              </w:rPr>
              <w:t>3</w:t>
            </w:r>
            <w:r>
              <w:rPr>
                <w:i/>
                <w:iCs/>
              </w:rPr>
              <w:t>,</w:t>
            </w:r>
            <w:r w:rsidRPr="0088265E">
              <w:rPr>
                <w:i/>
                <w:iCs/>
              </w:rPr>
              <w:t>50%</w:t>
            </w:r>
          </w:p>
        </w:tc>
        <w:tc>
          <w:tcPr>
            <w:tcW w:w="1049" w:type="dxa"/>
            <w:tcBorders>
              <w:top w:val="nil"/>
              <w:left w:val="single" w:sz="4" w:space="0" w:color="auto"/>
              <w:right w:val="single" w:sz="4" w:space="0" w:color="auto"/>
            </w:tcBorders>
          </w:tcPr>
          <w:p w14:paraId="6E56CE22" w14:textId="3AFF2296" w:rsidR="0088265E" w:rsidRPr="00B01B09" w:rsidRDefault="0088265E" w:rsidP="0088265E">
            <w:pPr>
              <w:pStyle w:val="Tabletext"/>
              <w:jc w:val="center"/>
              <w:rPr>
                <w:i/>
                <w:iCs/>
              </w:rPr>
            </w:pPr>
            <w:r w:rsidRPr="0088265E">
              <w:rPr>
                <w:i/>
                <w:iCs/>
              </w:rPr>
              <w:t>3</w:t>
            </w:r>
            <w:r>
              <w:rPr>
                <w:i/>
                <w:iCs/>
              </w:rPr>
              <w:t>,</w:t>
            </w:r>
            <w:r w:rsidRPr="0088265E">
              <w:rPr>
                <w:i/>
                <w:iCs/>
              </w:rPr>
              <w:t>50%</w:t>
            </w:r>
          </w:p>
        </w:tc>
        <w:tc>
          <w:tcPr>
            <w:tcW w:w="980" w:type="dxa"/>
            <w:tcBorders>
              <w:top w:val="nil"/>
              <w:left w:val="single" w:sz="4" w:space="0" w:color="auto"/>
              <w:right w:val="single" w:sz="4" w:space="0" w:color="auto"/>
            </w:tcBorders>
          </w:tcPr>
          <w:p w14:paraId="132ED96D" w14:textId="553E436E" w:rsidR="0088265E" w:rsidRPr="00B01B09" w:rsidRDefault="0088265E" w:rsidP="0088265E">
            <w:pPr>
              <w:pStyle w:val="Tabletext"/>
              <w:jc w:val="center"/>
              <w:rPr>
                <w:i/>
                <w:iCs/>
              </w:rPr>
            </w:pPr>
            <w:r w:rsidRPr="0088265E">
              <w:rPr>
                <w:i/>
                <w:iCs/>
              </w:rPr>
              <w:t>3</w:t>
            </w:r>
            <w:r>
              <w:rPr>
                <w:i/>
                <w:iCs/>
              </w:rPr>
              <w:t>,</w:t>
            </w:r>
            <w:r w:rsidRPr="0088265E">
              <w:rPr>
                <w:i/>
                <w:iCs/>
              </w:rPr>
              <w:t>00%</w:t>
            </w:r>
          </w:p>
        </w:tc>
        <w:tc>
          <w:tcPr>
            <w:tcW w:w="980" w:type="dxa"/>
            <w:tcBorders>
              <w:top w:val="nil"/>
              <w:left w:val="single" w:sz="4" w:space="0" w:color="auto"/>
              <w:right w:val="single" w:sz="4" w:space="0" w:color="auto"/>
            </w:tcBorders>
          </w:tcPr>
          <w:p w14:paraId="0757F3CE" w14:textId="13CF1722" w:rsidR="0088265E" w:rsidRPr="00B01B09" w:rsidRDefault="0088265E" w:rsidP="0088265E">
            <w:pPr>
              <w:pStyle w:val="Tabletext"/>
              <w:jc w:val="center"/>
              <w:rPr>
                <w:i/>
                <w:iCs/>
              </w:rPr>
            </w:pPr>
            <w:r w:rsidRPr="0088265E">
              <w:rPr>
                <w:i/>
                <w:iCs/>
              </w:rPr>
              <w:t>3</w:t>
            </w:r>
            <w:r>
              <w:rPr>
                <w:i/>
                <w:iCs/>
              </w:rPr>
              <w:t>,</w:t>
            </w:r>
            <w:r w:rsidRPr="0088265E">
              <w:rPr>
                <w:i/>
                <w:iCs/>
              </w:rPr>
              <w:t>00%</w:t>
            </w:r>
          </w:p>
        </w:tc>
        <w:tc>
          <w:tcPr>
            <w:tcW w:w="1067" w:type="dxa"/>
            <w:tcBorders>
              <w:top w:val="nil"/>
              <w:left w:val="single" w:sz="4" w:space="0" w:color="auto"/>
              <w:right w:val="single" w:sz="4" w:space="0" w:color="auto"/>
            </w:tcBorders>
          </w:tcPr>
          <w:p w14:paraId="5430EB12" w14:textId="024C1542" w:rsidR="0088265E" w:rsidRPr="00B01B09" w:rsidRDefault="0088265E" w:rsidP="0088265E">
            <w:pPr>
              <w:pStyle w:val="Tabletext"/>
              <w:jc w:val="center"/>
              <w:rPr>
                <w:i/>
                <w:iCs/>
              </w:rPr>
            </w:pPr>
            <w:r w:rsidRPr="0088265E">
              <w:rPr>
                <w:i/>
                <w:iCs/>
              </w:rPr>
              <w:t>3</w:t>
            </w:r>
            <w:r>
              <w:rPr>
                <w:i/>
                <w:iCs/>
              </w:rPr>
              <w:t>,</w:t>
            </w:r>
            <w:r w:rsidRPr="0088265E">
              <w:rPr>
                <w:i/>
                <w:iCs/>
              </w:rPr>
              <w:t>00%</w:t>
            </w:r>
          </w:p>
        </w:tc>
      </w:tr>
    </w:tbl>
    <w:bookmarkEnd w:id="10"/>
    <w:p w14:paraId="61BCF451" w14:textId="77777777" w:rsidR="00B01B09" w:rsidRPr="00B01B09" w:rsidRDefault="00B01B09" w:rsidP="006A2002">
      <w:pPr>
        <w:pStyle w:val="Heading1"/>
      </w:pPr>
      <w:r w:rsidRPr="00B01B09">
        <w:t>4</w:t>
      </w:r>
      <w:r w:rsidRPr="00B01B09">
        <w:tab/>
        <w:t>Medidas adoptadas</w:t>
      </w:r>
    </w:p>
    <w:p w14:paraId="28F5C29C" w14:textId="7409EB96" w:rsidR="00B01B09" w:rsidRPr="00B01B09" w:rsidRDefault="00B01B09" w:rsidP="006A2002">
      <w:r w:rsidRPr="00B01B09">
        <w:t>4.1</w:t>
      </w:r>
      <w:r w:rsidRPr="00B01B09">
        <w:tab/>
        <w:t>Desde 2010, la financiación del pasivo actuarial del ASHI ha sido objeto de preocupación y ha dado lugar a la adopción de medidas encaminadas a garantizar la financiación del seguro médico sobre la base de los ingresos corrientes, así como la financiación a largo plazo del pasivo del ASHI.</w:t>
      </w:r>
    </w:p>
    <w:p w14:paraId="7737A5D2" w14:textId="77777777" w:rsidR="00B01B09" w:rsidRPr="0088265E" w:rsidRDefault="00B01B09" w:rsidP="006A2002">
      <w:r w:rsidRPr="00B01B09">
        <w:t>4.2</w:t>
      </w:r>
      <w:r w:rsidRPr="00B01B09">
        <w:tab/>
        <w:t>Cabe señalar que la estimación de las contribuciones de la UIT en relación con el seguro médico para los funcionarios en servicio y los jubilados está consignada en el presupuesto bienal presentado al Consejo.</w:t>
      </w:r>
    </w:p>
    <w:p w14:paraId="2CE1709C" w14:textId="77777777" w:rsidR="00B01B09" w:rsidRPr="00B01B09" w:rsidRDefault="00B01B09" w:rsidP="006A2002">
      <w:pPr>
        <w:pStyle w:val="Headingb"/>
      </w:pPr>
      <w:r w:rsidRPr="00B01B09">
        <w:t>Creación de fondos para la financiación a largo plazo del pasivo actuarial del ASHI</w:t>
      </w:r>
    </w:p>
    <w:p w14:paraId="5FA9EC4F" w14:textId="74F25EDB" w:rsidR="00B01B09" w:rsidRPr="00B01B09" w:rsidRDefault="00B01B09" w:rsidP="006A2002">
      <w:r w:rsidRPr="00B01B09">
        <w:t>4.3</w:t>
      </w:r>
      <w:r w:rsidRPr="00B01B09">
        <w:tab/>
        <w:t>Desde la creación del Fondo ASHI para comenzar a financiar las obligaciones del ASHI, se ha ingresado en el Fondo un total de 9 millones CHF. Al 31 de diciembre de 2021, el Fondo ASHI ascendía a 13 millones CHF.</w:t>
      </w:r>
    </w:p>
    <w:p w14:paraId="14DB7229" w14:textId="77777777" w:rsidR="00B01B09" w:rsidRPr="00B01B09" w:rsidRDefault="00B01B09" w:rsidP="006A2002">
      <w:r w:rsidRPr="00B01B09">
        <w:lastRenderedPageBreak/>
        <w:t>4.4</w:t>
      </w:r>
      <w:r w:rsidRPr="00B01B09">
        <w:tab/>
        <w:t>La magnitud de las obligaciones del ASHI y las actuales restricciones presupuestarias no permiten actualmente financiar más rápido las obligaciones del ASHI. La evolución del pasivo del ASHI se seguirá vigilando de cerca.</w:t>
      </w:r>
    </w:p>
    <w:p w14:paraId="41B7521B" w14:textId="19751B86" w:rsidR="00B01B09" w:rsidRPr="00B01B09" w:rsidRDefault="00B01B09" w:rsidP="006A2002">
      <w:r w:rsidRPr="00B01B09">
        <w:t>4.5</w:t>
      </w:r>
      <w:r w:rsidRPr="00B01B09">
        <w:tab/>
        <w:t>Para ayudar a las organizaciones de las Naciones Unidas a financiar el pasivo a largo plazo, el grupo de trabajo de las Naciones Unidas sobre el seguro médico después de la separación del servicio ha propuesto a la Asamblea de las Naciones Unidas la creación de una reserva financiera dedicada, en cada organización, donde se abonará una contribución del 5,35% de la masa salarial de los funcionarios contratados a partir del 1 de enero de 2022.</w:t>
      </w:r>
    </w:p>
    <w:p w14:paraId="30D5AD07" w14:textId="77777777" w:rsidR="00B01B09" w:rsidRPr="00B01B09" w:rsidRDefault="00B01B09" w:rsidP="006A2002">
      <w:r w:rsidRPr="00B01B09">
        <w:t>4.6</w:t>
      </w:r>
      <w:r w:rsidRPr="00B01B09">
        <w:tab/>
        <w:t>La decisión final no se ha tomado todavía.</w:t>
      </w:r>
    </w:p>
    <w:p w14:paraId="105BA982" w14:textId="77777777" w:rsidR="00B01B09" w:rsidRPr="00B01B09" w:rsidRDefault="00B01B09" w:rsidP="006A2002">
      <w:pPr>
        <w:pStyle w:val="Heading1"/>
      </w:pPr>
      <w:r w:rsidRPr="00B01B09">
        <w:t>5</w:t>
      </w:r>
      <w:r w:rsidRPr="00B01B09">
        <w:tab/>
        <w:t>Conclusión</w:t>
      </w:r>
    </w:p>
    <w:p w14:paraId="27828A0A" w14:textId="77777777" w:rsidR="00B01B09" w:rsidRPr="00B01B09" w:rsidRDefault="00B01B09" w:rsidP="006A2002">
      <w:r w:rsidRPr="00B01B09">
        <w:t>5.1</w:t>
      </w:r>
      <w:r w:rsidRPr="00B01B09">
        <w:tab/>
        <w:t>Independientemente del plan médico, la cuestión de la financiación de la ASHI sigue siendo común a muchas organizaciones del sistema de las Naciones Unidas. El informe publicado por el grupo de trabajo de las Naciones Unidas sobre el seguro médico después de la separación del servicio todavía no ha sido examinado por la Asamblea General. La UIT seguirá prestando gran atención al estudio de ese informe y a las recomendaciones que de él se deriven.</w:t>
      </w:r>
    </w:p>
    <w:p w14:paraId="55F662BF" w14:textId="77777777" w:rsidR="00B01B09" w:rsidRPr="00B01B09" w:rsidRDefault="00B01B09" w:rsidP="006A2002">
      <w:r w:rsidRPr="00B01B09">
        <w:t>5.2</w:t>
      </w:r>
      <w:r w:rsidRPr="00B01B09">
        <w:tab/>
        <w:t>Cabe señalar que, en la medida de lo posible, la UIT seguirá financiando la reserva del ASHI en función de los superávits presupuestarios, y examinará cualquier otra opción que se presente a la dirección de la UIT.</w:t>
      </w:r>
    </w:p>
    <w:p w14:paraId="0DDEEA4A" w14:textId="77777777" w:rsidR="006A2002" w:rsidRDefault="006A2002" w:rsidP="00411C49">
      <w:pPr>
        <w:pStyle w:val="Reasons"/>
      </w:pPr>
    </w:p>
    <w:p w14:paraId="3BCED1D4" w14:textId="77777777" w:rsidR="006A2002" w:rsidRDefault="006A2002">
      <w:pPr>
        <w:jc w:val="center"/>
      </w:pPr>
      <w:r>
        <w:t>______________</w:t>
      </w:r>
    </w:p>
    <w:sectPr w:rsidR="006A2002"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5DF9" w14:textId="77777777" w:rsidR="00B01B09" w:rsidRDefault="00B01B09">
      <w:r>
        <w:separator/>
      </w:r>
    </w:p>
  </w:endnote>
  <w:endnote w:type="continuationSeparator" w:id="0">
    <w:p w14:paraId="4EA81286" w14:textId="77777777" w:rsidR="00B01B09" w:rsidRDefault="00B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01A" w14:textId="4E86E4AE" w:rsidR="00760F1C" w:rsidRPr="00254804" w:rsidRDefault="00254804" w:rsidP="00254804">
    <w:pPr>
      <w:pStyle w:val="Footer"/>
      <w:rPr>
        <w:lang w:val="fr-FR"/>
      </w:rPr>
    </w:pPr>
    <w:r w:rsidRPr="004D00C0">
      <w:rPr>
        <w:color w:val="F2F2F2" w:themeColor="background1" w:themeShade="F2"/>
      </w:rPr>
      <w:fldChar w:fldCharType="begin"/>
    </w:r>
    <w:r w:rsidRPr="004D00C0">
      <w:rPr>
        <w:color w:val="F2F2F2" w:themeColor="background1" w:themeShade="F2"/>
        <w:lang w:val="fr-FR"/>
      </w:rPr>
      <w:instrText xml:space="preserve"> FILENAME \p  \* MERGEFORMAT </w:instrText>
    </w:r>
    <w:r w:rsidRPr="004D00C0">
      <w:rPr>
        <w:color w:val="F2F2F2" w:themeColor="background1" w:themeShade="F2"/>
      </w:rPr>
      <w:fldChar w:fldCharType="separate"/>
    </w:r>
    <w:r w:rsidRPr="004D00C0">
      <w:rPr>
        <w:color w:val="F2F2F2" w:themeColor="background1" w:themeShade="F2"/>
        <w:lang w:val="fr-FR"/>
      </w:rPr>
      <w:t>P:\ESP\SG\CONSEIL\C22\000\046S.docx</w:t>
    </w:r>
    <w:r w:rsidRPr="004D00C0">
      <w:rPr>
        <w:color w:val="F2F2F2" w:themeColor="background1" w:themeShade="F2"/>
      </w:rPr>
      <w:fldChar w:fldCharType="end"/>
    </w:r>
    <w:r w:rsidRPr="004D00C0">
      <w:rPr>
        <w:color w:val="F2F2F2" w:themeColor="background1" w:themeShade="F2"/>
        <w:lang w:val="fr-FR"/>
      </w:rPr>
      <w:t xml:space="preserve"> (500643)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81F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A7F6" w14:textId="77777777" w:rsidR="00B01B09" w:rsidRDefault="00B01B09">
      <w:r>
        <w:t>____________________</w:t>
      </w:r>
    </w:p>
  </w:footnote>
  <w:footnote w:type="continuationSeparator" w:id="0">
    <w:p w14:paraId="45CD7BF7" w14:textId="77777777" w:rsidR="00B01B09" w:rsidRDefault="00B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93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3D1D047" w14:textId="69D88BE7" w:rsidR="00760F1C" w:rsidRDefault="00760F1C" w:rsidP="00C2727F">
    <w:pPr>
      <w:pStyle w:val="Header"/>
    </w:pPr>
    <w:r>
      <w:t>C</w:t>
    </w:r>
    <w:r w:rsidR="007955DA">
      <w:t>2</w:t>
    </w:r>
    <w:r w:rsidR="00D50A36">
      <w:t>2</w:t>
    </w:r>
    <w:r>
      <w:t>/</w:t>
    </w:r>
    <w:r w:rsidR="00254804">
      <w:t>46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A2EB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AC14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FEC8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2CC3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5C6E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5C75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34A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4C7D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7CD7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64F690"/>
    <w:lvl w:ilvl="0">
      <w:start w:val="1"/>
      <w:numFmt w:val="bullet"/>
      <w:lvlText w:val=""/>
      <w:lvlJc w:val="left"/>
      <w:pPr>
        <w:tabs>
          <w:tab w:val="num" w:pos="360"/>
        </w:tabs>
        <w:ind w:left="360" w:hanging="360"/>
      </w:pPr>
      <w:rPr>
        <w:rFonts w:ascii="Symbol" w:hAnsi="Symbol" w:hint="default"/>
      </w:rPr>
    </w:lvl>
  </w:abstractNum>
  <w:num w:numId="1" w16cid:durableId="1440955001">
    <w:abstractNumId w:val="9"/>
  </w:num>
  <w:num w:numId="2" w16cid:durableId="837355045">
    <w:abstractNumId w:val="7"/>
  </w:num>
  <w:num w:numId="3" w16cid:durableId="1425883819">
    <w:abstractNumId w:val="6"/>
  </w:num>
  <w:num w:numId="4" w16cid:durableId="408355856">
    <w:abstractNumId w:val="5"/>
  </w:num>
  <w:num w:numId="5" w16cid:durableId="2122339104">
    <w:abstractNumId w:val="4"/>
  </w:num>
  <w:num w:numId="6" w16cid:durableId="820345712">
    <w:abstractNumId w:val="8"/>
  </w:num>
  <w:num w:numId="7" w16cid:durableId="208347940">
    <w:abstractNumId w:val="3"/>
  </w:num>
  <w:num w:numId="8" w16cid:durableId="283273126">
    <w:abstractNumId w:val="2"/>
  </w:num>
  <w:num w:numId="9" w16cid:durableId="84152380">
    <w:abstractNumId w:val="1"/>
  </w:num>
  <w:num w:numId="10" w16cid:durableId="38706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09"/>
    <w:rsid w:val="000007D1"/>
    <w:rsid w:val="00093EEB"/>
    <w:rsid w:val="000B0D00"/>
    <w:rsid w:val="000B7C15"/>
    <w:rsid w:val="000D1D0F"/>
    <w:rsid w:val="000F5290"/>
    <w:rsid w:val="0010165C"/>
    <w:rsid w:val="00146BFB"/>
    <w:rsid w:val="001D73D2"/>
    <w:rsid w:val="001F14A2"/>
    <w:rsid w:val="00216EF1"/>
    <w:rsid w:val="00254804"/>
    <w:rsid w:val="002801AA"/>
    <w:rsid w:val="002C4676"/>
    <w:rsid w:val="002C70B0"/>
    <w:rsid w:val="002F3CC4"/>
    <w:rsid w:val="00346751"/>
    <w:rsid w:val="0039125E"/>
    <w:rsid w:val="003C3D28"/>
    <w:rsid w:val="00440936"/>
    <w:rsid w:val="004D00C0"/>
    <w:rsid w:val="00513630"/>
    <w:rsid w:val="00560125"/>
    <w:rsid w:val="00585553"/>
    <w:rsid w:val="005B34D9"/>
    <w:rsid w:val="005D0CCF"/>
    <w:rsid w:val="005F3BCB"/>
    <w:rsid w:val="005F410F"/>
    <w:rsid w:val="0060149A"/>
    <w:rsid w:val="00601924"/>
    <w:rsid w:val="006447EA"/>
    <w:rsid w:val="0064731F"/>
    <w:rsid w:val="00664572"/>
    <w:rsid w:val="006710F6"/>
    <w:rsid w:val="006A2002"/>
    <w:rsid w:val="006C1B56"/>
    <w:rsid w:val="006D4761"/>
    <w:rsid w:val="00726872"/>
    <w:rsid w:val="00760F1C"/>
    <w:rsid w:val="007657F0"/>
    <w:rsid w:val="0077252D"/>
    <w:rsid w:val="007955DA"/>
    <w:rsid w:val="007E5DD3"/>
    <w:rsid w:val="007F350B"/>
    <w:rsid w:val="00820BE4"/>
    <w:rsid w:val="008451E8"/>
    <w:rsid w:val="0088265E"/>
    <w:rsid w:val="00913B9C"/>
    <w:rsid w:val="00956E77"/>
    <w:rsid w:val="009F4811"/>
    <w:rsid w:val="00AA390C"/>
    <w:rsid w:val="00B01B09"/>
    <w:rsid w:val="00B0200A"/>
    <w:rsid w:val="00B574DB"/>
    <w:rsid w:val="00B826C2"/>
    <w:rsid w:val="00B8298E"/>
    <w:rsid w:val="00B95C36"/>
    <w:rsid w:val="00BD0723"/>
    <w:rsid w:val="00BD2518"/>
    <w:rsid w:val="00BF1D1C"/>
    <w:rsid w:val="00C20C59"/>
    <w:rsid w:val="00C2727F"/>
    <w:rsid w:val="00C35959"/>
    <w:rsid w:val="00C55B1F"/>
    <w:rsid w:val="00C939F6"/>
    <w:rsid w:val="00CC4AC2"/>
    <w:rsid w:val="00CF1A67"/>
    <w:rsid w:val="00D2750E"/>
    <w:rsid w:val="00D50A36"/>
    <w:rsid w:val="00D530F9"/>
    <w:rsid w:val="00D5791A"/>
    <w:rsid w:val="00D62446"/>
    <w:rsid w:val="00DA4EA2"/>
    <w:rsid w:val="00DC3D3E"/>
    <w:rsid w:val="00DE2C90"/>
    <w:rsid w:val="00DE3B24"/>
    <w:rsid w:val="00E06947"/>
    <w:rsid w:val="00E34072"/>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F0821"/>
  <w15:docId w15:val="{8E666346-E930-4085-8DBA-D5888D5B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B01B09"/>
    <w:rPr>
      <w:color w:val="605E5C"/>
      <w:shd w:val="clear" w:color="auto" w:fill="E1DFDD"/>
    </w:rPr>
  </w:style>
  <w:style w:type="table" w:styleId="TableGrid">
    <w:name w:val="Table Grid"/>
    <w:basedOn w:val="TableNormal"/>
    <w:rsid w:val="00B0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01B09"/>
    <w:rPr>
      <w:sz w:val="16"/>
      <w:szCs w:val="16"/>
    </w:rPr>
  </w:style>
  <w:style w:type="paragraph" w:styleId="CommentText">
    <w:name w:val="annotation text"/>
    <w:basedOn w:val="Normal"/>
    <w:link w:val="CommentTextChar"/>
    <w:semiHidden/>
    <w:unhideWhenUsed/>
    <w:rsid w:val="00B01B09"/>
    <w:rPr>
      <w:sz w:val="20"/>
    </w:rPr>
  </w:style>
  <w:style w:type="character" w:customStyle="1" w:styleId="CommentTextChar">
    <w:name w:val="Comment Text Char"/>
    <w:basedOn w:val="DefaultParagraphFont"/>
    <w:link w:val="CommentText"/>
    <w:semiHidden/>
    <w:rsid w:val="00B01B09"/>
    <w:rPr>
      <w:rFonts w:ascii="Calibri" w:hAnsi="Calibri"/>
      <w:lang w:val="es-ES_tradnl" w:eastAsia="en-US"/>
    </w:rPr>
  </w:style>
  <w:style w:type="paragraph" w:styleId="Revision">
    <w:name w:val="Revision"/>
    <w:hidden/>
    <w:uiPriority w:val="99"/>
    <w:semiHidden/>
    <w:rsid w:val="00B01B09"/>
    <w:rPr>
      <w:rFonts w:ascii="Calibri" w:hAnsi="Calibri"/>
      <w:sz w:val="24"/>
      <w:lang w:val="es-ES_tradnl" w:eastAsia="en-US"/>
    </w:rPr>
  </w:style>
  <w:style w:type="paragraph" w:styleId="CommentSubject">
    <w:name w:val="annotation subject"/>
    <w:basedOn w:val="CommentText"/>
    <w:next w:val="CommentText"/>
    <w:link w:val="CommentSubjectChar"/>
    <w:semiHidden/>
    <w:unhideWhenUsed/>
    <w:rsid w:val="0088265E"/>
    <w:rPr>
      <w:b/>
      <w:bCs/>
    </w:rPr>
  </w:style>
  <w:style w:type="character" w:customStyle="1" w:styleId="CommentSubjectChar">
    <w:name w:val="Comment Subject Char"/>
    <w:basedOn w:val="CommentTextChar"/>
    <w:link w:val="CommentSubject"/>
    <w:semiHidden/>
    <w:rsid w:val="0088265E"/>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Documents/basic-texts/DEC-005-S.pdf" TargetMode="External"/><Relationship Id="rId4" Type="http://schemas.openxmlformats.org/officeDocument/2006/relationships/settings" Target="settings.xml"/><Relationship Id="rId9" Type="http://schemas.openxmlformats.org/officeDocument/2006/relationships/hyperlink" Target="https://www.itu.int/md/S21-CL-C-0046/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BA3D-01EE-40F0-8D05-165588D4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4</Pages>
  <Words>1473</Words>
  <Characters>7295</Characters>
  <Application>Microsoft Office Word</Application>
  <DocSecurity>4</DocSecurity>
  <Lines>60</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8751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Pasivo del seguro médico después del servicio (ASHI)</dc:title>
  <dc:subject>Consejo 2022</dc:subject>
  <dc:creator>Spanish</dc:creator>
  <cp:keywords>C2022, C22, Council-22</cp:keywords>
  <dc:description/>
  <cp:lastModifiedBy>Xue, Kun</cp:lastModifiedBy>
  <cp:revision>2</cp:revision>
  <cp:lastPrinted>2006-03-24T09:51:00Z</cp:lastPrinted>
  <dcterms:created xsi:type="dcterms:W3CDTF">2022-06-08T07:01:00Z</dcterms:created>
  <dcterms:modified xsi:type="dcterms:W3CDTF">2022-06-08T07:01:00Z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