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56441" w14:paraId="24E56114" w14:textId="77777777">
        <w:trPr>
          <w:cantSplit/>
        </w:trPr>
        <w:tc>
          <w:tcPr>
            <w:tcW w:w="6912" w:type="dxa"/>
          </w:tcPr>
          <w:p w14:paraId="76404ABE" w14:textId="77777777" w:rsidR="00093EEB" w:rsidRPr="00756441" w:rsidRDefault="00093EEB" w:rsidP="0086736E">
            <w:pPr>
              <w:spacing w:before="360"/>
              <w:jc w:val="both"/>
              <w:rPr>
                <w:szCs w:val="24"/>
              </w:rPr>
            </w:pPr>
            <w:bookmarkStart w:id="0" w:name="dc06"/>
            <w:bookmarkStart w:id="1" w:name="dbluepink" w:colFirst="0" w:colLast="0"/>
            <w:bookmarkEnd w:id="0"/>
            <w:r w:rsidRPr="00756441">
              <w:rPr>
                <w:b/>
                <w:bCs/>
                <w:sz w:val="30"/>
                <w:szCs w:val="30"/>
              </w:rPr>
              <w:t>Consejo 20</w:t>
            </w:r>
            <w:r w:rsidR="007955DA" w:rsidRPr="00756441">
              <w:rPr>
                <w:b/>
                <w:bCs/>
                <w:sz w:val="30"/>
                <w:szCs w:val="30"/>
              </w:rPr>
              <w:t>2</w:t>
            </w:r>
            <w:r w:rsidR="00D50A36" w:rsidRPr="00756441">
              <w:rPr>
                <w:b/>
                <w:bCs/>
                <w:sz w:val="30"/>
                <w:szCs w:val="30"/>
              </w:rPr>
              <w:t>2</w:t>
            </w:r>
            <w:r w:rsidRPr="00756441">
              <w:rPr>
                <w:b/>
                <w:bCs/>
                <w:sz w:val="26"/>
                <w:szCs w:val="26"/>
              </w:rPr>
              <w:br/>
            </w:r>
            <w:r w:rsidR="00D50A36" w:rsidRPr="00756441">
              <w:rPr>
                <w:b/>
                <w:bCs/>
                <w:sz w:val="26"/>
                <w:szCs w:val="26"/>
              </w:rPr>
              <w:t>Ginebra</w:t>
            </w:r>
            <w:r w:rsidRPr="00756441">
              <w:rPr>
                <w:b/>
                <w:bCs/>
                <w:sz w:val="26"/>
                <w:szCs w:val="26"/>
              </w:rPr>
              <w:t xml:space="preserve">, </w:t>
            </w:r>
            <w:r w:rsidR="00D50A36" w:rsidRPr="00756441">
              <w:rPr>
                <w:b/>
                <w:bCs/>
                <w:sz w:val="26"/>
                <w:szCs w:val="26"/>
              </w:rPr>
              <w:t>21</w:t>
            </w:r>
            <w:r w:rsidRPr="00756441">
              <w:rPr>
                <w:b/>
                <w:bCs/>
                <w:sz w:val="26"/>
                <w:szCs w:val="26"/>
              </w:rPr>
              <w:t>-</w:t>
            </w:r>
            <w:r w:rsidR="00D50A36" w:rsidRPr="00756441">
              <w:rPr>
                <w:b/>
                <w:bCs/>
                <w:sz w:val="26"/>
                <w:szCs w:val="26"/>
              </w:rPr>
              <w:t>31</w:t>
            </w:r>
            <w:r w:rsidRPr="00756441">
              <w:rPr>
                <w:b/>
                <w:bCs/>
                <w:sz w:val="26"/>
                <w:szCs w:val="26"/>
              </w:rPr>
              <w:t xml:space="preserve"> de </w:t>
            </w:r>
            <w:r w:rsidR="00D50A36" w:rsidRPr="00756441">
              <w:rPr>
                <w:b/>
                <w:bCs/>
                <w:sz w:val="26"/>
                <w:szCs w:val="26"/>
              </w:rPr>
              <w:t>marzo</w:t>
            </w:r>
            <w:r w:rsidRPr="00756441">
              <w:rPr>
                <w:b/>
                <w:bCs/>
                <w:sz w:val="26"/>
                <w:szCs w:val="26"/>
              </w:rPr>
              <w:t xml:space="preserve"> de 20</w:t>
            </w:r>
            <w:r w:rsidR="007955DA" w:rsidRPr="00756441">
              <w:rPr>
                <w:b/>
                <w:bCs/>
                <w:sz w:val="26"/>
                <w:szCs w:val="26"/>
              </w:rPr>
              <w:t>2</w:t>
            </w:r>
            <w:r w:rsidR="00D50A36" w:rsidRPr="00756441">
              <w:rPr>
                <w:b/>
                <w:bCs/>
                <w:sz w:val="26"/>
                <w:szCs w:val="26"/>
              </w:rPr>
              <w:t>2</w:t>
            </w:r>
          </w:p>
        </w:tc>
        <w:tc>
          <w:tcPr>
            <w:tcW w:w="3261" w:type="dxa"/>
          </w:tcPr>
          <w:p w14:paraId="1B805263" w14:textId="77777777" w:rsidR="00093EEB" w:rsidRPr="00756441" w:rsidRDefault="007955DA" w:rsidP="0086736E">
            <w:pPr>
              <w:spacing w:before="0"/>
              <w:jc w:val="both"/>
              <w:rPr>
                <w:szCs w:val="24"/>
              </w:rPr>
            </w:pPr>
            <w:bookmarkStart w:id="2" w:name="ditulogo"/>
            <w:bookmarkEnd w:id="2"/>
            <w:r w:rsidRPr="00756441">
              <w:rPr>
                <w:noProof/>
                <w:lang w:eastAsia="es-ES_tradnl"/>
              </w:rPr>
              <w:drawing>
                <wp:inline distT="0" distB="0" distL="0" distR="0" wp14:anchorId="502BB0F7" wp14:editId="3730CE6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56441" w14:paraId="78DBC5B2" w14:textId="77777777">
        <w:trPr>
          <w:cantSplit/>
          <w:trHeight w:val="20"/>
        </w:trPr>
        <w:tc>
          <w:tcPr>
            <w:tcW w:w="10173" w:type="dxa"/>
            <w:gridSpan w:val="2"/>
            <w:tcBorders>
              <w:bottom w:val="single" w:sz="12" w:space="0" w:color="auto"/>
            </w:tcBorders>
          </w:tcPr>
          <w:p w14:paraId="0ECA1030" w14:textId="77777777" w:rsidR="00093EEB" w:rsidRPr="00756441" w:rsidRDefault="00093EEB" w:rsidP="0086736E">
            <w:pPr>
              <w:spacing w:before="0"/>
              <w:jc w:val="both"/>
              <w:rPr>
                <w:b/>
                <w:bCs/>
                <w:szCs w:val="24"/>
              </w:rPr>
            </w:pPr>
          </w:p>
        </w:tc>
      </w:tr>
      <w:tr w:rsidR="00093EEB" w:rsidRPr="00756441" w14:paraId="4F788155" w14:textId="77777777">
        <w:trPr>
          <w:cantSplit/>
          <w:trHeight w:val="20"/>
        </w:trPr>
        <w:tc>
          <w:tcPr>
            <w:tcW w:w="6912" w:type="dxa"/>
            <w:tcBorders>
              <w:top w:val="single" w:sz="12" w:space="0" w:color="auto"/>
            </w:tcBorders>
          </w:tcPr>
          <w:p w14:paraId="223C29B6" w14:textId="77777777" w:rsidR="00093EEB" w:rsidRPr="00756441" w:rsidRDefault="00093EEB" w:rsidP="0086736E">
            <w:pPr>
              <w:tabs>
                <w:tab w:val="clear" w:pos="2268"/>
                <w:tab w:val="left" w:pos="1560"/>
                <w:tab w:val="left" w:pos="2269"/>
                <w:tab w:val="left" w:pos="3544"/>
                <w:tab w:val="left" w:pos="3969"/>
              </w:tabs>
              <w:spacing w:before="0" w:line="240" w:lineRule="atLeast"/>
              <w:jc w:val="both"/>
              <w:rPr>
                <w:b/>
                <w:smallCaps/>
                <w:szCs w:val="24"/>
              </w:rPr>
            </w:pPr>
          </w:p>
        </w:tc>
        <w:tc>
          <w:tcPr>
            <w:tcW w:w="3261" w:type="dxa"/>
            <w:tcBorders>
              <w:top w:val="single" w:sz="12" w:space="0" w:color="auto"/>
            </w:tcBorders>
          </w:tcPr>
          <w:p w14:paraId="79190241" w14:textId="77777777" w:rsidR="00093EEB" w:rsidRPr="00756441" w:rsidRDefault="00093EEB" w:rsidP="0086736E">
            <w:pPr>
              <w:spacing w:before="0"/>
              <w:jc w:val="both"/>
              <w:rPr>
                <w:b/>
                <w:bCs/>
                <w:szCs w:val="24"/>
              </w:rPr>
            </w:pPr>
          </w:p>
        </w:tc>
      </w:tr>
      <w:tr w:rsidR="00093EEB" w:rsidRPr="00756441" w14:paraId="0DCE7838" w14:textId="77777777">
        <w:trPr>
          <w:cantSplit/>
          <w:trHeight w:val="20"/>
        </w:trPr>
        <w:tc>
          <w:tcPr>
            <w:tcW w:w="6912" w:type="dxa"/>
            <w:shd w:val="clear" w:color="auto" w:fill="auto"/>
          </w:tcPr>
          <w:p w14:paraId="5D066E52" w14:textId="4902D834" w:rsidR="00093EEB" w:rsidRPr="00756441" w:rsidRDefault="00A61809" w:rsidP="0086736E">
            <w:pPr>
              <w:tabs>
                <w:tab w:val="clear" w:pos="2268"/>
                <w:tab w:val="left" w:pos="1560"/>
                <w:tab w:val="left" w:pos="2269"/>
                <w:tab w:val="left" w:pos="3544"/>
                <w:tab w:val="left" w:pos="3969"/>
              </w:tabs>
              <w:spacing w:before="0" w:line="240" w:lineRule="atLeast"/>
              <w:jc w:val="both"/>
              <w:rPr>
                <w:rFonts w:cs="Times"/>
                <w:b/>
                <w:szCs w:val="24"/>
              </w:rPr>
            </w:pPr>
            <w:bookmarkStart w:id="3" w:name="dnum" w:colFirst="1" w:colLast="1"/>
            <w:bookmarkStart w:id="4" w:name="dmeeting" w:colFirst="0" w:colLast="0"/>
            <w:r w:rsidRPr="00756441">
              <w:rPr>
                <w:rFonts w:cs="Times"/>
                <w:b/>
                <w:szCs w:val="24"/>
              </w:rPr>
              <w:t>Punto del orden del día: ADM 15</w:t>
            </w:r>
          </w:p>
        </w:tc>
        <w:tc>
          <w:tcPr>
            <w:tcW w:w="3261" w:type="dxa"/>
          </w:tcPr>
          <w:p w14:paraId="5AC334D3" w14:textId="491378F8" w:rsidR="00093EEB" w:rsidRPr="00756441" w:rsidRDefault="00093EEB" w:rsidP="0086736E">
            <w:pPr>
              <w:spacing w:before="0"/>
              <w:jc w:val="both"/>
              <w:rPr>
                <w:b/>
                <w:bCs/>
                <w:szCs w:val="24"/>
              </w:rPr>
            </w:pPr>
            <w:r w:rsidRPr="00756441">
              <w:rPr>
                <w:b/>
                <w:bCs/>
                <w:szCs w:val="24"/>
              </w:rPr>
              <w:t>Documento C</w:t>
            </w:r>
            <w:r w:rsidR="007955DA" w:rsidRPr="00756441">
              <w:rPr>
                <w:b/>
                <w:bCs/>
                <w:szCs w:val="24"/>
              </w:rPr>
              <w:t>2</w:t>
            </w:r>
            <w:r w:rsidR="00D50A36" w:rsidRPr="00756441">
              <w:rPr>
                <w:b/>
                <w:bCs/>
                <w:szCs w:val="24"/>
              </w:rPr>
              <w:t>2</w:t>
            </w:r>
            <w:r w:rsidRPr="00756441">
              <w:rPr>
                <w:b/>
                <w:bCs/>
                <w:szCs w:val="24"/>
              </w:rPr>
              <w:t>/</w:t>
            </w:r>
            <w:r w:rsidR="00A61809" w:rsidRPr="00756441">
              <w:rPr>
                <w:b/>
                <w:bCs/>
                <w:szCs w:val="24"/>
              </w:rPr>
              <w:t>44</w:t>
            </w:r>
            <w:r w:rsidRPr="00756441">
              <w:rPr>
                <w:b/>
                <w:bCs/>
                <w:szCs w:val="24"/>
              </w:rPr>
              <w:t>-S</w:t>
            </w:r>
          </w:p>
        </w:tc>
      </w:tr>
      <w:tr w:rsidR="00093EEB" w:rsidRPr="00756441" w14:paraId="3B9D6516" w14:textId="77777777">
        <w:trPr>
          <w:cantSplit/>
          <w:trHeight w:val="20"/>
        </w:trPr>
        <w:tc>
          <w:tcPr>
            <w:tcW w:w="6912" w:type="dxa"/>
            <w:shd w:val="clear" w:color="auto" w:fill="auto"/>
          </w:tcPr>
          <w:p w14:paraId="44E6AF98" w14:textId="77777777" w:rsidR="00093EEB" w:rsidRPr="00756441" w:rsidRDefault="00093EEB" w:rsidP="0086736E">
            <w:pPr>
              <w:shd w:val="solid" w:color="FFFFFF" w:fill="FFFFFF"/>
              <w:spacing w:before="0"/>
              <w:jc w:val="both"/>
              <w:rPr>
                <w:smallCaps/>
                <w:szCs w:val="24"/>
              </w:rPr>
            </w:pPr>
            <w:bookmarkStart w:id="5" w:name="ddate" w:colFirst="1" w:colLast="1"/>
            <w:bookmarkEnd w:id="3"/>
            <w:bookmarkEnd w:id="4"/>
          </w:p>
        </w:tc>
        <w:tc>
          <w:tcPr>
            <w:tcW w:w="3261" w:type="dxa"/>
          </w:tcPr>
          <w:p w14:paraId="60EB3D59" w14:textId="4F384E5F" w:rsidR="00093EEB" w:rsidRPr="00756441" w:rsidRDefault="008B3616" w:rsidP="0086736E">
            <w:pPr>
              <w:spacing w:before="0"/>
              <w:jc w:val="both"/>
              <w:rPr>
                <w:b/>
                <w:bCs/>
                <w:szCs w:val="24"/>
              </w:rPr>
            </w:pPr>
            <w:r w:rsidRPr="008B3616">
              <w:rPr>
                <w:rFonts w:hint="eastAsia"/>
                <w:b/>
                <w:bCs/>
                <w:szCs w:val="24"/>
              </w:rPr>
              <w:t>18</w:t>
            </w:r>
            <w:r w:rsidR="00A61809" w:rsidRPr="00756441">
              <w:rPr>
                <w:b/>
                <w:bCs/>
                <w:szCs w:val="24"/>
              </w:rPr>
              <w:t xml:space="preserve"> de febrero</w:t>
            </w:r>
            <w:r w:rsidR="00093EEB" w:rsidRPr="00756441">
              <w:rPr>
                <w:b/>
                <w:bCs/>
                <w:szCs w:val="24"/>
              </w:rPr>
              <w:t xml:space="preserve"> de 20</w:t>
            </w:r>
            <w:r w:rsidR="007955DA" w:rsidRPr="00756441">
              <w:rPr>
                <w:b/>
                <w:bCs/>
                <w:szCs w:val="24"/>
              </w:rPr>
              <w:t>2</w:t>
            </w:r>
            <w:r w:rsidR="00A61809" w:rsidRPr="00756441">
              <w:rPr>
                <w:b/>
                <w:bCs/>
                <w:szCs w:val="24"/>
              </w:rPr>
              <w:t>2</w:t>
            </w:r>
          </w:p>
        </w:tc>
      </w:tr>
      <w:tr w:rsidR="00093EEB" w:rsidRPr="00756441" w14:paraId="099429B4" w14:textId="77777777">
        <w:trPr>
          <w:cantSplit/>
          <w:trHeight w:val="20"/>
        </w:trPr>
        <w:tc>
          <w:tcPr>
            <w:tcW w:w="6912" w:type="dxa"/>
            <w:shd w:val="clear" w:color="auto" w:fill="auto"/>
          </w:tcPr>
          <w:p w14:paraId="203BCA18" w14:textId="77777777" w:rsidR="00093EEB" w:rsidRPr="00756441" w:rsidRDefault="00093EEB" w:rsidP="0086736E">
            <w:pPr>
              <w:shd w:val="solid" w:color="FFFFFF" w:fill="FFFFFF"/>
              <w:spacing w:before="0"/>
              <w:jc w:val="both"/>
              <w:rPr>
                <w:smallCaps/>
                <w:szCs w:val="24"/>
              </w:rPr>
            </w:pPr>
            <w:bookmarkStart w:id="6" w:name="dorlang" w:colFirst="1" w:colLast="1"/>
            <w:bookmarkEnd w:id="5"/>
          </w:p>
        </w:tc>
        <w:tc>
          <w:tcPr>
            <w:tcW w:w="3261" w:type="dxa"/>
          </w:tcPr>
          <w:p w14:paraId="30C4D10A" w14:textId="77777777" w:rsidR="00093EEB" w:rsidRPr="00756441" w:rsidRDefault="00093EEB" w:rsidP="0086736E">
            <w:pPr>
              <w:spacing w:before="0"/>
              <w:jc w:val="both"/>
              <w:rPr>
                <w:b/>
                <w:bCs/>
                <w:szCs w:val="24"/>
              </w:rPr>
            </w:pPr>
            <w:r w:rsidRPr="00756441">
              <w:rPr>
                <w:b/>
                <w:bCs/>
                <w:szCs w:val="24"/>
              </w:rPr>
              <w:t>Original: inglés</w:t>
            </w:r>
          </w:p>
        </w:tc>
      </w:tr>
      <w:tr w:rsidR="00093EEB" w:rsidRPr="00756441" w14:paraId="5AEF60DD" w14:textId="77777777">
        <w:trPr>
          <w:cantSplit/>
        </w:trPr>
        <w:tc>
          <w:tcPr>
            <w:tcW w:w="10173" w:type="dxa"/>
            <w:gridSpan w:val="2"/>
          </w:tcPr>
          <w:p w14:paraId="1410934B" w14:textId="7D15D08B" w:rsidR="00093EEB" w:rsidRPr="00756441" w:rsidRDefault="00A61809" w:rsidP="003C543E">
            <w:pPr>
              <w:pStyle w:val="Source"/>
            </w:pPr>
            <w:bookmarkStart w:id="7" w:name="dsource" w:colFirst="0" w:colLast="0"/>
            <w:bookmarkEnd w:id="1"/>
            <w:bookmarkEnd w:id="6"/>
            <w:r w:rsidRPr="00756441">
              <w:t xml:space="preserve">Informe del </w:t>
            </w:r>
            <w:proofErr w:type="gramStart"/>
            <w:r w:rsidRPr="00756441">
              <w:t>Secretario General</w:t>
            </w:r>
            <w:proofErr w:type="gramEnd"/>
          </w:p>
        </w:tc>
      </w:tr>
      <w:tr w:rsidR="00093EEB" w:rsidRPr="00756441" w14:paraId="0D1978CB" w14:textId="77777777">
        <w:trPr>
          <w:cantSplit/>
        </w:trPr>
        <w:tc>
          <w:tcPr>
            <w:tcW w:w="10173" w:type="dxa"/>
            <w:gridSpan w:val="2"/>
          </w:tcPr>
          <w:p w14:paraId="2C63D61A" w14:textId="5534869E" w:rsidR="00093EEB" w:rsidRPr="00756441" w:rsidRDefault="00A61809" w:rsidP="003C543E">
            <w:pPr>
              <w:pStyle w:val="Title1"/>
            </w:pPr>
            <w:bookmarkStart w:id="8" w:name="dtitle1" w:colFirst="0" w:colLast="0"/>
            <w:bookmarkEnd w:id="7"/>
            <w:r w:rsidRPr="00756441">
              <w:t>INFORME DEL AUDITOR INTERNO SOBRE</w:t>
            </w:r>
            <w:r w:rsidR="003C543E" w:rsidRPr="00756441">
              <w:t xml:space="preserve"> las</w:t>
            </w:r>
            <w:r w:rsidRPr="00756441">
              <w:t xml:space="preserve"> ACTIVIDADES DE AUDITORÍA INTERNA</w:t>
            </w:r>
          </w:p>
        </w:tc>
      </w:tr>
      <w:bookmarkEnd w:id="8"/>
    </w:tbl>
    <w:p w14:paraId="253BB2F4" w14:textId="77777777" w:rsidR="00093EEB" w:rsidRPr="00756441" w:rsidRDefault="00093EEB" w:rsidP="0086736E">
      <w:pPr>
        <w:jc w:val="both"/>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56441" w14:paraId="1F57BF7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E4CFEBF" w14:textId="77777777" w:rsidR="00093EEB" w:rsidRPr="00756441" w:rsidRDefault="00093EEB" w:rsidP="00B735C5">
            <w:pPr>
              <w:pStyle w:val="Headingb"/>
            </w:pPr>
            <w:r w:rsidRPr="00756441">
              <w:t>Resumen</w:t>
            </w:r>
          </w:p>
          <w:p w14:paraId="6AD5E9DC" w14:textId="2A6E7195" w:rsidR="00093EEB" w:rsidRPr="00756441" w:rsidRDefault="003C543E" w:rsidP="00932C9C">
            <w:r w:rsidRPr="00756441">
              <w:t xml:space="preserve">En el presente Informe se examinan las actividades de auditoría interna llevadas a cabo durante </w:t>
            </w:r>
            <w:r w:rsidR="00A61809" w:rsidRPr="00756441">
              <w:t>el periodo comprendido entre abril de 2021</w:t>
            </w:r>
            <w:r w:rsidR="00AC0F17" w:rsidRPr="00756441">
              <w:t xml:space="preserve"> y enero de 2022</w:t>
            </w:r>
            <w:r w:rsidR="00A61809" w:rsidRPr="00756441">
              <w:t>.</w:t>
            </w:r>
          </w:p>
          <w:p w14:paraId="2B797C28" w14:textId="77777777" w:rsidR="00093EEB" w:rsidRPr="00756441" w:rsidRDefault="00093EEB" w:rsidP="00B735C5">
            <w:pPr>
              <w:pStyle w:val="Headingb"/>
            </w:pPr>
            <w:r w:rsidRPr="00756441">
              <w:t>Acción solicitada</w:t>
            </w:r>
          </w:p>
          <w:p w14:paraId="6E9CDF46" w14:textId="2F9DB30C" w:rsidR="00093EEB" w:rsidRPr="00756441" w:rsidRDefault="00A61809" w:rsidP="00932C9C">
            <w:r w:rsidRPr="00756441">
              <w:t xml:space="preserve">Se transmite el presente Informe al Consejo para </w:t>
            </w:r>
            <w:r w:rsidRPr="00756441">
              <w:rPr>
                <w:b/>
                <w:bCs/>
              </w:rPr>
              <w:t>examen</w:t>
            </w:r>
            <w:r w:rsidRPr="00756441">
              <w:t>.</w:t>
            </w:r>
          </w:p>
          <w:p w14:paraId="132E6AFB" w14:textId="77777777" w:rsidR="00093EEB" w:rsidRPr="00756441" w:rsidRDefault="00093EEB" w:rsidP="0086736E">
            <w:pPr>
              <w:pStyle w:val="Table"/>
              <w:keepNext w:val="0"/>
              <w:spacing w:before="0" w:after="0"/>
              <w:jc w:val="both"/>
              <w:rPr>
                <w:caps w:val="0"/>
                <w:sz w:val="22"/>
                <w:lang w:val="es-ES_tradnl"/>
              </w:rPr>
            </w:pPr>
            <w:r w:rsidRPr="00756441">
              <w:rPr>
                <w:caps w:val="0"/>
                <w:sz w:val="22"/>
                <w:lang w:val="es-ES_tradnl"/>
              </w:rPr>
              <w:t>____________</w:t>
            </w:r>
          </w:p>
          <w:p w14:paraId="76CADE0C" w14:textId="77777777" w:rsidR="00093EEB" w:rsidRPr="00756441" w:rsidRDefault="00093EEB" w:rsidP="00B735C5">
            <w:pPr>
              <w:pStyle w:val="Headingb"/>
            </w:pPr>
            <w:r w:rsidRPr="00756441">
              <w:t>Referencia</w:t>
            </w:r>
          </w:p>
          <w:p w14:paraId="4B809818" w14:textId="5BC4D774" w:rsidR="00093EEB" w:rsidRPr="00756441" w:rsidRDefault="008B3616" w:rsidP="0086736E">
            <w:pPr>
              <w:spacing w:after="120"/>
              <w:jc w:val="both"/>
              <w:rPr>
                <w:i/>
                <w:iCs/>
              </w:rPr>
            </w:pPr>
            <w:hyperlink r:id="rId8" w:history="1">
              <w:r w:rsidR="00A61809" w:rsidRPr="00756441">
                <w:rPr>
                  <w:rStyle w:val="Hyperlink"/>
                  <w:i/>
                  <w:iCs/>
                </w:rPr>
                <w:t>Reglamento Financiero y Reglas Financieras de la UIT (2018), Artículo 29</w:t>
              </w:r>
            </w:hyperlink>
          </w:p>
        </w:tc>
      </w:tr>
    </w:tbl>
    <w:p w14:paraId="5FA27D8D" w14:textId="750E5152" w:rsidR="000F4798" w:rsidRPr="00756441" w:rsidRDefault="000F4798" w:rsidP="000F4798">
      <w:pPr>
        <w:tabs>
          <w:tab w:val="clear" w:pos="567"/>
          <w:tab w:val="clear" w:pos="1134"/>
          <w:tab w:val="clear" w:pos="1701"/>
          <w:tab w:val="clear" w:pos="2268"/>
          <w:tab w:val="clear" w:pos="2835"/>
        </w:tabs>
        <w:overflowPunct/>
        <w:autoSpaceDE/>
        <w:autoSpaceDN/>
        <w:adjustRightInd/>
        <w:spacing w:before="0"/>
        <w:textAlignment w:val="auto"/>
        <w:rPr>
          <w:b/>
        </w:rPr>
      </w:pPr>
      <w:r w:rsidRPr="00756441">
        <w:br w:type="page"/>
      </w:r>
    </w:p>
    <w:p w14:paraId="49D78FF4" w14:textId="0ECCD7C5" w:rsidR="00A61809" w:rsidRPr="00756441" w:rsidRDefault="00A61809" w:rsidP="00B735C5">
      <w:pPr>
        <w:pStyle w:val="Headingb"/>
      </w:pPr>
      <w:r w:rsidRPr="00756441">
        <w:lastRenderedPageBreak/>
        <w:t>Introducción</w:t>
      </w:r>
    </w:p>
    <w:p w14:paraId="6DBA657F" w14:textId="635157E6" w:rsidR="00A61809" w:rsidRPr="00756441" w:rsidRDefault="00A61809" w:rsidP="00932C9C">
      <w:r w:rsidRPr="00756441">
        <w:t>1</w:t>
      </w:r>
      <w:r w:rsidRPr="00756441">
        <w:tab/>
      </w:r>
      <w:proofErr w:type="gramStart"/>
      <w:r w:rsidRPr="00756441">
        <w:t>El</w:t>
      </w:r>
      <w:proofErr w:type="gramEnd"/>
      <w:r w:rsidRPr="00756441">
        <w:t xml:space="preserve"> presente Informe se transmite al Consejo de la UIT y responde al Artículo 29 del Reglamento Financiero de la U</w:t>
      </w:r>
      <w:r w:rsidR="00D9003E" w:rsidRPr="00756441">
        <w:t>nión</w:t>
      </w:r>
      <w:r w:rsidRPr="00756441">
        <w:t xml:space="preserve"> (2010). De conformidad con la Carta de Auditoría </w:t>
      </w:r>
      <w:r w:rsidR="00FB2CB1" w:rsidRPr="00756441">
        <w:t xml:space="preserve">Interna </w:t>
      </w:r>
      <w:r w:rsidRPr="00756441">
        <w:t>de la UIT</w:t>
      </w:r>
      <w:r w:rsidRPr="00756441">
        <w:rPr>
          <w:rStyle w:val="FootnoteReference"/>
        </w:rPr>
        <w:footnoteReference w:id="1"/>
      </w:r>
      <w:r w:rsidRPr="00756441">
        <w:t>, el presente Informe</w:t>
      </w:r>
      <w:r w:rsidR="00FB2CB1" w:rsidRPr="00756441">
        <w:t xml:space="preserve"> se somete al </w:t>
      </w:r>
      <w:proofErr w:type="gramStart"/>
      <w:r w:rsidR="00FB2CB1" w:rsidRPr="00756441">
        <w:t>Secretario General</w:t>
      </w:r>
      <w:proofErr w:type="gramEnd"/>
      <w:r w:rsidR="00FB2CB1" w:rsidRPr="00756441">
        <w:t xml:space="preserve"> y se presenta al Consejo para su consideración.</w:t>
      </w:r>
      <w:r w:rsidRPr="00756441">
        <w:t xml:space="preserve"> El actual Informe se refiere a actividades realizadas durante el periodo comprendido entre </w:t>
      </w:r>
      <w:r w:rsidR="00E96CA0" w:rsidRPr="00756441">
        <w:t xml:space="preserve">abril de 2021 </w:t>
      </w:r>
      <w:r w:rsidRPr="00756441">
        <w:t xml:space="preserve">y </w:t>
      </w:r>
      <w:r w:rsidR="00E96CA0" w:rsidRPr="00756441">
        <w:t>enero de 2022</w:t>
      </w:r>
      <w:r w:rsidRPr="00756441">
        <w:t>.</w:t>
      </w:r>
    </w:p>
    <w:p w14:paraId="22D49B85" w14:textId="0C2010BF" w:rsidR="00A61809" w:rsidRPr="00756441" w:rsidRDefault="00A61809" w:rsidP="00932C9C">
      <w:r w:rsidRPr="00756441">
        <w:t>2</w:t>
      </w:r>
      <w:r w:rsidRPr="00756441">
        <w:tab/>
      </w:r>
      <w:proofErr w:type="gramStart"/>
      <w:r w:rsidRPr="00756441">
        <w:t>Durante</w:t>
      </w:r>
      <w:proofErr w:type="gramEnd"/>
      <w:r w:rsidRPr="00756441">
        <w:t xml:space="preserve"> el periodo abarcado por el informe, </w:t>
      </w:r>
      <w:r w:rsidR="00E96CA0" w:rsidRPr="00756441">
        <w:t xml:space="preserve">hasta septiembre de 2021, </w:t>
      </w:r>
      <w:r w:rsidRPr="00756441">
        <w:t xml:space="preserve">la Unidad de </w:t>
      </w:r>
      <w:r w:rsidR="00FB2CB1" w:rsidRPr="00756441">
        <w:t xml:space="preserve">Auditoría Interna </w:t>
      </w:r>
      <w:r w:rsidRPr="00756441">
        <w:t xml:space="preserve">estuvo compuesta por tres funcionarios de categoría profesional – un P5 (Jefe de la Unidad), un P3 (Auditor Interno) y un P2 (Auditor Interno subalterno). </w:t>
      </w:r>
      <w:r w:rsidR="00E96CA0" w:rsidRPr="00756441">
        <w:t xml:space="preserve">A fecha de octubre de 2021, </w:t>
      </w:r>
      <w:r w:rsidR="004D1E36" w:rsidRPr="00756441">
        <w:t>se había cubierto el puesto de P.4 (Auditor principal) y se había designado a una persona para cubrir temporalmente el puesto de P.</w:t>
      </w:r>
      <w:r w:rsidR="00D9003E" w:rsidRPr="00756441">
        <w:t>3</w:t>
      </w:r>
      <w:r w:rsidR="004D1E36" w:rsidRPr="00756441">
        <w:t xml:space="preserve"> del 1 de noviembre de 2021 al 31 de marzo de 2022. </w:t>
      </w:r>
      <w:r w:rsidR="00FB2CB1" w:rsidRPr="00756441">
        <w:t xml:space="preserve">La </w:t>
      </w:r>
      <w:r w:rsidR="004D1E36" w:rsidRPr="00756441">
        <w:t xml:space="preserve">vacante para el puesto </w:t>
      </w:r>
      <w:r w:rsidR="00FB2CB1" w:rsidRPr="00756441">
        <w:t xml:space="preserve">de plazo </w:t>
      </w:r>
      <w:r w:rsidR="004D1E36" w:rsidRPr="00756441">
        <w:t xml:space="preserve">fijo </w:t>
      </w:r>
      <w:r w:rsidR="00FB2CB1" w:rsidRPr="00756441">
        <w:t>d</w:t>
      </w:r>
      <w:r w:rsidR="004D1E36" w:rsidRPr="00756441">
        <w:t>e</w:t>
      </w:r>
      <w:r w:rsidR="00FB2CB1" w:rsidRPr="00756441">
        <w:t xml:space="preserve"> grado</w:t>
      </w:r>
      <w:r w:rsidR="004D1E36" w:rsidRPr="00756441">
        <w:t xml:space="preserve"> P.3 y</w:t>
      </w:r>
      <w:r w:rsidR="00FB2CB1" w:rsidRPr="00756441">
        <w:t>a ha sido publicada y</w:t>
      </w:r>
      <w:r w:rsidR="004D1E36" w:rsidRPr="00756441">
        <w:t xml:space="preserve"> se espera cubrirla hacia mediados de 2022. Así pues, </w:t>
      </w:r>
      <w:r w:rsidR="00A62F72" w:rsidRPr="00756441">
        <w:t xml:space="preserve">al igual que </w:t>
      </w:r>
      <w:r w:rsidR="00DB7700" w:rsidRPr="00756441">
        <w:t>en</w:t>
      </w:r>
      <w:r w:rsidR="004D1E36" w:rsidRPr="00756441">
        <w:t xml:space="preserve"> 2021,</w:t>
      </w:r>
      <w:r w:rsidRPr="00756441">
        <w:t xml:space="preserve"> la Unidad </w:t>
      </w:r>
      <w:r w:rsidR="00DB7700" w:rsidRPr="00756441">
        <w:t>est</w:t>
      </w:r>
      <w:r w:rsidR="00A62F72" w:rsidRPr="00756441">
        <w:t>á</w:t>
      </w:r>
      <w:r w:rsidR="00DB7700" w:rsidRPr="00756441">
        <w:t xml:space="preserve"> </w:t>
      </w:r>
      <w:r w:rsidRPr="00756441">
        <w:t xml:space="preserve">compuesta por cuatro puestos de categoría profesional, uno de los cuales </w:t>
      </w:r>
      <w:r w:rsidR="00DB7700" w:rsidRPr="00756441">
        <w:t>permanece</w:t>
      </w:r>
      <w:r w:rsidRPr="00756441">
        <w:t xml:space="preserve"> vacante a la espera de una contratación a lo largo de </w:t>
      </w:r>
      <w:r w:rsidR="004D1E36" w:rsidRPr="00756441">
        <w:t>2022</w:t>
      </w:r>
      <w:r w:rsidRPr="00756441">
        <w:t>.</w:t>
      </w:r>
    </w:p>
    <w:p w14:paraId="515F03D3" w14:textId="3DD798C2" w:rsidR="00A61809" w:rsidRPr="00756441" w:rsidRDefault="00A61809" w:rsidP="00932C9C">
      <w:r w:rsidRPr="00756441">
        <w:t>3</w:t>
      </w:r>
      <w:r w:rsidRPr="00756441">
        <w:tab/>
      </w:r>
      <w:proofErr w:type="gramStart"/>
      <w:r w:rsidRPr="00756441">
        <w:t>La</w:t>
      </w:r>
      <w:proofErr w:type="gramEnd"/>
      <w:r w:rsidRPr="00756441">
        <w:t xml:space="preserve"> auditoría interna (AI) confirma que lleva a cabo sus auditorías de conformidad con las Normas Internacionales para la Práctica Profesional de Auditoría interna y el Código Ético establecidos por el Instituto de Auditores Internos (IIA)</w:t>
      </w:r>
      <w:r w:rsidRPr="00756441">
        <w:rPr>
          <w:rStyle w:val="FootnoteReference"/>
        </w:rPr>
        <w:footnoteReference w:id="2"/>
      </w:r>
      <w:r w:rsidRPr="00756441">
        <w:t xml:space="preserve">, así como las disposiciones de la Carta de Auditoría </w:t>
      </w:r>
      <w:r w:rsidR="00A62F72" w:rsidRPr="00756441">
        <w:t xml:space="preserve">Interna </w:t>
      </w:r>
      <w:r w:rsidRPr="00756441">
        <w:t>de la UIT</w:t>
      </w:r>
      <w:r w:rsidRPr="00756441">
        <w:rPr>
          <w:rStyle w:val="FootnoteReference"/>
        </w:rPr>
        <w:footnoteReference w:id="3"/>
      </w:r>
      <w:r w:rsidRPr="00756441">
        <w:t>. Además, la AI confirma que durante el periodo auditado su personal no tuvo autoridad de gestión ni responsabilidad sobre ninguna de las actividades auditadas y no realizó funciones de contabilidad u operacionales en la UIT.</w:t>
      </w:r>
    </w:p>
    <w:p w14:paraId="45228C92" w14:textId="77777777" w:rsidR="00A61809" w:rsidRPr="00756441" w:rsidRDefault="00A61809" w:rsidP="00B735C5">
      <w:pPr>
        <w:pStyle w:val="Headingb"/>
      </w:pPr>
      <w:r w:rsidRPr="00756441">
        <w:t>Orientación y ámbito de las actividades de auditoría interna</w:t>
      </w:r>
    </w:p>
    <w:p w14:paraId="59778B7D" w14:textId="5D76043C" w:rsidR="00A61809" w:rsidRPr="00756441" w:rsidRDefault="00A61809" w:rsidP="00932C9C">
      <w:r w:rsidRPr="00756441">
        <w:t>4</w:t>
      </w:r>
      <w:r w:rsidRPr="00756441">
        <w:tab/>
      </w:r>
      <w:proofErr w:type="gramStart"/>
      <w:r w:rsidR="004D1E36" w:rsidRPr="00756441">
        <w:t>De</w:t>
      </w:r>
      <w:proofErr w:type="gramEnd"/>
      <w:r w:rsidR="004D1E36" w:rsidRPr="00756441">
        <w:t xml:space="preserve"> conformidad con la Carta de Auditoría Interna para 2021, </w:t>
      </w:r>
      <w:r w:rsidRPr="00756441">
        <w:t xml:space="preserve">el Comité Asesor Independiente sobre la Gestión (CAIG) </w:t>
      </w:r>
      <w:r w:rsidR="00DB7700" w:rsidRPr="00756441">
        <w:t xml:space="preserve">examinó el plan de auditoría anual </w:t>
      </w:r>
      <w:r w:rsidRPr="00756441">
        <w:t xml:space="preserve">en su 28ª reunión y el Secretario General </w:t>
      </w:r>
      <w:r w:rsidR="00DB7700" w:rsidRPr="00756441">
        <w:t xml:space="preserve">lo aprobó </w:t>
      </w:r>
      <w:r w:rsidRPr="00756441">
        <w:t>el 29 de marzo de 2021. El tiempo dedicado a</w:t>
      </w:r>
      <w:r w:rsidR="00A62F72" w:rsidRPr="00756441">
        <w:t xml:space="preserve"> las</w:t>
      </w:r>
      <w:r w:rsidRPr="00756441">
        <w:t xml:space="preserve"> investigaciones </w:t>
      </w:r>
      <w:r w:rsidR="00A62F72" w:rsidRPr="00756441">
        <w:t>en</w:t>
      </w:r>
      <w:r w:rsidRPr="00756441">
        <w:t xml:space="preserve"> 2021 se </w:t>
      </w:r>
      <w:r w:rsidR="00DB7700" w:rsidRPr="00756441">
        <w:t>redujo</w:t>
      </w:r>
      <w:r w:rsidRPr="00756441">
        <w:t xml:space="preserve"> con el fin de permitir que la AI llev</w:t>
      </w:r>
      <w:r w:rsidR="00DB7700" w:rsidRPr="00756441">
        <w:t>as</w:t>
      </w:r>
      <w:r w:rsidRPr="00756441">
        <w:t xml:space="preserve">e a cabo las </w:t>
      </w:r>
      <w:r w:rsidR="00A62F72" w:rsidRPr="00756441">
        <w:t>funciones principales</w:t>
      </w:r>
      <w:r w:rsidRPr="00756441">
        <w:t xml:space="preserve"> de su mandato. Las labores de investigación de la AI se basan en la Carta de Auditoría </w:t>
      </w:r>
      <w:r w:rsidR="00DB7700" w:rsidRPr="00756441">
        <w:t>Interna</w:t>
      </w:r>
      <w:r w:rsidRPr="00756441">
        <w:t xml:space="preserve">, en la que se estipula también que </w:t>
      </w:r>
      <w:r w:rsidRPr="00756441">
        <w:rPr>
          <w:i/>
          <w:iCs/>
        </w:rPr>
        <w:t xml:space="preserve">la AI estudiará las alegaciones o presunciones de fraude o gestión indebida </w:t>
      </w:r>
      <w:r w:rsidRPr="00756441">
        <w:t xml:space="preserve">y </w:t>
      </w:r>
      <w:r w:rsidRPr="00756441">
        <w:rPr>
          <w:i/>
          <w:iCs/>
        </w:rPr>
        <w:t>podrá proporcionar servicios de consultoría en la UIT</w:t>
      </w:r>
      <w:r w:rsidRPr="00756441">
        <w:t>.</w:t>
      </w:r>
      <w:r w:rsidR="000D7F8C" w:rsidRPr="00756441">
        <w:t xml:space="preserve"> </w:t>
      </w:r>
      <w:r w:rsidR="004D1E36" w:rsidRPr="00756441">
        <w:t xml:space="preserve">De hecho, el tiempo </w:t>
      </w:r>
      <w:r w:rsidR="00C75526" w:rsidRPr="00756441">
        <w:t>consagrado a estos trabajos</w:t>
      </w:r>
      <w:r w:rsidR="004D1E36" w:rsidRPr="00756441">
        <w:t xml:space="preserve"> de investigación se limitó </w:t>
      </w:r>
      <w:r w:rsidR="00C75526" w:rsidRPr="00756441">
        <w:t>a la finalización de los trabajos</w:t>
      </w:r>
      <w:r w:rsidR="004D1E36" w:rsidRPr="00756441">
        <w:t xml:space="preserve"> anteriores y/o </w:t>
      </w:r>
      <w:r w:rsidR="00C75526" w:rsidRPr="00756441">
        <w:t>la prestación de una</w:t>
      </w:r>
      <w:r w:rsidR="004D1E36" w:rsidRPr="00756441">
        <w:t xml:space="preserve"> asistencia limitada a </w:t>
      </w:r>
      <w:r w:rsidR="00C75526" w:rsidRPr="00756441">
        <w:t>una serie de asesores en</w:t>
      </w:r>
      <w:r w:rsidR="00932C9C" w:rsidRPr="00756441">
        <w:t xml:space="preserve"> </w:t>
      </w:r>
      <w:r w:rsidR="004D1E36" w:rsidRPr="00756441">
        <w:t xml:space="preserve">investigación externos. </w:t>
      </w:r>
      <w:r w:rsidR="00A62F72" w:rsidRPr="00756441">
        <w:t>El</w:t>
      </w:r>
      <w:r w:rsidR="00C75526" w:rsidRPr="00756441">
        <w:t xml:space="preserve"> titular del puesto de Investigador de la UIT (que depende directamente del </w:t>
      </w:r>
      <w:proofErr w:type="gramStart"/>
      <w:r w:rsidR="00C75526" w:rsidRPr="00756441">
        <w:t>Secretario General</w:t>
      </w:r>
      <w:proofErr w:type="gramEnd"/>
      <w:r w:rsidR="00C75526" w:rsidRPr="00756441">
        <w:t>) entrará en funciones</w:t>
      </w:r>
      <w:r w:rsidR="00A62F72" w:rsidRPr="00756441">
        <w:t xml:space="preserve"> en 2022</w:t>
      </w:r>
      <w:r w:rsidR="001523DB" w:rsidRPr="00756441">
        <w:t xml:space="preserve">. </w:t>
      </w:r>
    </w:p>
    <w:p w14:paraId="5A2F1B11" w14:textId="2C1D8E6B" w:rsidR="00A61809" w:rsidRPr="00756441" w:rsidRDefault="00A61809" w:rsidP="00932C9C">
      <w:r w:rsidRPr="00756441">
        <w:t>5</w:t>
      </w:r>
      <w:r w:rsidRPr="00756441">
        <w:tab/>
      </w:r>
      <w:proofErr w:type="gramStart"/>
      <w:r w:rsidRPr="00756441">
        <w:t>La</w:t>
      </w:r>
      <w:proofErr w:type="gramEnd"/>
      <w:r w:rsidRPr="00756441">
        <w:t xml:space="preserve"> AI comparte sistemáticamente copias de los Informes de Auditoría interna con el Auditor Externo de la UIT y el CAIG. De conformidad con el Reglamento Financiero de la UIT (Artículo 29, punto 5), los Informes finales de Auditoría interna pueden ponerse a disposición de los Estados Miembros o de sus representantes designados. Desde octubre de 2015</w:t>
      </w:r>
      <w:r w:rsidR="00A62F72" w:rsidRPr="00756441">
        <w:t>,</w:t>
      </w:r>
      <w:r w:rsidRPr="00756441">
        <w:t xml:space="preserve"> existe un mecanismo que facilita el acceso a los </w:t>
      </w:r>
      <w:r w:rsidR="00C06E7E" w:rsidRPr="00756441">
        <w:t xml:space="preserve">informes </w:t>
      </w:r>
      <w:r w:rsidRPr="00756441">
        <w:t xml:space="preserve">de </w:t>
      </w:r>
      <w:r w:rsidR="00C06E7E" w:rsidRPr="00756441">
        <w:t>a</w:t>
      </w:r>
      <w:r w:rsidRPr="00756441">
        <w:t>uditoría interna. Durante el periodo auditado no se recibió ninguna solicitud para consultar informes de auditoría interna a través del mecanismo en línea.</w:t>
      </w:r>
    </w:p>
    <w:p w14:paraId="5C2E4127" w14:textId="77777777" w:rsidR="00A61809" w:rsidRPr="00756441" w:rsidRDefault="00A61809" w:rsidP="00B735C5">
      <w:pPr>
        <w:pStyle w:val="Headingb"/>
      </w:pPr>
      <w:r w:rsidRPr="00756441">
        <w:lastRenderedPageBreak/>
        <w:t>Objetivos y conclusiones de los compromisos de garantía</w:t>
      </w:r>
    </w:p>
    <w:p w14:paraId="7586572C" w14:textId="77777777" w:rsidR="00A61809" w:rsidRPr="00756441" w:rsidRDefault="00A61809" w:rsidP="00932C9C">
      <w:r w:rsidRPr="00756441">
        <w:t>6</w:t>
      </w:r>
      <w:r w:rsidRPr="00756441">
        <w:tab/>
      </w:r>
      <w:proofErr w:type="gramStart"/>
      <w:r w:rsidRPr="00756441">
        <w:t>Los</w:t>
      </w:r>
      <w:proofErr w:type="gramEnd"/>
      <w:r w:rsidRPr="00756441">
        <w:t xml:space="preserve"> objetivos de los compromisos de garantía son evaluar: i) los aspectos de gobernanza de las operaciones verificadas de la Unión; </w:t>
      </w:r>
      <w:proofErr w:type="spellStart"/>
      <w:r w:rsidRPr="00756441">
        <w:t>ii</w:t>
      </w:r>
      <w:proofErr w:type="spellEnd"/>
      <w:r w:rsidRPr="00756441">
        <w:t xml:space="preserve">) las prácticas de gestión de riesgos; y </w:t>
      </w:r>
      <w:proofErr w:type="spellStart"/>
      <w:r w:rsidRPr="00756441">
        <w:t>iii</w:t>
      </w:r>
      <w:proofErr w:type="spellEnd"/>
      <w:r w:rsidRPr="00756441">
        <w:t>) la eficacia de los controles (internos). La prioridad de las recomendaciones resultantes de los trabajos de auditoría se clasifica de acuerdo con la repercusión y la probabilidad de la deficiencia (alta, media, baja).</w:t>
      </w:r>
    </w:p>
    <w:p w14:paraId="3DCB234D" w14:textId="6FF2A353" w:rsidR="00A61809" w:rsidRPr="00756441" w:rsidRDefault="00A61809" w:rsidP="00932C9C">
      <w:r w:rsidRPr="00756441">
        <w:t>7</w:t>
      </w:r>
      <w:r w:rsidRPr="00756441">
        <w:tab/>
      </w:r>
      <w:proofErr w:type="gramStart"/>
      <w:r w:rsidRPr="00756441">
        <w:t>La</w:t>
      </w:r>
      <w:proofErr w:type="gramEnd"/>
      <w:r w:rsidRPr="00756441">
        <w:t xml:space="preserve"> AI </w:t>
      </w:r>
      <w:r w:rsidR="00A62F72" w:rsidRPr="00756441">
        <w:t>realiza un seguimiento de</w:t>
      </w:r>
      <w:r w:rsidRPr="00756441">
        <w:t xml:space="preserve"> la</w:t>
      </w:r>
      <w:r w:rsidR="00A62F72" w:rsidRPr="00756441">
        <w:t xml:space="preserve"> aplic</w:t>
      </w:r>
      <w:r w:rsidRPr="00756441">
        <w:t xml:space="preserve">ación de las </w:t>
      </w:r>
      <w:r w:rsidR="00A62F72" w:rsidRPr="00756441">
        <w:t>medidas</w:t>
      </w:r>
      <w:r w:rsidRPr="00756441">
        <w:t xml:space="preserve"> recomendadas, cuando</w:t>
      </w:r>
      <w:r w:rsidR="00A62F72" w:rsidRPr="00756441">
        <w:t xml:space="preserve"> y según procede</w:t>
      </w:r>
      <w:r w:rsidRPr="00756441">
        <w:t>. Desde principios de 2021, está disponible un tablero de control del cumplimiento en toda la Unión con esta finalidad</w:t>
      </w:r>
      <w:r w:rsidR="009E3E91" w:rsidRPr="00756441">
        <w:t xml:space="preserve">, que </w:t>
      </w:r>
      <w:r w:rsidRPr="00756441">
        <w:t xml:space="preserve">facilita el seguimiento de la </w:t>
      </w:r>
      <w:r w:rsidR="009E3E91" w:rsidRPr="00756441">
        <w:t>aplic</w:t>
      </w:r>
      <w:r w:rsidRPr="00756441">
        <w:t>ación de las recomendaciones a los gestores involucrados, aunque no elimina la responsabilidad de la AI en cuanto al seguimiento de las recomendaciones realizadas previ</w:t>
      </w:r>
      <w:r w:rsidR="000F4798" w:rsidRPr="00756441">
        <w:t>amente, de acuerdo con la Norma </w:t>
      </w:r>
      <w:r w:rsidRPr="00756441">
        <w:t>2500 del IIA</w:t>
      </w:r>
      <w:r w:rsidRPr="00756441">
        <w:rPr>
          <w:rStyle w:val="FootnoteReference"/>
        </w:rPr>
        <w:footnoteReference w:id="4"/>
      </w:r>
      <w:r w:rsidRPr="00756441">
        <w:t>.</w:t>
      </w:r>
    </w:p>
    <w:p w14:paraId="77D7D565" w14:textId="23FAE220" w:rsidR="00A61809" w:rsidRPr="00756441" w:rsidRDefault="009F5AA4" w:rsidP="00932C9C">
      <w:r w:rsidRPr="00756441">
        <w:rPr>
          <w:i/>
          <w:iCs/>
        </w:rPr>
        <w:t>Se han</w:t>
      </w:r>
      <w:r w:rsidR="009C0F02" w:rsidRPr="00756441">
        <w:rPr>
          <w:i/>
          <w:iCs/>
        </w:rPr>
        <w:t xml:space="preserve"> concluido</w:t>
      </w:r>
      <w:r w:rsidRPr="00756441">
        <w:rPr>
          <w:i/>
          <w:iCs/>
        </w:rPr>
        <w:t xml:space="preserve"> los siguientes compromisos de garantía</w:t>
      </w:r>
      <w:r w:rsidR="00206BC7" w:rsidRPr="00756441">
        <w:rPr>
          <w:i/>
          <w:iCs/>
        </w:rPr>
        <w:t>:</w:t>
      </w:r>
    </w:p>
    <w:p w14:paraId="2A3FF2E4" w14:textId="12D4D349" w:rsidR="00CF5C0B" w:rsidRPr="00756441" w:rsidRDefault="003C4D1C" w:rsidP="006C2512">
      <w:pPr>
        <w:pStyle w:val="Heading1"/>
      </w:pPr>
      <w:r w:rsidRPr="00756441">
        <w:t>A</w:t>
      </w:r>
      <w:r w:rsidRPr="00756441">
        <w:tab/>
      </w:r>
      <w:r w:rsidR="009C0F02" w:rsidRPr="00756441">
        <w:t>A</w:t>
      </w:r>
      <w:r w:rsidR="00F229B3" w:rsidRPr="00756441">
        <w:t>uditor</w:t>
      </w:r>
      <w:r w:rsidR="009C0F02" w:rsidRPr="00756441">
        <w:t>ía</w:t>
      </w:r>
      <w:r w:rsidR="00F229B3" w:rsidRPr="00756441">
        <w:t xml:space="preserve"> de las prestaciones del</w:t>
      </w:r>
      <w:r w:rsidR="007D6F11" w:rsidRPr="00756441">
        <w:t xml:space="preserve"> personal</w:t>
      </w:r>
      <w:r w:rsidR="00F229B3" w:rsidRPr="00756441">
        <w:t xml:space="preserve"> de la UIT</w:t>
      </w:r>
    </w:p>
    <w:p w14:paraId="7255EB84" w14:textId="7C82D36F" w:rsidR="00CF5C0B" w:rsidRPr="00756441" w:rsidRDefault="00CF5C0B" w:rsidP="00932C9C">
      <w:pPr>
        <w:rPr>
          <w:rFonts w:cstheme="minorHAnsi"/>
        </w:rPr>
      </w:pPr>
      <w:r w:rsidRPr="00756441">
        <w:rPr>
          <w:rFonts w:cstheme="minorHAnsi"/>
        </w:rPr>
        <w:t>8</w:t>
      </w:r>
      <w:r w:rsidRPr="00756441">
        <w:rPr>
          <w:rFonts w:cstheme="minorHAnsi"/>
        </w:rPr>
        <w:tab/>
      </w:r>
      <w:proofErr w:type="gramStart"/>
      <w:r w:rsidR="00F229B3" w:rsidRPr="00756441">
        <w:rPr>
          <w:rFonts w:cstheme="minorHAnsi"/>
        </w:rPr>
        <w:t>La</w:t>
      </w:r>
      <w:proofErr w:type="gramEnd"/>
      <w:r w:rsidR="00F229B3" w:rsidRPr="00756441">
        <w:rPr>
          <w:rFonts w:cstheme="minorHAnsi"/>
        </w:rPr>
        <w:t xml:space="preserve"> AI </w:t>
      </w:r>
      <w:r w:rsidR="007D6F11" w:rsidRPr="00756441">
        <w:rPr>
          <w:rFonts w:cstheme="minorHAnsi"/>
        </w:rPr>
        <w:t>llevó a cabo</w:t>
      </w:r>
      <w:r w:rsidR="00F229B3" w:rsidRPr="00756441">
        <w:rPr>
          <w:rFonts w:cstheme="minorHAnsi"/>
        </w:rPr>
        <w:t xml:space="preserve"> una auditor</w:t>
      </w:r>
      <w:r w:rsidR="007D6F11" w:rsidRPr="00756441">
        <w:rPr>
          <w:rFonts w:cstheme="minorHAnsi"/>
        </w:rPr>
        <w:t>ía</w:t>
      </w:r>
      <w:r w:rsidR="00F229B3" w:rsidRPr="00756441">
        <w:rPr>
          <w:rFonts w:cstheme="minorHAnsi"/>
        </w:rPr>
        <w:t xml:space="preserve"> de las prestaciones </w:t>
      </w:r>
      <w:r w:rsidR="007D6F11" w:rsidRPr="00756441">
        <w:rPr>
          <w:rFonts w:cstheme="minorHAnsi"/>
        </w:rPr>
        <w:t>del personal</w:t>
      </w:r>
      <w:r w:rsidR="00F229B3" w:rsidRPr="00756441">
        <w:rPr>
          <w:rFonts w:cstheme="minorHAnsi"/>
        </w:rPr>
        <w:t xml:space="preserve"> de la UIT</w:t>
      </w:r>
      <w:r w:rsidR="00F554A8" w:rsidRPr="00756441">
        <w:rPr>
          <w:rFonts w:cstheme="minorHAnsi"/>
        </w:rPr>
        <w:t>,</w:t>
      </w:r>
      <w:r w:rsidR="00F229B3" w:rsidRPr="00756441">
        <w:rPr>
          <w:rFonts w:cstheme="minorHAnsi"/>
        </w:rPr>
        <w:t xml:space="preserve"> que abarcó el período </w:t>
      </w:r>
      <w:r w:rsidR="007D6F11" w:rsidRPr="00756441">
        <w:rPr>
          <w:rFonts w:cstheme="minorHAnsi"/>
        </w:rPr>
        <w:t>comprendido entre</w:t>
      </w:r>
      <w:r w:rsidR="00F229B3" w:rsidRPr="00756441">
        <w:rPr>
          <w:rFonts w:cstheme="minorHAnsi"/>
        </w:rPr>
        <w:t xml:space="preserve"> enero de 2012</w:t>
      </w:r>
      <w:r w:rsidR="007D6F11" w:rsidRPr="00756441">
        <w:rPr>
          <w:rFonts w:cstheme="minorHAnsi"/>
        </w:rPr>
        <w:t xml:space="preserve"> y</w:t>
      </w:r>
      <w:r w:rsidR="00F229B3" w:rsidRPr="00756441">
        <w:rPr>
          <w:rFonts w:cstheme="minorHAnsi"/>
        </w:rPr>
        <w:t xml:space="preserve"> diciembre de 2019, </w:t>
      </w:r>
      <w:r w:rsidR="007D6F11" w:rsidRPr="00756441">
        <w:rPr>
          <w:rFonts w:cstheme="minorHAnsi"/>
        </w:rPr>
        <w:t>centrándose en especial en los subsidios de educación</w:t>
      </w:r>
      <w:r w:rsidR="00F229B3" w:rsidRPr="00756441">
        <w:rPr>
          <w:rFonts w:cstheme="minorHAnsi"/>
        </w:rPr>
        <w:t xml:space="preserve">, los subsidios </w:t>
      </w:r>
      <w:r w:rsidR="007D6F11" w:rsidRPr="00756441">
        <w:rPr>
          <w:rFonts w:cstheme="minorHAnsi"/>
        </w:rPr>
        <w:t>de</w:t>
      </w:r>
      <w:r w:rsidR="00F229B3" w:rsidRPr="00756441">
        <w:rPr>
          <w:rFonts w:cstheme="minorHAnsi"/>
        </w:rPr>
        <w:t xml:space="preserve"> alquiler y las </w:t>
      </w:r>
      <w:r w:rsidR="007D6F11" w:rsidRPr="00756441">
        <w:rPr>
          <w:rFonts w:cstheme="minorHAnsi"/>
        </w:rPr>
        <w:t>prestaciones por cónyuge a cargo.</w:t>
      </w:r>
    </w:p>
    <w:p w14:paraId="6A904D84" w14:textId="417149AF" w:rsidR="000D7F8C" w:rsidRPr="00756441" w:rsidRDefault="00F229B3" w:rsidP="00932C9C">
      <w:r w:rsidRPr="00756441">
        <w:t>9</w:t>
      </w:r>
      <w:r w:rsidRPr="00756441">
        <w:tab/>
      </w:r>
      <w:proofErr w:type="gramStart"/>
      <w:r w:rsidRPr="00756441">
        <w:t>La</w:t>
      </w:r>
      <w:proofErr w:type="gramEnd"/>
      <w:r w:rsidRPr="00756441">
        <w:t xml:space="preserve"> AI</w:t>
      </w:r>
      <w:r w:rsidR="00206BC7" w:rsidRPr="00756441">
        <w:t xml:space="preserve"> llegó a las </w:t>
      </w:r>
      <w:r w:rsidR="00E83296" w:rsidRPr="00756441">
        <w:t xml:space="preserve">siguientes </w:t>
      </w:r>
      <w:r w:rsidR="00206BC7" w:rsidRPr="00756441">
        <w:t>conclusiones</w:t>
      </w:r>
      <w:r w:rsidR="00E83296" w:rsidRPr="00756441">
        <w:t>, que consideró de alta prioridad</w:t>
      </w:r>
      <w:r w:rsidR="00206BC7" w:rsidRPr="00756441">
        <w:t>:</w:t>
      </w:r>
    </w:p>
    <w:p w14:paraId="40DD6102" w14:textId="5CAEE9EE" w:rsidR="00206BC7" w:rsidRPr="00756441" w:rsidRDefault="003C4D1C" w:rsidP="004E59F5">
      <w:pPr>
        <w:pStyle w:val="enumlev1"/>
        <w:rPr>
          <w:rFonts w:asciiTheme="minorHAnsi" w:hAnsiTheme="minorHAnsi" w:cstheme="minorHAnsi"/>
        </w:rPr>
      </w:pPr>
      <w:r w:rsidRPr="00756441">
        <w:rPr>
          <w:iCs/>
        </w:rPr>
        <w:t>a)</w:t>
      </w:r>
      <w:r w:rsidRPr="00756441">
        <w:tab/>
      </w:r>
      <w:r w:rsidR="00F229B3" w:rsidRPr="00756441">
        <w:t xml:space="preserve">Las políticas existentes no son lo suficientemente detalladas, claras o informativas para el personal. </w:t>
      </w:r>
      <w:r w:rsidR="00E83296" w:rsidRPr="00756441">
        <w:t>En el caso de los subsidios de alquiler, no existen</w:t>
      </w:r>
      <w:r w:rsidR="00F229B3" w:rsidRPr="00756441">
        <w:t xml:space="preserve"> políticas específicas de la UIT. Se </w:t>
      </w:r>
      <w:r w:rsidR="00F229B3" w:rsidRPr="00756441">
        <w:rPr>
          <w:u w:val="single"/>
        </w:rPr>
        <w:t>recomendó</w:t>
      </w:r>
      <w:r w:rsidR="00F229B3" w:rsidRPr="00756441">
        <w:t xml:space="preserve"> </w:t>
      </w:r>
      <w:r w:rsidR="00E83296" w:rsidRPr="00756441">
        <w:t>r</w:t>
      </w:r>
      <w:r w:rsidR="00F229B3" w:rsidRPr="00756441">
        <w:t>evis</w:t>
      </w:r>
      <w:r w:rsidR="00E83296" w:rsidRPr="00756441">
        <w:t>ar</w:t>
      </w:r>
      <w:r w:rsidR="00F229B3" w:rsidRPr="00756441">
        <w:t xml:space="preserve"> los formularios de solicitud y anticipo</w:t>
      </w:r>
      <w:r w:rsidR="00E83296" w:rsidRPr="00756441">
        <w:rPr>
          <w:rFonts w:ascii="Segoe UI" w:hAnsi="Segoe UI" w:cs="Segoe UI"/>
          <w:color w:val="000000"/>
          <w:sz w:val="20"/>
          <w:shd w:val="clear" w:color="auto" w:fill="F0F0F0"/>
        </w:rPr>
        <w:t xml:space="preserve"> </w:t>
      </w:r>
      <w:r w:rsidR="00E83296" w:rsidRPr="00756441">
        <w:t>correspondientes a los subsidios de educación</w:t>
      </w:r>
      <w:r w:rsidR="00F229B3" w:rsidRPr="00756441">
        <w:t xml:space="preserve">, </w:t>
      </w:r>
      <w:r w:rsidR="00E83296" w:rsidRPr="00756441">
        <w:t>a fin de</w:t>
      </w:r>
      <w:r w:rsidR="00F229B3" w:rsidRPr="00756441">
        <w:t xml:space="preserve"> inclu</w:t>
      </w:r>
      <w:r w:rsidR="00E83296" w:rsidRPr="00756441">
        <w:t>ir</w:t>
      </w:r>
      <w:r w:rsidR="00F229B3" w:rsidRPr="00756441">
        <w:t xml:space="preserve"> una lista de requisitos</w:t>
      </w:r>
      <w:r w:rsidR="00DA5E29" w:rsidRPr="00756441">
        <w:t xml:space="preserve"> aplicables a</w:t>
      </w:r>
      <w:r w:rsidR="00F229B3" w:rsidRPr="00756441">
        <w:t xml:space="preserve"> la documentación auxiliar que debe adjuntar el personal. Asimismo, se recomendó revis</w:t>
      </w:r>
      <w:r w:rsidR="00E83296" w:rsidRPr="00756441">
        <w:t>ar</w:t>
      </w:r>
      <w:r w:rsidR="00F229B3" w:rsidRPr="00756441">
        <w:t xml:space="preserve"> la política relativa a los </w:t>
      </w:r>
      <w:r w:rsidR="00F229B3" w:rsidRPr="00756441">
        <w:rPr>
          <w:u w:val="single"/>
        </w:rPr>
        <w:t>anticipos</w:t>
      </w:r>
      <w:r w:rsidR="00F229B3" w:rsidRPr="00756441">
        <w:t xml:space="preserve"> de </w:t>
      </w:r>
      <w:r w:rsidR="00E83296" w:rsidRPr="00756441">
        <w:t>los subsidios de educación e</w:t>
      </w:r>
      <w:r w:rsidR="00F96EFA" w:rsidRPr="00756441">
        <w:t xml:space="preserve"> inclu</w:t>
      </w:r>
      <w:r w:rsidR="00E83296" w:rsidRPr="00756441">
        <w:t>ir</w:t>
      </w:r>
      <w:r w:rsidR="00F96EFA" w:rsidRPr="00756441">
        <w:t xml:space="preserve"> información </w:t>
      </w:r>
      <w:r w:rsidR="00531ED7" w:rsidRPr="00756441">
        <w:t>acorde</w:t>
      </w:r>
      <w:r w:rsidR="00F96EFA" w:rsidRPr="00756441">
        <w:t xml:space="preserve"> </w:t>
      </w:r>
      <w:r w:rsidR="00531ED7" w:rsidRPr="00756441">
        <w:t>a</w:t>
      </w:r>
      <w:r w:rsidR="00F96EFA" w:rsidRPr="00756441">
        <w:t xml:space="preserve"> las orientaciones y los umbrales de la CAPI en una política y </w:t>
      </w:r>
      <w:r w:rsidR="00531ED7" w:rsidRPr="00756441">
        <w:t>unas pautas en materia d</w:t>
      </w:r>
      <w:r w:rsidR="00F96EFA" w:rsidRPr="00756441">
        <w:t xml:space="preserve">e subsidios </w:t>
      </w:r>
      <w:r w:rsidR="00531ED7" w:rsidRPr="00756441">
        <w:t>de</w:t>
      </w:r>
      <w:r w:rsidR="00F96EFA" w:rsidRPr="00756441">
        <w:t xml:space="preserve"> alquiler</w:t>
      </w:r>
      <w:r w:rsidR="00206BC7" w:rsidRPr="00756441">
        <w:t>.</w:t>
      </w:r>
      <w:r w:rsidR="00F96EFA" w:rsidRPr="00756441">
        <w:rPr>
          <w:rFonts w:asciiTheme="minorHAnsi" w:hAnsiTheme="minorHAnsi" w:cstheme="minorHAnsi"/>
        </w:rPr>
        <w:t xml:space="preserve"> Además, en un documento</w:t>
      </w:r>
      <w:r w:rsidR="00531ED7" w:rsidRPr="00756441">
        <w:rPr>
          <w:rFonts w:asciiTheme="minorHAnsi" w:hAnsiTheme="minorHAnsi" w:cstheme="minorHAnsi"/>
        </w:rPr>
        <w:t xml:space="preserve"> normativo</w:t>
      </w:r>
      <w:r w:rsidR="00F96EFA" w:rsidRPr="00756441">
        <w:rPr>
          <w:rFonts w:asciiTheme="minorHAnsi" w:hAnsiTheme="minorHAnsi" w:cstheme="minorHAnsi"/>
        </w:rPr>
        <w:t xml:space="preserve"> actualizado </w:t>
      </w:r>
      <w:r w:rsidR="00531ED7" w:rsidRPr="00756441">
        <w:rPr>
          <w:rFonts w:asciiTheme="minorHAnsi" w:hAnsiTheme="minorHAnsi" w:cstheme="minorHAnsi"/>
        </w:rPr>
        <w:t>sobre las</w:t>
      </w:r>
      <w:r w:rsidR="00F96EFA" w:rsidRPr="00756441">
        <w:rPr>
          <w:rFonts w:asciiTheme="minorHAnsi" w:hAnsiTheme="minorHAnsi" w:cstheme="minorHAnsi"/>
        </w:rPr>
        <w:t xml:space="preserve"> </w:t>
      </w:r>
      <w:r w:rsidR="00531ED7" w:rsidRPr="00756441">
        <w:rPr>
          <w:rFonts w:asciiTheme="minorHAnsi" w:hAnsiTheme="minorHAnsi" w:cstheme="minorHAnsi"/>
        </w:rPr>
        <w:t>prestaciones por familiares a cargo, cabría tener en cuenta lo siguiente:</w:t>
      </w:r>
      <w:r w:rsidR="00F96EFA" w:rsidRPr="00756441">
        <w:rPr>
          <w:rFonts w:asciiTheme="minorHAnsi" w:hAnsiTheme="minorHAnsi" w:cstheme="minorHAnsi"/>
        </w:rPr>
        <w:t xml:space="preserve"> i) los ingresos del cónyuge, a saber, todos los ingresos directos o indirectos, incluyendo pensiones, pensiones de </w:t>
      </w:r>
      <w:r w:rsidR="00531ED7" w:rsidRPr="00756441">
        <w:rPr>
          <w:rFonts w:asciiTheme="minorHAnsi" w:hAnsiTheme="minorHAnsi" w:cstheme="minorHAnsi"/>
        </w:rPr>
        <w:t>discapacidad</w:t>
      </w:r>
      <w:r w:rsidR="00F96EFA" w:rsidRPr="00756441">
        <w:rPr>
          <w:rFonts w:asciiTheme="minorHAnsi" w:hAnsiTheme="minorHAnsi" w:cstheme="minorHAnsi"/>
        </w:rPr>
        <w:t xml:space="preserve">, </w:t>
      </w:r>
      <w:r w:rsidR="00E202FF" w:rsidRPr="00756441">
        <w:rPr>
          <w:rFonts w:asciiTheme="minorHAnsi" w:hAnsiTheme="minorHAnsi" w:cstheme="minorHAnsi"/>
        </w:rPr>
        <w:t xml:space="preserve">prestaciones </w:t>
      </w:r>
      <w:r w:rsidR="00F96EFA" w:rsidRPr="00756441">
        <w:rPr>
          <w:rFonts w:asciiTheme="minorHAnsi" w:hAnsiTheme="minorHAnsi" w:cstheme="minorHAnsi"/>
        </w:rPr>
        <w:t xml:space="preserve">por desempleo y beneficios provenientes de inversiones, y </w:t>
      </w:r>
      <w:proofErr w:type="spellStart"/>
      <w:r w:rsidR="00F96EFA" w:rsidRPr="00756441">
        <w:rPr>
          <w:rFonts w:asciiTheme="minorHAnsi" w:hAnsiTheme="minorHAnsi" w:cstheme="minorHAnsi"/>
        </w:rPr>
        <w:t>ii</w:t>
      </w:r>
      <w:proofErr w:type="spellEnd"/>
      <w:r w:rsidR="00F96EFA" w:rsidRPr="00756441">
        <w:rPr>
          <w:rFonts w:asciiTheme="minorHAnsi" w:hAnsiTheme="minorHAnsi" w:cstheme="minorHAnsi"/>
        </w:rPr>
        <w:t xml:space="preserve">) en el caso de los miembros del personal que soliciten </w:t>
      </w:r>
      <w:r w:rsidR="00E202FF" w:rsidRPr="00756441">
        <w:rPr>
          <w:rFonts w:asciiTheme="minorHAnsi" w:hAnsiTheme="minorHAnsi" w:cstheme="minorHAnsi"/>
        </w:rPr>
        <w:t>prestaciones</w:t>
      </w:r>
      <w:r w:rsidR="00F96EFA" w:rsidRPr="00756441">
        <w:rPr>
          <w:rFonts w:asciiTheme="minorHAnsi" w:hAnsiTheme="minorHAnsi" w:cstheme="minorHAnsi"/>
        </w:rPr>
        <w:t xml:space="preserve"> por un cónyuge sin ingresos, el requisito de presentar, además de una declaración firmada, un certificado de ausencia de ingresos procedente del sistema fiscal nacional correspondiente.</w:t>
      </w:r>
    </w:p>
    <w:p w14:paraId="008C4E6A" w14:textId="1CA9BC53" w:rsidR="003C4D1C" w:rsidRPr="00756441" w:rsidRDefault="003C4D1C" w:rsidP="004E59F5">
      <w:pPr>
        <w:pStyle w:val="enumlev1"/>
      </w:pPr>
      <w:r w:rsidRPr="00756441">
        <w:rPr>
          <w:iCs/>
        </w:rPr>
        <w:t>b)</w:t>
      </w:r>
      <w:r w:rsidRPr="00756441">
        <w:tab/>
      </w:r>
      <w:r w:rsidR="00581E36" w:rsidRPr="00756441">
        <w:t>L</w:t>
      </w:r>
      <w:r w:rsidR="00C17701" w:rsidRPr="00756441">
        <w:t>as responsabilidades del personal d</w:t>
      </w:r>
      <w:r w:rsidR="004D434B" w:rsidRPr="00756441">
        <w:t>e</w:t>
      </w:r>
      <w:r w:rsidR="00C17701" w:rsidRPr="00756441">
        <w:t xml:space="preserve"> HRMD</w:t>
      </w:r>
      <w:r w:rsidR="00581E36" w:rsidRPr="00756441">
        <w:t xml:space="preserve"> no están claras</w:t>
      </w:r>
      <w:r w:rsidR="00C17701" w:rsidRPr="00756441">
        <w:t xml:space="preserve">; como resultado, se pasan por alto tareas y falta claridad en relación con </w:t>
      </w:r>
      <w:r w:rsidR="00581E36" w:rsidRPr="00756441">
        <w:t>la delimitación de responsabilidades</w:t>
      </w:r>
      <w:r w:rsidR="00C17701" w:rsidRPr="00756441">
        <w:t xml:space="preserve">. Se </w:t>
      </w:r>
      <w:r w:rsidR="00C17701" w:rsidRPr="00756441">
        <w:rPr>
          <w:u w:val="single"/>
        </w:rPr>
        <w:t>recomendó</w:t>
      </w:r>
      <w:r w:rsidR="00C17701" w:rsidRPr="00756441">
        <w:t xml:space="preserve"> </w:t>
      </w:r>
      <w:r w:rsidR="00581E36" w:rsidRPr="00756441">
        <w:t>revisar y perfeccionar</w:t>
      </w:r>
      <w:r w:rsidR="00C17701" w:rsidRPr="00756441">
        <w:t xml:space="preserve"> la estructura y la división de las tareas, </w:t>
      </w:r>
      <w:r w:rsidR="00581E36" w:rsidRPr="00756441">
        <w:t>y aclarar</w:t>
      </w:r>
      <w:r w:rsidR="00C17701" w:rsidRPr="00756441">
        <w:t xml:space="preserve"> los procedimientos, las funciones y las responsabilidades de los respectivos equipos de HRMD.</w:t>
      </w:r>
    </w:p>
    <w:p w14:paraId="294F54DD" w14:textId="6F34023D" w:rsidR="003C4D1C" w:rsidRPr="00756441" w:rsidRDefault="003C4D1C" w:rsidP="004E59F5">
      <w:pPr>
        <w:pStyle w:val="enumlev1"/>
      </w:pPr>
      <w:r w:rsidRPr="00756441">
        <w:rPr>
          <w:iCs/>
        </w:rPr>
        <w:t>c)</w:t>
      </w:r>
      <w:r w:rsidRPr="00756441">
        <w:rPr>
          <w:i/>
          <w:iCs/>
        </w:rPr>
        <w:tab/>
      </w:r>
      <w:r w:rsidR="00C17701" w:rsidRPr="00756441">
        <w:t xml:space="preserve">No siempre se </w:t>
      </w:r>
      <w:r w:rsidR="00581E36" w:rsidRPr="00756441">
        <w:t>detectan las señales de alarma</w:t>
      </w:r>
      <w:r w:rsidR="00C17701" w:rsidRPr="00756441">
        <w:t xml:space="preserve">, los fraudes o las declaraciones erróneas en las solicitudes del personal, lo que conduce a un </w:t>
      </w:r>
      <w:r w:rsidR="00581E36" w:rsidRPr="00756441">
        <w:t>des</w:t>
      </w:r>
      <w:r w:rsidR="00C17701" w:rsidRPr="00756441">
        <w:t>conocimiento o a una mitigación insuficiente de</w:t>
      </w:r>
      <w:r w:rsidR="00581E36" w:rsidRPr="00756441">
        <w:t xml:space="preserve"> </w:t>
      </w:r>
      <w:r w:rsidR="00C17701" w:rsidRPr="00756441">
        <w:t>l</w:t>
      </w:r>
      <w:r w:rsidR="00581E36" w:rsidRPr="00756441">
        <w:t>os casos de</w:t>
      </w:r>
      <w:r w:rsidR="00C17701" w:rsidRPr="00756441">
        <w:t xml:space="preserve"> fraude. Se </w:t>
      </w:r>
      <w:r w:rsidR="00581E36" w:rsidRPr="00756441">
        <w:rPr>
          <w:u w:val="single"/>
        </w:rPr>
        <w:t>recomendó</w:t>
      </w:r>
      <w:r w:rsidR="00581E36" w:rsidRPr="00756441">
        <w:t xml:space="preserve"> aplicar un sistema</w:t>
      </w:r>
      <w:r w:rsidR="00C17701" w:rsidRPr="00756441">
        <w:t xml:space="preserve"> </w:t>
      </w:r>
      <w:r w:rsidR="00581E36" w:rsidRPr="00756441">
        <w:t>de</w:t>
      </w:r>
      <w:r w:rsidR="00C17701" w:rsidRPr="00756441">
        <w:t xml:space="preserve"> rotación de tareas</w:t>
      </w:r>
      <w:r w:rsidR="00581E36" w:rsidRPr="00756441">
        <w:t>,</w:t>
      </w:r>
      <w:r w:rsidR="00C17701" w:rsidRPr="00756441">
        <w:t xml:space="preserve"> </w:t>
      </w:r>
      <w:r w:rsidR="00C17701" w:rsidRPr="00756441">
        <w:lastRenderedPageBreak/>
        <w:t xml:space="preserve">para evitar que </w:t>
      </w:r>
      <w:r w:rsidR="00DA5E29" w:rsidRPr="00756441">
        <w:t>uno de los miembros del personal</w:t>
      </w:r>
      <w:r w:rsidR="00C17701" w:rsidRPr="00756441">
        <w:t xml:space="preserve"> </w:t>
      </w:r>
      <w:r w:rsidR="00581E36" w:rsidRPr="00756441">
        <w:t>ejer</w:t>
      </w:r>
      <w:r w:rsidR="00DA5E29" w:rsidRPr="00756441">
        <w:t>cier</w:t>
      </w:r>
      <w:r w:rsidR="00581E36" w:rsidRPr="00756441">
        <w:t>a un</w:t>
      </w:r>
      <w:r w:rsidR="00C17701" w:rsidRPr="00756441">
        <w:t xml:space="preserve"> control total sobre una función, </w:t>
      </w:r>
      <w:r w:rsidR="00581E36" w:rsidRPr="00756441">
        <w:t>y organizar</w:t>
      </w:r>
      <w:r w:rsidR="00DA5E29" w:rsidRPr="00756441">
        <w:t xml:space="preserve"> actividades </w:t>
      </w:r>
      <w:r w:rsidR="00EC0CA3" w:rsidRPr="00756441">
        <w:t>periódica</w:t>
      </w:r>
      <w:r w:rsidR="00DA5E29" w:rsidRPr="00756441">
        <w:t>s de formación e intercambio de conocimientos a efectos de la</w:t>
      </w:r>
      <w:r w:rsidR="00EC0CA3" w:rsidRPr="00756441">
        <w:t xml:space="preserve"> sensibilización contra el fraude para </w:t>
      </w:r>
      <w:r w:rsidR="00C17701" w:rsidRPr="00756441">
        <w:t>el personal de HRMD que particip</w:t>
      </w:r>
      <w:r w:rsidR="00EC0CA3" w:rsidRPr="00756441">
        <w:t>a</w:t>
      </w:r>
      <w:r w:rsidR="00C17701" w:rsidRPr="00756441">
        <w:t xml:space="preserve"> en </w:t>
      </w:r>
      <w:r w:rsidR="00EC0CA3" w:rsidRPr="00756441">
        <w:t xml:space="preserve">la tramitación de </w:t>
      </w:r>
      <w:r w:rsidR="00DA5E29" w:rsidRPr="00756441">
        <w:t>las prestacione</w:t>
      </w:r>
      <w:r w:rsidR="00EC0CA3" w:rsidRPr="00756441">
        <w:t>s</w:t>
      </w:r>
      <w:r w:rsidRPr="00756441">
        <w:t>.</w:t>
      </w:r>
    </w:p>
    <w:p w14:paraId="3B088584" w14:textId="4B791CC2" w:rsidR="003C4D1C" w:rsidRPr="00756441" w:rsidRDefault="003C4D1C" w:rsidP="004E59F5">
      <w:pPr>
        <w:pStyle w:val="enumlev1"/>
        <w:rPr>
          <w:rFonts w:asciiTheme="minorHAnsi" w:hAnsiTheme="minorHAnsi" w:cstheme="minorHAnsi"/>
        </w:rPr>
      </w:pPr>
      <w:r w:rsidRPr="00756441">
        <w:rPr>
          <w:iCs/>
        </w:rPr>
        <w:t>d)</w:t>
      </w:r>
      <w:r w:rsidRPr="00756441">
        <w:rPr>
          <w:i/>
          <w:iCs/>
        </w:rPr>
        <w:tab/>
      </w:r>
      <w:r w:rsidR="00EC0CA3" w:rsidRPr="00756441">
        <w:rPr>
          <w:sz w:val="22"/>
          <w:szCs w:val="22"/>
        </w:rPr>
        <w:t>L</w:t>
      </w:r>
      <w:r w:rsidR="00C17701" w:rsidRPr="00756441">
        <w:t>as tareas de comprobación</w:t>
      </w:r>
      <w:r w:rsidR="00EC0CA3" w:rsidRPr="00756441">
        <w:t xml:space="preserve">/tramitación de </w:t>
      </w:r>
      <w:r w:rsidR="00DA5E29" w:rsidRPr="00756441">
        <w:t>las prestaciones</w:t>
      </w:r>
      <w:r w:rsidR="00C17701" w:rsidRPr="00756441">
        <w:t xml:space="preserve"> </w:t>
      </w:r>
      <w:r w:rsidR="00EC0CA3" w:rsidRPr="00756441">
        <w:t xml:space="preserve">y de los criterios de concesión de </w:t>
      </w:r>
      <w:proofErr w:type="gramStart"/>
      <w:r w:rsidR="00EC0CA3" w:rsidRPr="00756441">
        <w:t>l</w:t>
      </w:r>
      <w:r w:rsidR="00DA5E29" w:rsidRPr="00756441">
        <w:t>a</w:t>
      </w:r>
      <w:r w:rsidR="00EC0CA3" w:rsidRPr="00756441">
        <w:t>s mism</w:t>
      </w:r>
      <w:r w:rsidR="00DA5E29" w:rsidRPr="00756441">
        <w:t>a</w:t>
      </w:r>
      <w:r w:rsidR="00EC0CA3" w:rsidRPr="00756441">
        <w:t>s</w:t>
      </w:r>
      <w:proofErr w:type="gramEnd"/>
      <w:r w:rsidR="00EC0CA3" w:rsidRPr="00756441">
        <w:t xml:space="preserve"> no se están llevando a cabo según procede, </w:t>
      </w:r>
      <w:r w:rsidR="00C17701" w:rsidRPr="00756441">
        <w:t>lo que</w:t>
      </w:r>
      <w:r w:rsidR="00EC0CA3" w:rsidRPr="00756441">
        <w:t xml:space="preserve"> merma la eficacia y la adecuación de los </w:t>
      </w:r>
      <w:r w:rsidR="00C17701" w:rsidRPr="00756441">
        <w:t xml:space="preserve">controles internos. Se </w:t>
      </w:r>
      <w:r w:rsidR="00C17701" w:rsidRPr="00756441">
        <w:rPr>
          <w:u w:val="single"/>
        </w:rPr>
        <w:t>recomendó</w:t>
      </w:r>
      <w:r w:rsidR="00C17701" w:rsidRPr="00756441">
        <w:t xml:space="preserve"> revis</w:t>
      </w:r>
      <w:r w:rsidR="00EC0CA3" w:rsidRPr="00756441">
        <w:t>ar</w:t>
      </w:r>
      <w:r w:rsidR="00C17701" w:rsidRPr="00756441">
        <w:t xml:space="preserve"> </w:t>
      </w:r>
      <w:r w:rsidR="00EC0CA3" w:rsidRPr="00756441">
        <w:t xml:space="preserve">los subsidios de educación </w:t>
      </w:r>
      <w:r w:rsidR="00DD5438" w:rsidRPr="00756441">
        <w:t>concedid</w:t>
      </w:r>
      <w:r w:rsidR="00EC0CA3" w:rsidRPr="00756441">
        <w:t>o</w:t>
      </w:r>
      <w:r w:rsidR="00DD5438" w:rsidRPr="00756441">
        <w:t xml:space="preserve">s </w:t>
      </w:r>
      <w:r w:rsidR="00EC0CA3" w:rsidRPr="00756441">
        <w:t>durante</w:t>
      </w:r>
      <w:r w:rsidR="00DD5438" w:rsidRPr="00756441">
        <w:t xml:space="preserve"> los últimos 5-10 años (antes de los cambios introducidos en 2017) y</w:t>
      </w:r>
      <w:r w:rsidR="00EC0CA3" w:rsidRPr="00756441">
        <w:t xml:space="preserve"> considerar la posibilidad de rectificar</w:t>
      </w:r>
      <w:r w:rsidR="00DD5438" w:rsidRPr="00756441">
        <w:t xml:space="preserve"> </w:t>
      </w:r>
      <w:r w:rsidR="00EC0CA3" w:rsidRPr="00756441">
        <w:t xml:space="preserve">cualquier otro error distinto de los detectados en el curso de la inspección </w:t>
      </w:r>
      <w:r w:rsidR="00DD5438" w:rsidRPr="00756441">
        <w:t>en lo que concierne a los gastos admisibles</w:t>
      </w:r>
      <w:r w:rsidRPr="00756441">
        <w:t>.</w:t>
      </w:r>
      <w:r w:rsidR="00DD5438" w:rsidRPr="00756441">
        <w:t xml:space="preserve"> Además, se </w:t>
      </w:r>
      <w:r w:rsidR="00DD5438" w:rsidRPr="00756441">
        <w:rPr>
          <w:u w:val="single"/>
        </w:rPr>
        <w:t>recomendó</w:t>
      </w:r>
      <w:r w:rsidR="00DD5438" w:rsidRPr="00756441">
        <w:t xml:space="preserve"> que las </w:t>
      </w:r>
      <w:r w:rsidR="00474798" w:rsidRPr="00756441">
        <w:t>prestaciones por persona a cargo</w:t>
      </w:r>
      <w:r w:rsidR="00DD5438" w:rsidRPr="00756441">
        <w:t xml:space="preserve"> se</w:t>
      </w:r>
      <w:r w:rsidR="00B605CB" w:rsidRPr="00756441">
        <w:t xml:space="preserve"> </w:t>
      </w:r>
      <w:r w:rsidR="00DA5E29" w:rsidRPr="00756441">
        <w:t>solicitasen</w:t>
      </w:r>
      <w:r w:rsidR="00B605CB" w:rsidRPr="00756441">
        <w:t xml:space="preserve"> </w:t>
      </w:r>
      <w:r w:rsidR="00DD5438" w:rsidRPr="00756441">
        <w:t>con</w:t>
      </w:r>
      <w:r w:rsidR="00B605CB" w:rsidRPr="00756441">
        <w:t xml:space="preserve"> una</w:t>
      </w:r>
      <w:r w:rsidR="00DD5438" w:rsidRPr="00756441">
        <w:t xml:space="preserve"> periodicidad anual (o con mayor </w:t>
      </w:r>
      <w:r w:rsidR="00B605CB" w:rsidRPr="00756441">
        <w:t>frecuencia</w:t>
      </w:r>
      <w:r w:rsidR="00DD5438" w:rsidRPr="00756441">
        <w:t xml:space="preserve">, en caso necesario) y de forma </w:t>
      </w:r>
      <w:r w:rsidR="00B605CB" w:rsidRPr="00756441">
        <w:t>coherente</w:t>
      </w:r>
      <w:r w:rsidR="00DD5438" w:rsidRPr="00756441">
        <w:t xml:space="preserve">, y que los pagos de </w:t>
      </w:r>
      <w:r w:rsidR="00B605CB" w:rsidRPr="00756441">
        <w:t>estas prestaciones se efectuasen</w:t>
      </w:r>
      <w:r w:rsidR="00DD5438" w:rsidRPr="00756441">
        <w:t xml:space="preserve"> únicamente cuando los miembros del personal </w:t>
      </w:r>
      <w:r w:rsidR="00B605CB" w:rsidRPr="00756441">
        <w:t>hubiesen</w:t>
      </w:r>
      <w:r w:rsidR="00DD5438" w:rsidRPr="00756441">
        <w:t xml:space="preserve"> aportado información confirmada, justificada y actualizada. Finalmente, se </w:t>
      </w:r>
      <w:r w:rsidR="00DD5438" w:rsidRPr="00756441">
        <w:rPr>
          <w:u w:val="single"/>
        </w:rPr>
        <w:t>recomendó</w:t>
      </w:r>
      <w:r w:rsidR="00DD5438" w:rsidRPr="00756441">
        <w:t xml:space="preserve"> aplica</w:t>
      </w:r>
      <w:r w:rsidR="00B605CB" w:rsidRPr="00756441">
        <w:t xml:space="preserve">r </w:t>
      </w:r>
      <w:r w:rsidR="00DF61F9" w:rsidRPr="00756441">
        <w:t>un</w:t>
      </w:r>
      <w:r w:rsidR="00DD5438" w:rsidRPr="00756441">
        <w:t xml:space="preserve"> requisito </w:t>
      </w:r>
      <w:r w:rsidR="00DF61F9" w:rsidRPr="00756441">
        <w:t xml:space="preserve">en virtud del cual </w:t>
      </w:r>
      <w:r w:rsidR="00DD5438" w:rsidRPr="00756441">
        <w:t xml:space="preserve">todos los documentos </w:t>
      </w:r>
      <w:r w:rsidR="00DF61F9" w:rsidRPr="00756441">
        <w:t>justificativos</w:t>
      </w:r>
      <w:r w:rsidR="00DD5438" w:rsidRPr="00756441">
        <w:t>, l</w:t>
      </w:r>
      <w:r w:rsidR="00DF61F9" w:rsidRPr="00756441">
        <w:t>a</w:t>
      </w:r>
      <w:r w:rsidR="00DD5438" w:rsidRPr="00756441">
        <w:t xml:space="preserve">s </w:t>
      </w:r>
      <w:r w:rsidR="00DF61F9" w:rsidRPr="00756441">
        <w:t>hojas</w:t>
      </w:r>
      <w:r w:rsidR="00DD5438" w:rsidRPr="00756441">
        <w:t xml:space="preserve"> de trabajo de cálculo y cualquier otra documentación utilizada por HRMD para </w:t>
      </w:r>
      <w:r w:rsidR="00DF61F9" w:rsidRPr="00756441">
        <w:t xml:space="preserve">confirmar la admisibilidad </w:t>
      </w:r>
      <w:r w:rsidR="00DD5438" w:rsidRPr="00756441">
        <w:t xml:space="preserve">y los importes </w:t>
      </w:r>
      <w:r w:rsidR="00DF61F9" w:rsidRPr="00756441">
        <w:t>de las prestaciones se conservasen en un sistema de archivo completo y accesible.</w:t>
      </w:r>
    </w:p>
    <w:p w14:paraId="3BF184E5" w14:textId="504E01C5" w:rsidR="00206BC7" w:rsidRPr="00756441" w:rsidRDefault="00206BC7" w:rsidP="00932C9C">
      <w:pPr>
        <w:rPr>
          <w:rFonts w:cstheme="minorHAnsi"/>
        </w:rPr>
      </w:pPr>
      <w:r w:rsidRPr="00756441">
        <w:t>10</w:t>
      </w:r>
      <w:r w:rsidRPr="00756441">
        <w:tab/>
      </w:r>
      <w:proofErr w:type="gramStart"/>
      <w:r w:rsidR="00DD5438" w:rsidRPr="00756441">
        <w:t>La</w:t>
      </w:r>
      <w:proofErr w:type="gramEnd"/>
      <w:r w:rsidR="00DD5438" w:rsidRPr="00756441">
        <w:t xml:space="preserve"> dirección de HRMD estuvo de acuerdo con muchas de las recomendaciones, si bien mostró su desacuerdo con algunas de ellas, </w:t>
      </w:r>
      <w:r w:rsidR="00C06E7E" w:rsidRPr="00756441">
        <w:t>por considerar</w:t>
      </w:r>
      <w:r w:rsidR="00DD5438" w:rsidRPr="00756441">
        <w:t xml:space="preserve"> que </w:t>
      </w:r>
      <w:r w:rsidR="00DF35E6" w:rsidRPr="00756441">
        <w:t>las medidas</w:t>
      </w:r>
      <w:r w:rsidR="00DD5438" w:rsidRPr="00756441">
        <w:t xml:space="preserve"> propuestas ya</w:t>
      </w:r>
      <w:r w:rsidR="00E527FA" w:rsidRPr="00756441">
        <w:t xml:space="preserve"> figuraban entre las </w:t>
      </w:r>
      <w:r w:rsidR="00DD5438" w:rsidRPr="00756441">
        <w:t>prácticas de gestión</w:t>
      </w:r>
      <w:r w:rsidR="00E527FA" w:rsidRPr="00756441">
        <w:t xml:space="preserve"> en curso</w:t>
      </w:r>
      <w:r w:rsidR="00DD5438" w:rsidRPr="00756441">
        <w:t xml:space="preserve">. </w:t>
      </w:r>
      <w:r w:rsidR="00DA5E29" w:rsidRPr="00756441">
        <w:t>Por su parte, l</w:t>
      </w:r>
      <w:r w:rsidR="00DD5438" w:rsidRPr="00756441">
        <w:t xml:space="preserve">a AI no </w:t>
      </w:r>
      <w:r w:rsidR="00C06E7E" w:rsidRPr="00756441">
        <w:t>cree</w:t>
      </w:r>
      <w:r w:rsidR="00DD5438" w:rsidRPr="00756441">
        <w:t xml:space="preserve"> que </w:t>
      </w:r>
      <w:r w:rsidR="00C06E7E" w:rsidRPr="00756441">
        <w:t>dichas</w:t>
      </w:r>
      <w:r w:rsidR="00DD5438" w:rsidRPr="00756441">
        <w:t xml:space="preserve"> prácticas de gestión</w:t>
      </w:r>
      <w:r w:rsidR="00E527FA" w:rsidRPr="00756441">
        <w:t xml:space="preserve"> en curso</w:t>
      </w:r>
      <w:r w:rsidR="00DD5438" w:rsidRPr="00756441">
        <w:t xml:space="preserve"> hayan</w:t>
      </w:r>
      <w:r w:rsidR="00E527FA" w:rsidRPr="00756441">
        <w:t xml:space="preserve"> contribuido a</w:t>
      </w:r>
      <w:r w:rsidR="00DD5438" w:rsidRPr="00756441">
        <w:t xml:space="preserve"> ofrecer garantías al </w:t>
      </w:r>
      <w:proofErr w:type="gramStart"/>
      <w:r w:rsidR="00DD5438" w:rsidRPr="00756441">
        <w:t>Secretario General</w:t>
      </w:r>
      <w:proofErr w:type="gramEnd"/>
      <w:r w:rsidR="00DD5438" w:rsidRPr="00756441">
        <w:t xml:space="preserve"> </w:t>
      </w:r>
      <w:r w:rsidR="00DA5E29" w:rsidRPr="00756441">
        <w:t xml:space="preserve">en cuanto </w:t>
      </w:r>
      <w:r w:rsidR="00E527FA" w:rsidRPr="00756441">
        <w:t>a</w:t>
      </w:r>
      <w:r w:rsidR="00DD5438" w:rsidRPr="00756441">
        <w:t xml:space="preserve"> la gobernanza, la gestión de riesgos y la </w:t>
      </w:r>
      <w:r w:rsidR="00E527FA" w:rsidRPr="00756441">
        <w:t xml:space="preserve">eficacia </w:t>
      </w:r>
      <w:r w:rsidR="00DD5438" w:rsidRPr="00756441">
        <w:t xml:space="preserve">de los controles </w:t>
      </w:r>
      <w:r w:rsidR="00DA5E29" w:rsidRPr="00756441">
        <w:t>aplicables a</w:t>
      </w:r>
      <w:r w:rsidR="00DD5438" w:rsidRPr="00756441">
        <w:t xml:space="preserve"> </w:t>
      </w:r>
      <w:r w:rsidR="00E527FA" w:rsidRPr="00756441">
        <w:t>la tramitación de las prestaciones del personal.</w:t>
      </w:r>
    </w:p>
    <w:p w14:paraId="3B8412F8" w14:textId="3FE371D4" w:rsidR="00206BC7" w:rsidRPr="00756441" w:rsidRDefault="003C4D1C" w:rsidP="006C2512">
      <w:pPr>
        <w:pStyle w:val="Heading1"/>
      </w:pPr>
      <w:r w:rsidRPr="00756441">
        <w:t>B</w:t>
      </w:r>
      <w:r w:rsidRPr="00756441">
        <w:tab/>
      </w:r>
      <w:r w:rsidR="00C6378E" w:rsidRPr="00756441">
        <w:t xml:space="preserve">Auditoría de programas, proyectos y actividades </w:t>
      </w:r>
      <w:r w:rsidR="00597028" w:rsidRPr="00756441">
        <w:t xml:space="preserve">complementarias </w:t>
      </w:r>
      <w:r w:rsidR="00C6378E" w:rsidRPr="00756441">
        <w:t xml:space="preserve">financiados </w:t>
      </w:r>
      <w:r w:rsidR="00597028" w:rsidRPr="00756441">
        <w:t>con cargo a</w:t>
      </w:r>
      <w:r w:rsidR="00C6378E" w:rsidRPr="00756441">
        <w:t xml:space="preserve"> contribuciones v</w:t>
      </w:r>
      <w:r w:rsidR="006C2512" w:rsidRPr="00756441">
        <w:t>oluntarias y fondos fiduciarios</w:t>
      </w:r>
    </w:p>
    <w:p w14:paraId="54D87C66" w14:textId="44217185" w:rsidR="00206BC7" w:rsidRPr="00756441" w:rsidRDefault="00206BC7" w:rsidP="00932C9C">
      <w:pPr>
        <w:rPr>
          <w:rFonts w:cstheme="minorHAnsi"/>
        </w:rPr>
      </w:pPr>
      <w:r w:rsidRPr="00756441">
        <w:t>11</w:t>
      </w:r>
      <w:r w:rsidRPr="00756441">
        <w:rPr>
          <w:rFonts w:cstheme="minorHAnsi"/>
        </w:rPr>
        <w:tab/>
      </w:r>
      <w:proofErr w:type="gramStart"/>
      <w:r w:rsidR="00C6378E" w:rsidRPr="00756441">
        <w:rPr>
          <w:rFonts w:cstheme="minorHAnsi"/>
        </w:rPr>
        <w:t>La</w:t>
      </w:r>
      <w:proofErr w:type="gramEnd"/>
      <w:r w:rsidR="00C6378E" w:rsidRPr="00756441">
        <w:rPr>
          <w:rFonts w:cstheme="minorHAnsi"/>
        </w:rPr>
        <w:t xml:space="preserve"> A</w:t>
      </w:r>
      <w:r w:rsidR="00B042C0" w:rsidRPr="00756441">
        <w:rPr>
          <w:rFonts w:cstheme="minorHAnsi"/>
        </w:rPr>
        <w:t>I</w:t>
      </w:r>
      <w:r w:rsidR="00C6378E" w:rsidRPr="00756441">
        <w:rPr>
          <w:rFonts w:cstheme="minorHAnsi"/>
        </w:rPr>
        <w:t xml:space="preserve"> realizó una auditoría de</w:t>
      </w:r>
      <w:r w:rsidR="00597028" w:rsidRPr="00756441">
        <w:rPr>
          <w:rFonts w:cstheme="minorHAnsi"/>
        </w:rPr>
        <w:t xml:space="preserve"> los</w:t>
      </w:r>
      <w:r w:rsidR="00C6378E" w:rsidRPr="00756441">
        <w:rPr>
          <w:rFonts w:cstheme="minorHAnsi"/>
        </w:rPr>
        <w:t xml:space="preserve"> programas, proyectos y actividades </w:t>
      </w:r>
      <w:r w:rsidR="00597028" w:rsidRPr="00756441">
        <w:rPr>
          <w:rFonts w:cstheme="minorHAnsi"/>
        </w:rPr>
        <w:t xml:space="preserve">complementarias </w:t>
      </w:r>
      <w:r w:rsidR="00C6378E" w:rsidRPr="00756441">
        <w:rPr>
          <w:rFonts w:cstheme="minorHAnsi"/>
        </w:rPr>
        <w:t xml:space="preserve">financiados </w:t>
      </w:r>
      <w:r w:rsidR="00597028" w:rsidRPr="00756441">
        <w:rPr>
          <w:rFonts w:cstheme="minorHAnsi"/>
        </w:rPr>
        <w:t>con cargo a</w:t>
      </w:r>
      <w:r w:rsidR="00C6378E" w:rsidRPr="00756441">
        <w:rPr>
          <w:rFonts w:cstheme="minorHAnsi"/>
        </w:rPr>
        <w:t xml:space="preserve"> contribuciones voluntarias y fondos fiduciarios</w:t>
      </w:r>
      <w:r w:rsidR="00597028" w:rsidRPr="00756441">
        <w:rPr>
          <w:rFonts w:cstheme="minorHAnsi"/>
        </w:rPr>
        <w:t>,</w:t>
      </w:r>
      <w:r w:rsidR="00C6378E" w:rsidRPr="00756441">
        <w:rPr>
          <w:rFonts w:cstheme="minorHAnsi"/>
        </w:rPr>
        <w:t xml:space="preserve"> que abarcó el período </w:t>
      </w:r>
      <w:r w:rsidR="00597028" w:rsidRPr="00756441">
        <w:rPr>
          <w:rFonts w:cstheme="minorHAnsi"/>
        </w:rPr>
        <w:t>comprendido entre</w:t>
      </w:r>
      <w:r w:rsidR="00C6378E" w:rsidRPr="00756441">
        <w:rPr>
          <w:rFonts w:cstheme="minorHAnsi"/>
        </w:rPr>
        <w:t xml:space="preserve"> enero de 2016 </w:t>
      </w:r>
      <w:r w:rsidR="00597028" w:rsidRPr="00756441">
        <w:rPr>
          <w:rFonts w:cstheme="minorHAnsi"/>
        </w:rPr>
        <w:t>y</w:t>
      </w:r>
      <w:r w:rsidR="00C6378E" w:rsidRPr="00756441">
        <w:rPr>
          <w:rFonts w:cstheme="minorHAnsi"/>
        </w:rPr>
        <w:t xml:space="preserve"> diciembre de 2020. </w:t>
      </w:r>
      <w:r w:rsidR="00597028" w:rsidRPr="00756441">
        <w:rPr>
          <w:rFonts w:cstheme="minorHAnsi"/>
        </w:rPr>
        <w:t>Quedaron fuera de</w:t>
      </w:r>
      <w:r w:rsidR="00C6378E" w:rsidRPr="00756441">
        <w:rPr>
          <w:rFonts w:cstheme="minorHAnsi"/>
        </w:rPr>
        <w:t>l alcance de la auditoría</w:t>
      </w:r>
      <w:r w:rsidR="00597028" w:rsidRPr="00756441">
        <w:rPr>
          <w:rFonts w:cstheme="minorHAnsi"/>
        </w:rPr>
        <w:t xml:space="preserve"> </w:t>
      </w:r>
      <w:r w:rsidR="00C6378E" w:rsidRPr="00756441">
        <w:rPr>
          <w:rFonts w:cstheme="minorHAnsi"/>
        </w:rPr>
        <w:t xml:space="preserve">los proyectos de la BDT (que ya se auditaron en 2019/2020) </w:t>
      </w:r>
      <w:r w:rsidR="00597028" w:rsidRPr="00756441">
        <w:rPr>
          <w:rFonts w:cstheme="minorHAnsi"/>
        </w:rPr>
        <w:t>y los eventos</w:t>
      </w:r>
      <w:r w:rsidR="004D434B" w:rsidRPr="00756441">
        <w:rPr>
          <w:rFonts w:cstheme="minorHAnsi"/>
        </w:rPr>
        <w:t xml:space="preserve"> ITU Telecom </w:t>
      </w:r>
      <w:proofErr w:type="spellStart"/>
      <w:r w:rsidR="004D434B" w:rsidRPr="00756441">
        <w:rPr>
          <w:rFonts w:cstheme="minorHAnsi"/>
        </w:rPr>
        <w:t>World</w:t>
      </w:r>
      <w:proofErr w:type="spellEnd"/>
      <w:r w:rsidRPr="00756441">
        <w:t>.</w:t>
      </w:r>
    </w:p>
    <w:p w14:paraId="74C8A4B7" w14:textId="3CC7AD7C" w:rsidR="000D7F8C" w:rsidRPr="00756441" w:rsidRDefault="000D7F8C" w:rsidP="00932C9C">
      <w:r w:rsidRPr="00756441">
        <w:t>12</w:t>
      </w:r>
      <w:r w:rsidRPr="00756441">
        <w:tab/>
      </w:r>
      <w:proofErr w:type="gramStart"/>
      <w:r w:rsidRPr="00756441">
        <w:t>La</w:t>
      </w:r>
      <w:proofErr w:type="gramEnd"/>
      <w:r w:rsidRPr="00756441">
        <w:t xml:space="preserve"> </w:t>
      </w:r>
      <w:r w:rsidR="00C6378E" w:rsidRPr="00756441">
        <w:t>AI</w:t>
      </w:r>
      <w:r w:rsidRPr="00756441">
        <w:t xml:space="preserve"> llegó a </w:t>
      </w:r>
      <w:r w:rsidR="00597028" w:rsidRPr="00756441">
        <w:t xml:space="preserve">una serie de </w:t>
      </w:r>
      <w:r w:rsidRPr="00756441">
        <w:t>conclusiones críticas (</w:t>
      </w:r>
      <w:r w:rsidR="00597028" w:rsidRPr="00756441">
        <w:t xml:space="preserve">véase el apartado </w:t>
      </w:r>
      <w:r w:rsidRPr="00756441">
        <w:t>a)</w:t>
      </w:r>
      <w:r w:rsidR="004D434B" w:rsidRPr="00756441">
        <w:t>,</w:t>
      </w:r>
      <w:r w:rsidRPr="00756441">
        <w:t xml:space="preserve"> </w:t>
      </w:r>
      <w:r w:rsidR="00597028" w:rsidRPr="00756441">
        <w:rPr>
          <w:i/>
          <w:iCs/>
        </w:rPr>
        <w:t>infra</w:t>
      </w:r>
      <w:r w:rsidR="00597028" w:rsidRPr="00756441">
        <w:t>)</w:t>
      </w:r>
      <w:r w:rsidRPr="00756441">
        <w:t xml:space="preserve"> y de alta prioridad (</w:t>
      </w:r>
      <w:r w:rsidR="00597028" w:rsidRPr="00756441">
        <w:t xml:space="preserve">véase el apartado b), </w:t>
      </w:r>
      <w:r w:rsidR="00597028" w:rsidRPr="00756441">
        <w:rPr>
          <w:i/>
          <w:iCs/>
        </w:rPr>
        <w:t>infra</w:t>
      </w:r>
      <w:r w:rsidRPr="00756441">
        <w:t xml:space="preserve">) en relación con diversas cuestiones, a saber: </w:t>
      </w:r>
    </w:p>
    <w:p w14:paraId="11DA42F3" w14:textId="4F745AB3" w:rsidR="003C4D1C" w:rsidRPr="00756441" w:rsidRDefault="007F09F7" w:rsidP="004E59F5">
      <w:pPr>
        <w:pStyle w:val="enumlev1"/>
      </w:pPr>
      <w:r w:rsidRPr="00756441">
        <w:rPr>
          <w:iCs/>
        </w:rPr>
        <w:t>a)</w:t>
      </w:r>
      <w:r w:rsidRPr="00756441">
        <w:tab/>
      </w:r>
      <w:r w:rsidR="004D434B" w:rsidRPr="00756441">
        <w:t>Si bien es importante contar con la participación de nuevos donantes y asociados que contribuyan al cumplimiento de los objetivos de</w:t>
      </w:r>
      <w:r w:rsidR="00B042C0" w:rsidRPr="00756441">
        <w:t xml:space="preserve"> los</w:t>
      </w:r>
      <w:r w:rsidR="004D434B" w:rsidRPr="00756441">
        <w:t xml:space="preserve"> programas, proyectos y actividades </w:t>
      </w:r>
      <w:r w:rsidR="0032577E" w:rsidRPr="00756441">
        <w:t>com</w:t>
      </w:r>
      <w:r w:rsidR="004D434B" w:rsidRPr="00756441">
        <w:t xml:space="preserve">plementarias, existe el riesgo de que la UIT </w:t>
      </w:r>
      <w:r w:rsidR="0032577E" w:rsidRPr="00756441">
        <w:t>se vea</w:t>
      </w:r>
      <w:r w:rsidR="004D434B" w:rsidRPr="00756441">
        <w:t xml:space="preserve"> expuesta a nuevos donantes del sector privado cuyos intereses podrían </w:t>
      </w:r>
      <w:r w:rsidR="0032577E" w:rsidRPr="00756441">
        <w:t>discrepar de los que defiende la Unión</w:t>
      </w:r>
      <w:r w:rsidR="004D434B" w:rsidRPr="00756441">
        <w:t xml:space="preserve">. Por tanto, es esencial que se realicen y documenten las comprobaciones de diligencia debida </w:t>
      </w:r>
      <w:r w:rsidR="0032577E" w:rsidRPr="00756441">
        <w:t xml:space="preserve">correspondientes </w:t>
      </w:r>
      <w:r w:rsidR="004D434B" w:rsidRPr="00756441">
        <w:t xml:space="preserve">antes de aceptar cualquier contribución de </w:t>
      </w:r>
      <w:r w:rsidR="0032577E" w:rsidRPr="00756441">
        <w:t xml:space="preserve">un </w:t>
      </w:r>
      <w:r w:rsidR="004D434B" w:rsidRPr="00756441">
        <w:t xml:space="preserve">nuevo donante. Por ese motivo, se </w:t>
      </w:r>
      <w:r w:rsidR="004D434B" w:rsidRPr="00756441">
        <w:rPr>
          <w:u w:val="single"/>
        </w:rPr>
        <w:t>recomendó</w:t>
      </w:r>
      <w:r w:rsidR="004D434B" w:rsidRPr="00756441">
        <w:t xml:space="preserve"> coordin</w:t>
      </w:r>
      <w:r w:rsidR="0032577E" w:rsidRPr="00756441">
        <w:t>ar</w:t>
      </w:r>
      <w:r w:rsidR="004D434B" w:rsidRPr="00756441">
        <w:t xml:space="preserve"> las labores </w:t>
      </w:r>
      <w:r w:rsidR="00F77CA8" w:rsidRPr="00756441">
        <w:t xml:space="preserve">formarles </w:t>
      </w:r>
      <w:r w:rsidR="004D434B" w:rsidRPr="00756441">
        <w:t xml:space="preserve">en materia de diligencia debida para nuevos donantes o asociados entre </w:t>
      </w:r>
      <w:r w:rsidR="00B042C0" w:rsidRPr="00756441">
        <w:t>el personal directivo competente</w:t>
      </w:r>
      <w:r w:rsidR="004D434B" w:rsidRPr="00756441">
        <w:t>.</w:t>
      </w:r>
      <w:r w:rsidR="00B042C0" w:rsidRPr="00756441">
        <w:t xml:space="preserve"> </w:t>
      </w:r>
      <w:r w:rsidR="004D434B" w:rsidRPr="00756441">
        <w:t xml:space="preserve">La dirección del Departamento de Planificación Estratégica y Relaciones con los Miembros </w:t>
      </w:r>
      <w:r w:rsidR="00F77CA8" w:rsidRPr="00756441">
        <w:t>declaró</w:t>
      </w:r>
      <w:r w:rsidR="004D434B" w:rsidRPr="00756441">
        <w:t xml:space="preserve"> </w:t>
      </w:r>
      <w:r w:rsidR="004D434B" w:rsidRPr="00756441">
        <w:lastRenderedPageBreak/>
        <w:t xml:space="preserve">específicamente que podría asumir una función de coordinación </w:t>
      </w:r>
      <w:r w:rsidR="00C06E7E" w:rsidRPr="00756441">
        <w:t>a ese respecto</w:t>
      </w:r>
      <w:r w:rsidR="004D434B" w:rsidRPr="00756441">
        <w:t xml:space="preserve"> a escala de la UIT y que ya ha</w:t>
      </w:r>
      <w:r w:rsidR="00F77CA8" w:rsidRPr="00756441">
        <w:t>bía</w:t>
      </w:r>
      <w:r w:rsidR="004D434B" w:rsidRPr="00756441">
        <w:t xml:space="preserve"> empezado a trabajar en ello.</w:t>
      </w:r>
    </w:p>
    <w:p w14:paraId="4C186639" w14:textId="6D2A5D8B" w:rsidR="007F09F7" w:rsidRPr="00756441" w:rsidRDefault="007F09F7" w:rsidP="004E59F5">
      <w:pPr>
        <w:pStyle w:val="enumlev1"/>
      </w:pPr>
      <w:r w:rsidRPr="00756441">
        <w:rPr>
          <w:iCs/>
          <w:szCs w:val="24"/>
        </w:rPr>
        <w:t>b)</w:t>
      </w:r>
      <w:r w:rsidRPr="00756441">
        <w:rPr>
          <w:szCs w:val="24"/>
        </w:rPr>
        <w:tab/>
      </w:r>
      <w:r w:rsidR="004D434B" w:rsidRPr="00756441">
        <w:rPr>
          <w:szCs w:val="24"/>
        </w:rPr>
        <w:t xml:space="preserve">En lo que </w:t>
      </w:r>
      <w:r w:rsidR="00C06E7E" w:rsidRPr="00756441">
        <w:rPr>
          <w:szCs w:val="24"/>
        </w:rPr>
        <w:t>atañe</w:t>
      </w:r>
      <w:r w:rsidR="004D434B" w:rsidRPr="00756441">
        <w:rPr>
          <w:szCs w:val="24"/>
        </w:rPr>
        <w:t xml:space="preserve"> a la distinción entre </w:t>
      </w:r>
      <w:r w:rsidR="00932C9C" w:rsidRPr="00756441">
        <w:rPr>
          <w:szCs w:val="24"/>
        </w:rPr>
        <w:t>"</w:t>
      </w:r>
      <w:r w:rsidR="004D434B" w:rsidRPr="00756441">
        <w:rPr>
          <w:szCs w:val="24"/>
        </w:rPr>
        <w:t>contribuciones voluntarias</w:t>
      </w:r>
      <w:r w:rsidR="00932C9C" w:rsidRPr="00756441">
        <w:rPr>
          <w:szCs w:val="24"/>
        </w:rPr>
        <w:t>"</w:t>
      </w:r>
      <w:r w:rsidR="004D434B" w:rsidRPr="00756441">
        <w:rPr>
          <w:szCs w:val="24"/>
        </w:rPr>
        <w:t xml:space="preserve"> y </w:t>
      </w:r>
      <w:r w:rsidR="00932C9C" w:rsidRPr="00756441">
        <w:rPr>
          <w:szCs w:val="24"/>
        </w:rPr>
        <w:t>"</w:t>
      </w:r>
      <w:r w:rsidR="004D434B" w:rsidRPr="00756441">
        <w:rPr>
          <w:szCs w:val="24"/>
        </w:rPr>
        <w:t>fondos fiduciarios</w:t>
      </w:r>
      <w:r w:rsidR="00932C9C" w:rsidRPr="00756441">
        <w:rPr>
          <w:szCs w:val="24"/>
        </w:rPr>
        <w:t>"</w:t>
      </w:r>
      <w:r w:rsidR="004D434B" w:rsidRPr="00756441">
        <w:rPr>
          <w:szCs w:val="24"/>
        </w:rPr>
        <w:t xml:space="preserve"> y a la definición de las actividades, las contribuciones voluntarias y los fondos fiduciarios se han utilizado con distintos fines, desde la financiación del presupuesto </w:t>
      </w:r>
      <w:r w:rsidR="00C94D2B" w:rsidRPr="00756441">
        <w:rPr>
          <w:szCs w:val="24"/>
        </w:rPr>
        <w:t>ordinario</w:t>
      </w:r>
      <w:r w:rsidR="004D434B" w:rsidRPr="00756441">
        <w:rPr>
          <w:szCs w:val="24"/>
        </w:rPr>
        <w:t xml:space="preserve"> y las actividades </w:t>
      </w:r>
      <w:r w:rsidR="00B042C0" w:rsidRPr="00756441">
        <w:rPr>
          <w:szCs w:val="24"/>
        </w:rPr>
        <w:t>extra</w:t>
      </w:r>
      <w:r w:rsidR="004D434B" w:rsidRPr="00756441">
        <w:rPr>
          <w:szCs w:val="24"/>
        </w:rPr>
        <w:t>presupuestarias</w:t>
      </w:r>
      <w:r w:rsidR="00C94D2B" w:rsidRPr="00756441">
        <w:rPr>
          <w:szCs w:val="24"/>
        </w:rPr>
        <w:t>,</w:t>
      </w:r>
      <w:r w:rsidR="004D434B" w:rsidRPr="00756441">
        <w:rPr>
          <w:szCs w:val="24"/>
        </w:rPr>
        <w:t xml:space="preserve"> hasta como un mecanismo de contabilidad flexible para el uso de </w:t>
      </w:r>
      <w:r w:rsidR="00AF5DC7" w:rsidRPr="00756441">
        <w:rPr>
          <w:szCs w:val="24"/>
        </w:rPr>
        <w:t xml:space="preserve">fondos </w:t>
      </w:r>
      <w:r w:rsidR="00C94D2B" w:rsidRPr="00756441">
        <w:rPr>
          <w:szCs w:val="24"/>
        </w:rPr>
        <w:t xml:space="preserve">con </w:t>
      </w:r>
      <w:r w:rsidR="00AF5DC7" w:rsidRPr="00756441">
        <w:rPr>
          <w:szCs w:val="24"/>
        </w:rPr>
        <w:t>independen</w:t>
      </w:r>
      <w:r w:rsidR="00C94D2B" w:rsidRPr="00756441">
        <w:rPr>
          <w:szCs w:val="24"/>
        </w:rPr>
        <w:t>cia</w:t>
      </w:r>
      <w:r w:rsidR="00AF5DC7" w:rsidRPr="00756441">
        <w:rPr>
          <w:szCs w:val="24"/>
        </w:rPr>
        <w:t xml:space="preserve"> de los objetivos de</w:t>
      </w:r>
      <w:r w:rsidR="00B042C0" w:rsidRPr="00756441">
        <w:rPr>
          <w:szCs w:val="24"/>
        </w:rPr>
        <w:t xml:space="preserve"> </w:t>
      </w:r>
      <w:r w:rsidR="00AF5DC7" w:rsidRPr="00756441">
        <w:rPr>
          <w:szCs w:val="24"/>
        </w:rPr>
        <w:t>l</w:t>
      </w:r>
      <w:r w:rsidR="00B042C0" w:rsidRPr="00756441">
        <w:rPr>
          <w:szCs w:val="24"/>
        </w:rPr>
        <w:t>os</w:t>
      </w:r>
      <w:r w:rsidR="00AF5DC7" w:rsidRPr="00756441">
        <w:rPr>
          <w:szCs w:val="24"/>
        </w:rPr>
        <w:t xml:space="preserve"> programa</w:t>
      </w:r>
      <w:r w:rsidR="00B042C0" w:rsidRPr="00756441">
        <w:rPr>
          <w:szCs w:val="24"/>
        </w:rPr>
        <w:t>s</w:t>
      </w:r>
      <w:r w:rsidR="00AF5DC7" w:rsidRPr="00756441">
        <w:rPr>
          <w:szCs w:val="24"/>
        </w:rPr>
        <w:t>, las actividades o l</w:t>
      </w:r>
      <w:r w:rsidR="00C94D2B" w:rsidRPr="00756441">
        <w:rPr>
          <w:szCs w:val="24"/>
        </w:rPr>
        <w:t>as partidas presupuestarias atribuidas</w:t>
      </w:r>
      <w:r w:rsidRPr="00756441">
        <w:rPr>
          <w:szCs w:val="24"/>
        </w:rPr>
        <w:t>.</w:t>
      </w:r>
      <w:r w:rsidR="00AF5DC7" w:rsidRPr="00756441">
        <w:rPr>
          <w:szCs w:val="24"/>
        </w:rPr>
        <w:t xml:space="preserve"> Además, la definición y la comprensión de las funciones y responsabilidades </w:t>
      </w:r>
      <w:r w:rsidR="00B042C0" w:rsidRPr="00756441">
        <w:rPr>
          <w:szCs w:val="24"/>
        </w:rPr>
        <w:t>es ambigua</w:t>
      </w:r>
      <w:r w:rsidR="00AF5DC7" w:rsidRPr="00756441">
        <w:rPr>
          <w:szCs w:val="24"/>
        </w:rPr>
        <w:t xml:space="preserve"> y la falta de </w:t>
      </w:r>
      <w:r w:rsidR="00C94D2B" w:rsidRPr="00756441">
        <w:rPr>
          <w:szCs w:val="24"/>
        </w:rPr>
        <w:t xml:space="preserve">una </w:t>
      </w:r>
      <w:r w:rsidR="00AF5DC7" w:rsidRPr="00756441">
        <w:rPr>
          <w:szCs w:val="24"/>
        </w:rPr>
        <w:t>estructura organizativa y de claridad en las funciones y responsabilidades puede impedir que la UIT logre sus objetivos a través de</w:t>
      </w:r>
      <w:r w:rsidR="00C94D2B" w:rsidRPr="00756441">
        <w:rPr>
          <w:szCs w:val="24"/>
        </w:rPr>
        <w:t xml:space="preserve"> los</w:t>
      </w:r>
      <w:r w:rsidR="00AF5DC7" w:rsidRPr="00756441">
        <w:rPr>
          <w:szCs w:val="24"/>
        </w:rPr>
        <w:t xml:space="preserve"> programas, proyectos y actividades </w:t>
      </w:r>
      <w:r w:rsidR="00C94D2B" w:rsidRPr="00756441">
        <w:rPr>
          <w:szCs w:val="24"/>
        </w:rPr>
        <w:t>complementarias</w:t>
      </w:r>
      <w:r w:rsidR="00AF5DC7" w:rsidRPr="00756441">
        <w:rPr>
          <w:szCs w:val="24"/>
        </w:rPr>
        <w:t xml:space="preserve">. Se </w:t>
      </w:r>
      <w:r w:rsidR="00AF5DC7" w:rsidRPr="00756441">
        <w:rPr>
          <w:szCs w:val="24"/>
          <w:u w:val="single"/>
        </w:rPr>
        <w:t>recomendó</w:t>
      </w:r>
      <w:r w:rsidR="00AF5DC7" w:rsidRPr="00756441">
        <w:rPr>
          <w:szCs w:val="24"/>
        </w:rPr>
        <w:t xml:space="preserve"> adop</w:t>
      </w:r>
      <w:r w:rsidR="00C94D2B" w:rsidRPr="00756441">
        <w:rPr>
          <w:szCs w:val="24"/>
        </w:rPr>
        <w:t xml:space="preserve">tar pautas políticas </w:t>
      </w:r>
      <w:r w:rsidR="00AF5DC7" w:rsidRPr="00756441">
        <w:rPr>
          <w:szCs w:val="24"/>
        </w:rPr>
        <w:t>en</w:t>
      </w:r>
      <w:r w:rsidR="00C94D2B" w:rsidRPr="00756441">
        <w:rPr>
          <w:szCs w:val="24"/>
        </w:rPr>
        <w:t xml:space="preserve"> relación con las</w:t>
      </w:r>
      <w:r w:rsidR="00AF5DC7" w:rsidRPr="00756441">
        <w:rPr>
          <w:szCs w:val="24"/>
        </w:rPr>
        <w:t xml:space="preserve"> contribuciones voluntarias y</w:t>
      </w:r>
      <w:r w:rsidR="00C94D2B" w:rsidRPr="00756441">
        <w:rPr>
          <w:szCs w:val="24"/>
        </w:rPr>
        <w:t xml:space="preserve"> los</w:t>
      </w:r>
      <w:r w:rsidR="00AF5DC7" w:rsidRPr="00756441">
        <w:rPr>
          <w:szCs w:val="24"/>
        </w:rPr>
        <w:t xml:space="preserve"> fondos fiduciarios, y </w:t>
      </w:r>
      <w:r w:rsidR="00C94D2B" w:rsidRPr="00756441">
        <w:rPr>
          <w:szCs w:val="24"/>
        </w:rPr>
        <w:t>aclarar</w:t>
      </w:r>
      <w:r w:rsidR="00AF5DC7" w:rsidRPr="00756441">
        <w:rPr>
          <w:szCs w:val="24"/>
        </w:rPr>
        <w:t xml:space="preserve"> las funciones y responsabilidades relacionadas con la dirección y los controles administrativos y operativos.</w:t>
      </w:r>
    </w:p>
    <w:p w14:paraId="33527941" w14:textId="633DA560" w:rsidR="007F09F7" w:rsidRPr="00756441" w:rsidRDefault="00AF5DC7" w:rsidP="00932C9C">
      <w:r w:rsidRPr="00756441">
        <w:t>Cabe</w:t>
      </w:r>
      <w:r w:rsidR="00B042C0" w:rsidRPr="00756441">
        <w:t xml:space="preserve"> asimismo</w:t>
      </w:r>
      <w:r w:rsidRPr="00756441">
        <w:t xml:space="preserve"> destacar que, sin una metodología de proyectos adecuada, existe el riesgo de que no se alcancen los resultados esperados de </w:t>
      </w:r>
      <w:r w:rsidR="00C06E7E" w:rsidRPr="00756441">
        <w:t>los</w:t>
      </w:r>
      <w:r w:rsidRPr="00756441">
        <w:t xml:space="preserve"> proyecto</w:t>
      </w:r>
      <w:r w:rsidR="00C06E7E" w:rsidRPr="00756441">
        <w:t>s</w:t>
      </w:r>
      <w:r w:rsidRPr="00756441">
        <w:t xml:space="preserve">. Además, </w:t>
      </w:r>
      <w:r w:rsidR="00C94D2B" w:rsidRPr="00756441">
        <w:t xml:space="preserve">el hecho de ignorar </w:t>
      </w:r>
      <w:r w:rsidRPr="00756441">
        <w:t xml:space="preserve">las </w:t>
      </w:r>
      <w:r w:rsidR="00C94D2B" w:rsidRPr="00756441">
        <w:t xml:space="preserve">deficiencias en el diseño de un </w:t>
      </w:r>
      <w:r w:rsidRPr="00756441">
        <w:t>proyecto y los</w:t>
      </w:r>
      <w:r w:rsidR="00C94D2B" w:rsidRPr="00756441">
        <w:t xml:space="preserve"> desafíos que pueden plantear ulteriormente su ejecución p</w:t>
      </w:r>
      <w:r w:rsidRPr="00756441">
        <w:t>uede afectar de forma negativa a la consecución de los objetivos del proyecto</w:t>
      </w:r>
      <w:r w:rsidR="00DC1C45" w:rsidRPr="00756441">
        <w:t xml:space="preserve"> en cuestión</w:t>
      </w:r>
      <w:r w:rsidRPr="00756441">
        <w:t xml:space="preserve">. </w:t>
      </w:r>
      <w:r w:rsidR="00C94D2B" w:rsidRPr="00756441">
        <w:t>En ese sentido, s</w:t>
      </w:r>
      <w:r w:rsidRPr="00756441">
        <w:t xml:space="preserve">e </w:t>
      </w:r>
      <w:r w:rsidRPr="00756441">
        <w:rPr>
          <w:u w:val="single"/>
        </w:rPr>
        <w:t>recomendó</w:t>
      </w:r>
      <w:r w:rsidRPr="00756441">
        <w:t xml:space="preserve"> elabora</w:t>
      </w:r>
      <w:r w:rsidR="00C94D2B" w:rsidRPr="00756441">
        <w:t xml:space="preserve">r </w:t>
      </w:r>
      <w:r w:rsidRPr="00756441">
        <w:t>y adop</w:t>
      </w:r>
      <w:r w:rsidR="00C94D2B" w:rsidRPr="00756441">
        <w:t xml:space="preserve">tar una serie de pautas </w:t>
      </w:r>
      <w:r w:rsidRPr="00756441">
        <w:t>adecuadas</w:t>
      </w:r>
      <w:r w:rsidR="00C94D2B" w:rsidRPr="00756441">
        <w:t xml:space="preserve"> en materia </w:t>
      </w:r>
      <w:r w:rsidRPr="00756441">
        <w:t xml:space="preserve">de gestión de proyectos. La AI también </w:t>
      </w:r>
      <w:r w:rsidR="00C94D2B" w:rsidRPr="00756441">
        <w:t>constató</w:t>
      </w:r>
      <w:r w:rsidRPr="00756441">
        <w:t xml:space="preserve"> que, en ocasiones, l</w:t>
      </w:r>
      <w:r w:rsidR="00C94D2B" w:rsidRPr="00756441">
        <w:t>a</w:t>
      </w:r>
      <w:r w:rsidRPr="00756441">
        <w:t xml:space="preserve">s </w:t>
      </w:r>
      <w:r w:rsidR="00C94D2B" w:rsidRPr="00756441">
        <w:t xml:space="preserve">plantillas normalizadas </w:t>
      </w:r>
      <w:r w:rsidRPr="00756441">
        <w:t>para las contribuciones voluntarias, los fondos fiduciarios o los patrocinios</w:t>
      </w:r>
      <w:r w:rsidR="00C94D2B" w:rsidRPr="00756441">
        <w:t xml:space="preserve"> no se utilizaban de forma coherente</w:t>
      </w:r>
      <w:r w:rsidRPr="00756441">
        <w:t>, y que exist</w:t>
      </w:r>
      <w:r w:rsidR="00C94D2B" w:rsidRPr="00756441">
        <w:t>ía</w:t>
      </w:r>
      <w:r w:rsidRPr="00756441">
        <w:t xml:space="preserve"> un riesgo en relación con la selección y la gestión de consultores. En lo que respecta a la evaluación de riesgos de los </w:t>
      </w:r>
      <w:r w:rsidRPr="00756441">
        <w:rPr>
          <w:szCs w:val="24"/>
        </w:rPr>
        <w:t xml:space="preserve">programas, proyectos y actividades </w:t>
      </w:r>
      <w:r w:rsidR="00732C41" w:rsidRPr="00756441">
        <w:rPr>
          <w:szCs w:val="24"/>
        </w:rPr>
        <w:t>complementarias</w:t>
      </w:r>
      <w:r w:rsidRPr="00756441">
        <w:rPr>
          <w:szCs w:val="24"/>
        </w:rPr>
        <w:t xml:space="preserve">, se constata una falta de </w:t>
      </w:r>
      <w:r w:rsidR="00732C41" w:rsidRPr="00756441">
        <w:rPr>
          <w:szCs w:val="24"/>
        </w:rPr>
        <w:t xml:space="preserve">mecanismos de </w:t>
      </w:r>
      <w:r w:rsidRPr="00756441">
        <w:rPr>
          <w:szCs w:val="24"/>
        </w:rPr>
        <w:t xml:space="preserve">identificación, evaluación o </w:t>
      </w:r>
      <w:r w:rsidR="00FD186D" w:rsidRPr="00756441">
        <w:rPr>
          <w:szCs w:val="24"/>
        </w:rPr>
        <w:t xml:space="preserve">supervisión </w:t>
      </w:r>
      <w:r w:rsidR="00FD186D" w:rsidRPr="00756441">
        <w:t>específic</w:t>
      </w:r>
      <w:r w:rsidR="00732C41" w:rsidRPr="00756441">
        <w:t>o</w:t>
      </w:r>
      <w:r w:rsidR="00FD186D" w:rsidRPr="00756441">
        <w:t>s</w:t>
      </w:r>
      <w:r w:rsidRPr="00756441">
        <w:t xml:space="preserve"> o </w:t>
      </w:r>
      <w:r w:rsidR="00932C9C" w:rsidRPr="00756441">
        <w:t>"</w:t>
      </w:r>
      <w:r w:rsidRPr="00756441">
        <w:t xml:space="preserve">en </w:t>
      </w:r>
      <w:r w:rsidR="00732C41" w:rsidRPr="00756441">
        <w:t>tiempo real</w:t>
      </w:r>
      <w:r w:rsidR="00932C9C" w:rsidRPr="00756441">
        <w:t>"</w:t>
      </w:r>
      <w:r w:rsidRPr="00756441">
        <w:t>. En algunos acuerdos de proyectos, las evaluaciones de riesgos</w:t>
      </w:r>
      <w:r w:rsidR="00D014D4" w:rsidRPr="00756441">
        <w:t xml:space="preserve"> parecen revestir un carácter</w:t>
      </w:r>
      <w:r w:rsidRPr="00756441">
        <w:t xml:space="preserve"> genéric</w:t>
      </w:r>
      <w:r w:rsidR="00D014D4" w:rsidRPr="00756441">
        <w:t>o</w:t>
      </w:r>
      <w:r w:rsidRPr="00756441">
        <w:t xml:space="preserve">. La ausencia de un proceso de gestión de riesgos puede tener repercusiones negativas en la aplicación de </w:t>
      </w:r>
      <w:r w:rsidR="00D014D4" w:rsidRPr="00756441">
        <w:t xml:space="preserve">los </w:t>
      </w:r>
      <w:r w:rsidRPr="00756441">
        <w:t xml:space="preserve">programas, proyectos y actividades </w:t>
      </w:r>
      <w:r w:rsidR="00D014D4" w:rsidRPr="00756441">
        <w:t>complementarias</w:t>
      </w:r>
      <w:r w:rsidRPr="00756441">
        <w:t>.</w:t>
      </w:r>
      <w:r w:rsidR="00363039" w:rsidRPr="00756441">
        <w:t xml:space="preserve"> Además, en algunos de </w:t>
      </w:r>
      <w:r w:rsidR="00D014D4" w:rsidRPr="00756441">
        <w:t>los</w:t>
      </w:r>
      <w:r w:rsidR="00363039" w:rsidRPr="00756441">
        <w:t xml:space="preserve"> </w:t>
      </w:r>
      <w:r w:rsidR="00363039" w:rsidRPr="00756441">
        <w:rPr>
          <w:szCs w:val="24"/>
        </w:rPr>
        <w:t xml:space="preserve">programas, proyectos y actividades sujetos a examen, resultó difícil localizar información de fondo y la AI determinó que las herramientas de información y comunicación </w:t>
      </w:r>
      <w:r w:rsidR="00D014D4" w:rsidRPr="00756441">
        <w:rPr>
          <w:szCs w:val="24"/>
        </w:rPr>
        <w:t>relacionadas con los</w:t>
      </w:r>
      <w:r w:rsidR="00363039" w:rsidRPr="00756441">
        <w:rPr>
          <w:szCs w:val="24"/>
        </w:rPr>
        <w:t xml:space="preserve"> programas, proyectos y actividades </w:t>
      </w:r>
      <w:r w:rsidR="00D014D4" w:rsidRPr="00756441">
        <w:rPr>
          <w:szCs w:val="24"/>
        </w:rPr>
        <w:t>complementarias incluidos</w:t>
      </w:r>
      <w:r w:rsidR="00363039" w:rsidRPr="00756441">
        <w:rPr>
          <w:szCs w:val="24"/>
        </w:rPr>
        <w:t xml:space="preserve"> en el alcance de la auditoría eran ineficaces</w:t>
      </w:r>
      <w:r w:rsidR="00D014D4" w:rsidRPr="00756441">
        <w:rPr>
          <w:szCs w:val="24"/>
        </w:rPr>
        <w:t xml:space="preserve"> y no parecían </w:t>
      </w:r>
      <w:r w:rsidR="00363039" w:rsidRPr="00756441">
        <w:rPr>
          <w:szCs w:val="24"/>
        </w:rPr>
        <w:t>contribu</w:t>
      </w:r>
      <w:r w:rsidR="00D014D4" w:rsidRPr="00756441">
        <w:rPr>
          <w:szCs w:val="24"/>
        </w:rPr>
        <w:t xml:space="preserve">ir </w:t>
      </w:r>
      <w:r w:rsidR="00363039" w:rsidRPr="00756441">
        <w:rPr>
          <w:szCs w:val="24"/>
        </w:rPr>
        <w:t xml:space="preserve">plenamente a </w:t>
      </w:r>
      <w:r w:rsidR="00DC1C45" w:rsidRPr="00756441">
        <w:rPr>
          <w:szCs w:val="24"/>
        </w:rPr>
        <w:t>los</w:t>
      </w:r>
      <w:r w:rsidR="00363039" w:rsidRPr="00756441">
        <w:rPr>
          <w:szCs w:val="24"/>
        </w:rPr>
        <w:t xml:space="preserve"> objetivos</w:t>
      </w:r>
      <w:r w:rsidR="00DC1C45" w:rsidRPr="00756441">
        <w:rPr>
          <w:szCs w:val="24"/>
        </w:rPr>
        <w:t xml:space="preserve"> de estos últimos</w:t>
      </w:r>
      <w:r w:rsidR="00363039" w:rsidRPr="00756441">
        <w:rPr>
          <w:szCs w:val="24"/>
        </w:rPr>
        <w:t xml:space="preserve">. Se </w:t>
      </w:r>
      <w:r w:rsidR="00363039" w:rsidRPr="00756441">
        <w:rPr>
          <w:szCs w:val="24"/>
          <w:u w:val="single"/>
        </w:rPr>
        <w:t>recomendó</w:t>
      </w:r>
      <w:r w:rsidR="00363039" w:rsidRPr="00756441">
        <w:rPr>
          <w:szCs w:val="24"/>
        </w:rPr>
        <w:t xml:space="preserve"> </w:t>
      </w:r>
      <w:r w:rsidR="00D014D4" w:rsidRPr="00756441">
        <w:rPr>
          <w:szCs w:val="24"/>
        </w:rPr>
        <w:t>definir y aplicar</w:t>
      </w:r>
      <w:r w:rsidR="00363039" w:rsidRPr="00756441">
        <w:rPr>
          <w:szCs w:val="24"/>
        </w:rPr>
        <w:t xml:space="preserve"> herramientas de documentación y comunicación adecuadas, capaces de </w:t>
      </w:r>
      <w:r w:rsidR="00D014D4" w:rsidRPr="00756441">
        <w:rPr>
          <w:szCs w:val="24"/>
        </w:rPr>
        <w:t>facilitar</w:t>
      </w:r>
      <w:r w:rsidR="00363039" w:rsidRPr="00756441">
        <w:rPr>
          <w:szCs w:val="24"/>
        </w:rPr>
        <w:t xml:space="preserve"> </w:t>
      </w:r>
      <w:r w:rsidR="00D014D4" w:rsidRPr="00756441">
        <w:rPr>
          <w:szCs w:val="24"/>
        </w:rPr>
        <w:t xml:space="preserve">la circulación de la información </w:t>
      </w:r>
      <w:r w:rsidR="00363039" w:rsidRPr="00756441">
        <w:rPr>
          <w:szCs w:val="24"/>
        </w:rPr>
        <w:t xml:space="preserve">y </w:t>
      </w:r>
      <w:r w:rsidR="00D014D4" w:rsidRPr="00756441">
        <w:rPr>
          <w:szCs w:val="24"/>
        </w:rPr>
        <w:t>e</w:t>
      </w:r>
      <w:r w:rsidR="00363039" w:rsidRPr="00756441">
        <w:rPr>
          <w:szCs w:val="24"/>
        </w:rPr>
        <w:t>l acceso a la misma en</w:t>
      </w:r>
      <w:r w:rsidR="00D014D4" w:rsidRPr="00756441">
        <w:rPr>
          <w:szCs w:val="24"/>
        </w:rPr>
        <w:t xml:space="preserve"> el marco de</w:t>
      </w:r>
      <w:r w:rsidR="00363039" w:rsidRPr="00756441">
        <w:rPr>
          <w:szCs w:val="24"/>
        </w:rPr>
        <w:t xml:space="preserve"> los programas, proyectos y actividades </w:t>
      </w:r>
      <w:r w:rsidR="00D014D4" w:rsidRPr="00756441">
        <w:rPr>
          <w:szCs w:val="24"/>
        </w:rPr>
        <w:t>complementarias</w:t>
      </w:r>
      <w:r w:rsidR="00363039" w:rsidRPr="00756441">
        <w:rPr>
          <w:szCs w:val="24"/>
        </w:rPr>
        <w:t xml:space="preserve"> (inclu</w:t>
      </w:r>
      <w:r w:rsidR="00D014D4" w:rsidRPr="00756441">
        <w:rPr>
          <w:szCs w:val="24"/>
        </w:rPr>
        <w:t>ido</w:t>
      </w:r>
      <w:r w:rsidR="00363039" w:rsidRPr="00756441">
        <w:rPr>
          <w:szCs w:val="24"/>
        </w:rPr>
        <w:t xml:space="preserve"> un repositorio </w:t>
      </w:r>
      <w:r w:rsidR="00D014D4" w:rsidRPr="00756441">
        <w:rPr>
          <w:szCs w:val="24"/>
        </w:rPr>
        <w:t>institucional</w:t>
      </w:r>
      <w:r w:rsidR="00363039" w:rsidRPr="00756441">
        <w:rPr>
          <w:szCs w:val="24"/>
        </w:rPr>
        <w:t xml:space="preserve"> central de información y documentos en relación con</w:t>
      </w:r>
      <w:r w:rsidR="00D014D4" w:rsidRPr="00756441">
        <w:rPr>
          <w:szCs w:val="24"/>
        </w:rPr>
        <w:t xml:space="preserve"> los</w:t>
      </w:r>
      <w:r w:rsidR="00363039" w:rsidRPr="00756441">
        <w:rPr>
          <w:szCs w:val="24"/>
        </w:rPr>
        <w:t xml:space="preserve"> programas, proyectos y actividades </w:t>
      </w:r>
      <w:r w:rsidR="00D014D4" w:rsidRPr="00756441">
        <w:rPr>
          <w:szCs w:val="24"/>
        </w:rPr>
        <w:t>complementarias</w:t>
      </w:r>
      <w:r w:rsidR="00363039" w:rsidRPr="00756441">
        <w:rPr>
          <w:szCs w:val="24"/>
        </w:rPr>
        <w:t>).</w:t>
      </w:r>
    </w:p>
    <w:p w14:paraId="779EA4FD" w14:textId="31261F1D" w:rsidR="007F09F7" w:rsidRPr="00756441" w:rsidRDefault="00363039" w:rsidP="00932C9C">
      <w:r w:rsidRPr="00756441">
        <w:t xml:space="preserve">Finalmente, la AI observó que los controles internos relacionados con la gestión financiera y de activos, los viajes de expertos y las becas de los </w:t>
      </w:r>
      <w:r w:rsidRPr="00756441">
        <w:rPr>
          <w:szCs w:val="24"/>
        </w:rPr>
        <w:t xml:space="preserve">programas, proyectos y actividades </w:t>
      </w:r>
      <w:r w:rsidR="0017128E" w:rsidRPr="00756441">
        <w:rPr>
          <w:szCs w:val="24"/>
        </w:rPr>
        <w:t xml:space="preserve">complementarias </w:t>
      </w:r>
      <w:r w:rsidRPr="00756441">
        <w:rPr>
          <w:szCs w:val="24"/>
        </w:rPr>
        <w:t xml:space="preserve">comprendidos en el alcance de la auditoría </w:t>
      </w:r>
      <w:r w:rsidR="0017128E" w:rsidRPr="00756441">
        <w:rPr>
          <w:szCs w:val="24"/>
        </w:rPr>
        <w:t>eran</w:t>
      </w:r>
      <w:r w:rsidRPr="00756441">
        <w:rPr>
          <w:szCs w:val="24"/>
        </w:rPr>
        <w:t xml:space="preserve"> parcialmente eficaces</w:t>
      </w:r>
      <w:r w:rsidR="007F09F7" w:rsidRPr="00756441">
        <w:t>.</w:t>
      </w:r>
      <w:r w:rsidRPr="00756441">
        <w:t xml:space="preserve"> Los controles internos </w:t>
      </w:r>
      <w:r w:rsidR="0017128E" w:rsidRPr="00756441">
        <w:t>relacionados</w:t>
      </w:r>
      <w:r w:rsidRPr="00756441">
        <w:t xml:space="preserve"> con los consultores </w:t>
      </w:r>
      <w:r w:rsidR="00DC1C45" w:rsidRPr="00756441">
        <w:t>eran</w:t>
      </w:r>
      <w:r w:rsidRPr="00756441">
        <w:t xml:space="preserve"> ineficaces. Como ya recomendó, con prioridad crítica, en una auditoría previa que tenía como objetivo fortalecer los controles de los acuerdos de servicios especiales (SSA), la AI reiteró su recomendación de considerar la necesidad urgente y esencial de que la Unión establec</w:t>
      </w:r>
      <w:r w:rsidR="00157C2C" w:rsidRPr="00756441">
        <w:t>iese</w:t>
      </w:r>
      <w:r w:rsidRPr="00756441">
        <w:t xml:space="preserve"> procedimientos y prácticas encaminados a gestionar adecuadamente la contratación y los SSA. Además, se </w:t>
      </w:r>
      <w:r w:rsidRPr="00756441">
        <w:rPr>
          <w:u w:val="single"/>
        </w:rPr>
        <w:t>recomendó</w:t>
      </w:r>
      <w:r w:rsidRPr="00756441">
        <w:t xml:space="preserve"> fortale</w:t>
      </w:r>
      <w:r w:rsidR="00157C2C" w:rsidRPr="00756441">
        <w:t>cer</w:t>
      </w:r>
      <w:r w:rsidRPr="00756441">
        <w:t xml:space="preserve"> los controles </w:t>
      </w:r>
      <w:r w:rsidR="00157C2C" w:rsidRPr="00756441">
        <w:t>en</w:t>
      </w:r>
      <w:r w:rsidRPr="00756441">
        <w:t xml:space="preserve"> </w:t>
      </w:r>
      <w:r w:rsidR="001C5EC9" w:rsidRPr="00756441">
        <w:t>varios de los</w:t>
      </w:r>
      <w:r w:rsidRPr="00756441">
        <w:t xml:space="preserve"> ámbitos anteriormente mencionados y </w:t>
      </w:r>
      <w:r w:rsidR="00481172" w:rsidRPr="00756441">
        <w:t>liquidar</w:t>
      </w:r>
      <w:r w:rsidR="00215F66" w:rsidRPr="00756441">
        <w:t xml:space="preserve"> los fondos </w:t>
      </w:r>
      <w:r w:rsidR="00481172" w:rsidRPr="00756441">
        <w:t>restantes de</w:t>
      </w:r>
      <w:r w:rsidR="00215F66" w:rsidRPr="00756441">
        <w:t xml:space="preserve"> </w:t>
      </w:r>
      <w:r w:rsidR="00DC1C45" w:rsidRPr="00756441">
        <w:t xml:space="preserve">los </w:t>
      </w:r>
      <w:r w:rsidR="00215F66" w:rsidRPr="00756441">
        <w:t>proyectos cerrados.</w:t>
      </w:r>
    </w:p>
    <w:p w14:paraId="7D472BAE" w14:textId="644A509C" w:rsidR="003C4D1C" w:rsidRPr="00756441" w:rsidRDefault="007F09F7" w:rsidP="00932C9C">
      <w:pPr>
        <w:rPr>
          <w:rFonts w:cstheme="minorHAnsi"/>
        </w:rPr>
      </w:pPr>
      <w:r w:rsidRPr="00756441">
        <w:lastRenderedPageBreak/>
        <w:t>13</w:t>
      </w:r>
      <w:r w:rsidRPr="00756441">
        <w:tab/>
      </w:r>
      <w:proofErr w:type="gramStart"/>
      <w:r w:rsidR="00AF5DC7" w:rsidRPr="00756441">
        <w:t>La</w:t>
      </w:r>
      <w:proofErr w:type="gramEnd"/>
      <w:r w:rsidR="00AF5DC7" w:rsidRPr="00756441">
        <w:t xml:space="preserve"> dirección se mostró de acuerdo con las recomendaciones e indicó su compromis</w:t>
      </w:r>
      <w:r w:rsidR="00363039" w:rsidRPr="00756441">
        <w:t>o</w:t>
      </w:r>
      <w:r w:rsidR="00AF5DC7" w:rsidRPr="00756441">
        <w:t xml:space="preserve"> de aplicarlas sin demora</w:t>
      </w:r>
      <w:r w:rsidR="003C4D1C" w:rsidRPr="00756441">
        <w:t>.</w:t>
      </w:r>
    </w:p>
    <w:p w14:paraId="7A1FBCE8" w14:textId="77777777" w:rsidR="00A61809" w:rsidRPr="00756441" w:rsidRDefault="00A61809" w:rsidP="00B735C5">
      <w:pPr>
        <w:pStyle w:val="Headingb"/>
      </w:pPr>
      <w:r w:rsidRPr="00756441">
        <w:t>Servicios de consultoría de la auditoría interna</w:t>
      </w:r>
    </w:p>
    <w:p w14:paraId="6F1E3C24" w14:textId="77777777" w:rsidR="00A61809" w:rsidRPr="00756441" w:rsidRDefault="00A61809" w:rsidP="0086736E">
      <w:pPr>
        <w:pStyle w:val="Headingi"/>
        <w:jc w:val="both"/>
        <w:rPr>
          <w:b/>
          <w:bCs/>
        </w:rPr>
      </w:pPr>
      <w:r w:rsidRPr="00756441">
        <w:rPr>
          <w:b/>
          <w:bCs/>
        </w:rPr>
        <w:t>Auditoría forense</w:t>
      </w:r>
    </w:p>
    <w:p w14:paraId="5C0B6CAE" w14:textId="13E7A6FC" w:rsidR="004E59F5" w:rsidRPr="00756441" w:rsidRDefault="005B3EEA" w:rsidP="006C2512">
      <w:r w:rsidRPr="00756441">
        <w:t>14</w:t>
      </w:r>
      <w:r w:rsidR="00A61809" w:rsidRPr="00756441">
        <w:tab/>
      </w:r>
      <w:proofErr w:type="gramStart"/>
      <w:r w:rsidR="00A61809" w:rsidRPr="00756441">
        <w:t>El</w:t>
      </w:r>
      <w:proofErr w:type="gramEnd"/>
      <w:r w:rsidR="00A61809" w:rsidRPr="00756441">
        <w:t xml:space="preserve"> Consejo de 2019 adoptó el </w:t>
      </w:r>
      <w:hyperlink r:id="rId9" w:history="1">
        <w:r w:rsidR="00A61809" w:rsidRPr="00756441">
          <w:rPr>
            <w:rStyle w:val="Hyperlink"/>
          </w:rPr>
          <w:t>Acuerdo 613</w:t>
        </w:r>
      </w:hyperlink>
      <w:r w:rsidR="00A61809" w:rsidRPr="00756441">
        <w:t xml:space="preserve">, en el que se encarga al Secretario General la realización de una auditoría forense. </w:t>
      </w:r>
      <w:r w:rsidR="00FD186D" w:rsidRPr="00756441">
        <w:t>En</w:t>
      </w:r>
      <w:r w:rsidR="00A61809" w:rsidRPr="00756441">
        <w:t xml:space="preserve"> enero de 2021, </w:t>
      </w:r>
      <w:r w:rsidR="00FD186D" w:rsidRPr="00756441">
        <w:t xml:space="preserve">se contrató a una empresa externa especializada en la investigación de delitos financieros, que </w:t>
      </w:r>
      <w:r w:rsidR="00DC1C45" w:rsidRPr="00756441">
        <w:t>llevó a cabo una</w:t>
      </w:r>
      <w:r w:rsidR="00A61809" w:rsidRPr="00756441">
        <w:t xml:space="preserve"> auditoría forense </w:t>
      </w:r>
      <w:r w:rsidR="00481172" w:rsidRPr="00756441">
        <w:t xml:space="preserve">en colaboración </w:t>
      </w:r>
      <w:r w:rsidR="00A61809" w:rsidRPr="00756441">
        <w:t>con la AI como coordinadora</w:t>
      </w:r>
      <w:r w:rsidR="00FD186D" w:rsidRPr="00756441">
        <w:t xml:space="preserve"> de la Secretaría</w:t>
      </w:r>
      <w:r w:rsidR="00A61809" w:rsidRPr="00756441">
        <w:t xml:space="preserve">. </w:t>
      </w:r>
      <w:r w:rsidR="00FD186D" w:rsidRPr="00756441">
        <w:t xml:space="preserve">La consultora PwC presentó el informe de su auditoría forense </w:t>
      </w:r>
      <w:r w:rsidR="000E3D9B" w:rsidRPr="00756441">
        <w:t>en el marco de</w:t>
      </w:r>
      <w:r w:rsidR="00FD186D" w:rsidRPr="00756441">
        <w:t xml:space="preserve"> la Consulta Virtual de </w:t>
      </w:r>
      <w:proofErr w:type="gramStart"/>
      <w:r w:rsidR="00FD186D" w:rsidRPr="00756441">
        <w:t>Consejeros</w:t>
      </w:r>
      <w:proofErr w:type="gramEnd"/>
      <w:r w:rsidR="00FD186D" w:rsidRPr="00756441">
        <w:t xml:space="preserve"> de</w:t>
      </w:r>
      <w:r w:rsidR="00A61809" w:rsidRPr="00756441">
        <w:t xml:space="preserve"> 2021 </w:t>
      </w:r>
      <w:r w:rsidR="00FD186D" w:rsidRPr="00756441">
        <w:t>y anunció que</w:t>
      </w:r>
      <w:r w:rsidR="000E3D9B" w:rsidRPr="00756441">
        <w:t>,</w:t>
      </w:r>
      <w:r w:rsidR="00FD186D" w:rsidRPr="00756441">
        <w:t xml:space="preserve"> </w:t>
      </w:r>
      <w:r w:rsidR="000E3D9B" w:rsidRPr="00756441">
        <w:t xml:space="preserve">en septiembre de 2021, pondría a disposición </w:t>
      </w:r>
      <w:r w:rsidR="00FD186D" w:rsidRPr="00756441">
        <w:t xml:space="preserve">un informe final </w:t>
      </w:r>
      <w:r w:rsidR="000E3D9B" w:rsidRPr="00756441">
        <w:t>que</w:t>
      </w:r>
      <w:r w:rsidR="00FD186D" w:rsidRPr="00756441">
        <w:t xml:space="preserve"> complementar</w:t>
      </w:r>
      <w:r w:rsidR="000E3D9B" w:rsidRPr="00756441">
        <w:t>ía</w:t>
      </w:r>
      <w:r w:rsidR="00FD186D" w:rsidRPr="00756441">
        <w:t xml:space="preserve"> las conclusiones del informe </w:t>
      </w:r>
      <w:r w:rsidR="000E3D9B" w:rsidRPr="00756441">
        <w:t>relativo a</w:t>
      </w:r>
      <w:r w:rsidR="00FD186D" w:rsidRPr="00756441">
        <w:t>l examen inicial</w:t>
      </w:r>
      <w:r w:rsidR="00A61809" w:rsidRPr="00756441">
        <w:t>.</w:t>
      </w:r>
      <w:r w:rsidR="00FD186D" w:rsidRPr="00756441">
        <w:t xml:space="preserve"> El informe final de la auditoría forense de PwC se presentó durante la 14ª reunión del Grupo de Trabajo del Consejo sobre </w:t>
      </w:r>
      <w:r w:rsidR="000E3D9B" w:rsidRPr="00756441">
        <w:t xml:space="preserve">los </w:t>
      </w:r>
      <w:r w:rsidR="00FD186D" w:rsidRPr="00756441">
        <w:t xml:space="preserve">Recursos Humanos y Financieros (GTC-RHF), que se celebró de forma virtual </w:t>
      </w:r>
      <w:r w:rsidR="000E3D9B" w:rsidRPr="00756441">
        <w:t>d</w:t>
      </w:r>
      <w:r w:rsidR="00FD186D" w:rsidRPr="00756441">
        <w:t xml:space="preserve">el 20 </w:t>
      </w:r>
      <w:r w:rsidR="000E3D9B" w:rsidRPr="00756441">
        <w:t>a</w:t>
      </w:r>
      <w:r w:rsidR="00FD186D" w:rsidRPr="00756441">
        <w:t>l 21 de septiembre de 2021.</w:t>
      </w:r>
      <w:r w:rsidR="0086736E" w:rsidRPr="00756441">
        <w:t xml:space="preserve"> </w:t>
      </w:r>
      <w:r w:rsidR="00DC1C45" w:rsidRPr="00756441">
        <w:t>A la sazón se concluyó</w:t>
      </w:r>
      <w:r w:rsidR="00FD186D" w:rsidRPr="00756441">
        <w:t xml:space="preserve"> que</w:t>
      </w:r>
      <w:r w:rsidR="0086736E" w:rsidRPr="00756441">
        <w:t>,</w:t>
      </w:r>
      <w:r w:rsidR="00FD186D" w:rsidRPr="00756441">
        <w:t xml:space="preserve"> </w:t>
      </w:r>
      <w:r w:rsidR="0086736E" w:rsidRPr="00756441">
        <w:rPr>
          <w:iCs/>
        </w:rPr>
        <w:t xml:space="preserve">en la próxima reunión del GTC-RHF, </w:t>
      </w:r>
      <w:r w:rsidR="00FD186D" w:rsidRPr="00756441">
        <w:rPr>
          <w:iCs/>
        </w:rPr>
        <w:t>la Secretaría presentaría</w:t>
      </w:r>
      <w:r w:rsidR="0086736E" w:rsidRPr="00756441">
        <w:rPr>
          <w:iCs/>
        </w:rPr>
        <w:t xml:space="preserve"> información actualizada sobre </w:t>
      </w:r>
      <w:r w:rsidR="00FD186D" w:rsidRPr="00756441">
        <w:rPr>
          <w:iCs/>
        </w:rPr>
        <w:t>el seguimiento d</w:t>
      </w:r>
      <w:r w:rsidR="001C5EC9" w:rsidRPr="00756441">
        <w:rPr>
          <w:iCs/>
        </w:rPr>
        <w:t>ado a</w:t>
      </w:r>
      <w:r w:rsidR="00FD186D" w:rsidRPr="00756441">
        <w:rPr>
          <w:iCs/>
        </w:rPr>
        <w:t xml:space="preserve"> las </w:t>
      </w:r>
      <w:r w:rsidR="0086736E" w:rsidRPr="00756441">
        <w:rPr>
          <w:iCs/>
        </w:rPr>
        <w:t>medidas.</w:t>
      </w:r>
      <w:r w:rsidR="00FD186D" w:rsidRPr="00756441">
        <w:t xml:space="preserve"> La AI coordinó y preparó el documento </w:t>
      </w:r>
      <w:r w:rsidR="0086736E" w:rsidRPr="00756441">
        <w:t>de síntesis</w:t>
      </w:r>
      <w:r w:rsidR="00FD186D" w:rsidRPr="00756441">
        <w:t xml:space="preserve"> de la Secretaría (</w:t>
      </w:r>
      <w:hyperlink r:id="rId10" w:history="1">
        <w:r w:rsidR="0086736E" w:rsidRPr="00756441">
          <w:rPr>
            <w:rStyle w:val="Hyperlink"/>
          </w:rPr>
          <w:t>CWG-FHR-15/3</w:t>
        </w:r>
      </w:hyperlink>
      <w:r w:rsidR="00FD186D" w:rsidRPr="00756441">
        <w:t>)</w:t>
      </w:r>
      <w:r w:rsidR="0086736E" w:rsidRPr="00756441">
        <w:t xml:space="preserve"> en el que se indica el</w:t>
      </w:r>
      <w:r w:rsidR="00FD186D" w:rsidRPr="00756441">
        <w:t xml:space="preserve"> </w:t>
      </w:r>
      <w:r w:rsidR="00FD186D" w:rsidRPr="00756441">
        <w:rPr>
          <w:u w:val="single"/>
        </w:rPr>
        <w:t>estado de aplicación</w:t>
      </w:r>
      <w:r w:rsidR="00FD186D" w:rsidRPr="00756441">
        <w:t xml:space="preserve"> de las </w:t>
      </w:r>
      <w:r w:rsidR="0086736E" w:rsidRPr="00756441">
        <w:t>medidas</w:t>
      </w:r>
      <w:r w:rsidR="00FD186D" w:rsidRPr="00756441">
        <w:t xml:space="preserve"> propuestas por PwC </w:t>
      </w:r>
      <w:r w:rsidR="00736745" w:rsidRPr="00756441">
        <w:t>de cara a</w:t>
      </w:r>
      <w:r w:rsidR="00FD186D" w:rsidRPr="00756441">
        <w:t xml:space="preserve"> la 15.ª reunión del GTC-RHF, que se celebró de forma virtual </w:t>
      </w:r>
      <w:r w:rsidR="0086736E" w:rsidRPr="00756441">
        <w:t>d</w:t>
      </w:r>
      <w:r w:rsidR="006C2512" w:rsidRPr="00756441">
        <w:t>el 11 </w:t>
      </w:r>
      <w:r w:rsidR="0086736E" w:rsidRPr="00756441">
        <w:t>a</w:t>
      </w:r>
      <w:r w:rsidR="00FD186D" w:rsidRPr="00756441">
        <w:t>l 12 de enero de 2022.</w:t>
      </w:r>
    </w:p>
    <w:p w14:paraId="00A24AC6" w14:textId="77777777" w:rsidR="00A61809" w:rsidRPr="00756441" w:rsidRDefault="00A61809" w:rsidP="00932C9C">
      <w:pPr>
        <w:pStyle w:val="Headingb"/>
      </w:pPr>
      <w:r w:rsidRPr="00756441">
        <w:t>Seguimiento de las recomendaciones de la auditoría interna</w:t>
      </w:r>
    </w:p>
    <w:p w14:paraId="6D1B321E" w14:textId="6FC837B6" w:rsidR="00A61809" w:rsidRPr="00756441" w:rsidRDefault="005B3EEA" w:rsidP="004E59F5">
      <w:pPr>
        <w:spacing w:after="120"/>
      </w:pPr>
      <w:r w:rsidRPr="00756441">
        <w:t>15</w:t>
      </w:r>
      <w:r w:rsidR="00A61809" w:rsidRPr="00756441">
        <w:tab/>
      </w:r>
      <w:proofErr w:type="gramStart"/>
      <w:r w:rsidR="00A61809" w:rsidRPr="00756441">
        <w:t>A</w:t>
      </w:r>
      <w:proofErr w:type="gramEnd"/>
      <w:r w:rsidR="00A61809" w:rsidRPr="00756441">
        <w:t xml:space="preserve"> lo largo del periodo abarcado por el informe, la AI siguió las recomendaciones realizadas por auditorías previas. Se observó un progreso en los últimos 12 meses y las estadísticas </w:t>
      </w:r>
      <w:r w:rsidR="00736745" w:rsidRPr="00756441">
        <w:t xml:space="preserve">relativas a la aplicación de las recomendaciones </w:t>
      </w:r>
      <w:r w:rsidR="00A61809" w:rsidRPr="00756441">
        <w:t xml:space="preserve">(al 31 de </w:t>
      </w:r>
      <w:r w:rsidRPr="00756441">
        <w:t>enero de 2022</w:t>
      </w:r>
      <w:r w:rsidR="00736745" w:rsidRPr="00756441">
        <w:t>) son las siguientes</w:t>
      </w:r>
      <w:r w:rsidR="00A61809" w:rsidRPr="00756441">
        <w:t>:</w:t>
      </w:r>
    </w:p>
    <w:tbl>
      <w:tblPr>
        <w:tblW w:w="5000" w:type="pct"/>
        <w:jc w:val="center"/>
        <w:tblLook w:val="04A0" w:firstRow="1" w:lastRow="0" w:firstColumn="1" w:lastColumn="0" w:noHBand="0" w:noVBand="1"/>
      </w:tblPr>
      <w:tblGrid>
        <w:gridCol w:w="1975"/>
        <w:gridCol w:w="647"/>
        <w:gridCol w:w="647"/>
        <w:gridCol w:w="646"/>
        <w:gridCol w:w="647"/>
        <w:gridCol w:w="647"/>
        <w:gridCol w:w="647"/>
        <w:gridCol w:w="647"/>
        <w:gridCol w:w="647"/>
        <w:gridCol w:w="581"/>
        <w:gridCol w:w="647"/>
        <w:gridCol w:w="581"/>
        <w:gridCol w:w="667"/>
      </w:tblGrid>
      <w:tr w:rsidR="004E59F5" w:rsidRPr="00756441" w14:paraId="4E754BAE" w14:textId="77777777" w:rsidTr="004E59F5">
        <w:trPr>
          <w:jc w:val="center"/>
        </w:trPr>
        <w:tc>
          <w:tcPr>
            <w:tcW w:w="1977" w:type="dxa"/>
            <w:tcBorders>
              <w:top w:val="single" w:sz="4" w:space="0" w:color="auto"/>
              <w:left w:val="single" w:sz="6" w:space="0" w:color="auto"/>
              <w:bottom w:val="single" w:sz="8" w:space="0" w:color="auto"/>
              <w:right w:val="nil"/>
            </w:tcBorders>
            <w:shd w:val="clear" w:color="000000" w:fill="000000"/>
            <w:noWrap/>
            <w:hideMark/>
          </w:tcPr>
          <w:p w14:paraId="475E9ED6" w14:textId="77777777" w:rsidR="000A0055" w:rsidRPr="00756441" w:rsidRDefault="000A0055" w:rsidP="004E59F5">
            <w:pPr>
              <w:pStyle w:val="Tablehead"/>
              <w:rPr>
                <w:sz w:val="18"/>
                <w:szCs w:val="16"/>
              </w:rPr>
            </w:pPr>
            <w:r w:rsidRPr="00756441">
              <w:rPr>
                <w:sz w:val="18"/>
                <w:szCs w:val="16"/>
              </w:rPr>
              <w:t>Año</w:t>
            </w:r>
          </w:p>
        </w:tc>
        <w:tc>
          <w:tcPr>
            <w:tcW w:w="647" w:type="dxa"/>
            <w:tcBorders>
              <w:top w:val="single" w:sz="4" w:space="0" w:color="auto"/>
              <w:left w:val="nil"/>
              <w:bottom w:val="single" w:sz="8" w:space="0" w:color="auto"/>
              <w:right w:val="nil"/>
            </w:tcBorders>
            <w:shd w:val="clear" w:color="000000" w:fill="000000"/>
            <w:noWrap/>
            <w:hideMark/>
          </w:tcPr>
          <w:p w14:paraId="14005960" w14:textId="77777777" w:rsidR="000A0055" w:rsidRPr="00756441" w:rsidRDefault="000A0055" w:rsidP="004E59F5">
            <w:pPr>
              <w:pStyle w:val="Tablehead"/>
              <w:rPr>
                <w:sz w:val="18"/>
                <w:szCs w:val="16"/>
              </w:rPr>
            </w:pPr>
            <w:r w:rsidRPr="00756441">
              <w:rPr>
                <w:sz w:val="18"/>
                <w:szCs w:val="16"/>
              </w:rPr>
              <w:t>2011</w:t>
            </w:r>
          </w:p>
        </w:tc>
        <w:tc>
          <w:tcPr>
            <w:tcW w:w="647" w:type="dxa"/>
            <w:tcBorders>
              <w:top w:val="single" w:sz="4" w:space="0" w:color="auto"/>
              <w:left w:val="nil"/>
              <w:bottom w:val="single" w:sz="8" w:space="0" w:color="auto"/>
              <w:right w:val="nil"/>
            </w:tcBorders>
            <w:shd w:val="clear" w:color="000000" w:fill="000000"/>
            <w:noWrap/>
            <w:hideMark/>
          </w:tcPr>
          <w:p w14:paraId="6C718559" w14:textId="77777777" w:rsidR="000A0055" w:rsidRPr="00756441" w:rsidRDefault="000A0055" w:rsidP="004E59F5">
            <w:pPr>
              <w:pStyle w:val="Tablehead"/>
              <w:rPr>
                <w:sz w:val="18"/>
                <w:szCs w:val="16"/>
              </w:rPr>
            </w:pPr>
            <w:r w:rsidRPr="00756441">
              <w:rPr>
                <w:sz w:val="18"/>
                <w:szCs w:val="16"/>
              </w:rPr>
              <w:t>2012</w:t>
            </w:r>
          </w:p>
        </w:tc>
        <w:tc>
          <w:tcPr>
            <w:tcW w:w="646" w:type="dxa"/>
            <w:tcBorders>
              <w:top w:val="single" w:sz="4" w:space="0" w:color="auto"/>
              <w:left w:val="nil"/>
              <w:bottom w:val="single" w:sz="8" w:space="0" w:color="auto"/>
              <w:right w:val="nil"/>
            </w:tcBorders>
            <w:shd w:val="clear" w:color="000000" w:fill="000000"/>
            <w:noWrap/>
            <w:hideMark/>
          </w:tcPr>
          <w:p w14:paraId="5A15A07D" w14:textId="77777777" w:rsidR="000A0055" w:rsidRPr="00756441" w:rsidRDefault="000A0055" w:rsidP="004E59F5">
            <w:pPr>
              <w:pStyle w:val="Tablehead"/>
              <w:rPr>
                <w:sz w:val="18"/>
                <w:szCs w:val="16"/>
              </w:rPr>
            </w:pPr>
            <w:r w:rsidRPr="00756441">
              <w:rPr>
                <w:sz w:val="18"/>
                <w:szCs w:val="16"/>
              </w:rPr>
              <w:t>2013</w:t>
            </w:r>
          </w:p>
        </w:tc>
        <w:tc>
          <w:tcPr>
            <w:tcW w:w="647" w:type="dxa"/>
            <w:tcBorders>
              <w:top w:val="single" w:sz="4" w:space="0" w:color="auto"/>
              <w:left w:val="nil"/>
              <w:bottom w:val="single" w:sz="8" w:space="0" w:color="auto"/>
              <w:right w:val="nil"/>
            </w:tcBorders>
            <w:shd w:val="clear" w:color="000000" w:fill="000000"/>
            <w:noWrap/>
            <w:hideMark/>
          </w:tcPr>
          <w:p w14:paraId="0ABAD0AD" w14:textId="77777777" w:rsidR="000A0055" w:rsidRPr="00756441" w:rsidRDefault="000A0055" w:rsidP="004E59F5">
            <w:pPr>
              <w:pStyle w:val="Tablehead"/>
              <w:rPr>
                <w:sz w:val="18"/>
                <w:szCs w:val="16"/>
              </w:rPr>
            </w:pPr>
            <w:r w:rsidRPr="00756441">
              <w:rPr>
                <w:sz w:val="18"/>
                <w:szCs w:val="16"/>
              </w:rPr>
              <w:t>2014</w:t>
            </w:r>
          </w:p>
        </w:tc>
        <w:tc>
          <w:tcPr>
            <w:tcW w:w="647" w:type="dxa"/>
            <w:tcBorders>
              <w:top w:val="single" w:sz="4" w:space="0" w:color="auto"/>
              <w:left w:val="nil"/>
              <w:bottom w:val="single" w:sz="8" w:space="0" w:color="auto"/>
              <w:right w:val="nil"/>
            </w:tcBorders>
            <w:shd w:val="clear" w:color="000000" w:fill="000000"/>
            <w:noWrap/>
            <w:hideMark/>
          </w:tcPr>
          <w:p w14:paraId="3BE43A97" w14:textId="77777777" w:rsidR="000A0055" w:rsidRPr="00756441" w:rsidRDefault="000A0055" w:rsidP="004E59F5">
            <w:pPr>
              <w:pStyle w:val="Tablehead"/>
              <w:rPr>
                <w:sz w:val="18"/>
                <w:szCs w:val="16"/>
              </w:rPr>
            </w:pPr>
            <w:r w:rsidRPr="00756441">
              <w:rPr>
                <w:sz w:val="18"/>
                <w:szCs w:val="16"/>
              </w:rPr>
              <w:t>2015</w:t>
            </w:r>
          </w:p>
        </w:tc>
        <w:tc>
          <w:tcPr>
            <w:tcW w:w="647" w:type="dxa"/>
            <w:tcBorders>
              <w:top w:val="single" w:sz="4" w:space="0" w:color="auto"/>
              <w:left w:val="nil"/>
              <w:bottom w:val="single" w:sz="8" w:space="0" w:color="auto"/>
              <w:right w:val="nil"/>
            </w:tcBorders>
            <w:shd w:val="clear" w:color="000000" w:fill="000000"/>
            <w:noWrap/>
            <w:hideMark/>
          </w:tcPr>
          <w:p w14:paraId="3DA8801B" w14:textId="77777777" w:rsidR="000A0055" w:rsidRPr="00756441" w:rsidRDefault="000A0055" w:rsidP="004E59F5">
            <w:pPr>
              <w:pStyle w:val="Tablehead"/>
              <w:rPr>
                <w:sz w:val="18"/>
                <w:szCs w:val="16"/>
              </w:rPr>
            </w:pPr>
            <w:r w:rsidRPr="00756441">
              <w:rPr>
                <w:sz w:val="18"/>
                <w:szCs w:val="16"/>
              </w:rPr>
              <w:t>2016</w:t>
            </w:r>
          </w:p>
        </w:tc>
        <w:tc>
          <w:tcPr>
            <w:tcW w:w="647" w:type="dxa"/>
            <w:tcBorders>
              <w:top w:val="single" w:sz="4" w:space="0" w:color="auto"/>
              <w:left w:val="nil"/>
              <w:bottom w:val="single" w:sz="8" w:space="0" w:color="auto"/>
              <w:right w:val="nil"/>
            </w:tcBorders>
            <w:shd w:val="clear" w:color="000000" w:fill="000000"/>
            <w:noWrap/>
            <w:hideMark/>
          </w:tcPr>
          <w:p w14:paraId="04477011" w14:textId="77777777" w:rsidR="000A0055" w:rsidRPr="00756441" w:rsidRDefault="000A0055" w:rsidP="004E59F5">
            <w:pPr>
              <w:pStyle w:val="Tablehead"/>
              <w:rPr>
                <w:sz w:val="18"/>
                <w:szCs w:val="16"/>
              </w:rPr>
            </w:pPr>
            <w:r w:rsidRPr="00756441">
              <w:rPr>
                <w:sz w:val="18"/>
                <w:szCs w:val="16"/>
              </w:rPr>
              <w:t>2017</w:t>
            </w:r>
          </w:p>
        </w:tc>
        <w:tc>
          <w:tcPr>
            <w:tcW w:w="647" w:type="dxa"/>
            <w:tcBorders>
              <w:top w:val="single" w:sz="4" w:space="0" w:color="auto"/>
              <w:left w:val="nil"/>
              <w:bottom w:val="single" w:sz="8" w:space="0" w:color="auto"/>
              <w:right w:val="nil"/>
            </w:tcBorders>
            <w:shd w:val="clear" w:color="000000" w:fill="000000"/>
            <w:noWrap/>
            <w:hideMark/>
          </w:tcPr>
          <w:p w14:paraId="43A2F100" w14:textId="77777777" w:rsidR="000A0055" w:rsidRPr="00756441" w:rsidRDefault="000A0055" w:rsidP="004E59F5">
            <w:pPr>
              <w:pStyle w:val="Tablehead"/>
              <w:rPr>
                <w:sz w:val="18"/>
                <w:szCs w:val="16"/>
              </w:rPr>
            </w:pPr>
            <w:r w:rsidRPr="00756441">
              <w:rPr>
                <w:sz w:val="18"/>
                <w:szCs w:val="16"/>
              </w:rPr>
              <w:t>2018</w:t>
            </w:r>
          </w:p>
        </w:tc>
        <w:tc>
          <w:tcPr>
            <w:tcW w:w="580" w:type="dxa"/>
            <w:tcBorders>
              <w:top w:val="single" w:sz="4" w:space="0" w:color="auto"/>
              <w:left w:val="nil"/>
              <w:bottom w:val="single" w:sz="8" w:space="0" w:color="auto"/>
              <w:right w:val="nil"/>
            </w:tcBorders>
            <w:shd w:val="clear" w:color="000000" w:fill="000000"/>
          </w:tcPr>
          <w:p w14:paraId="5D046903" w14:textId="77777777" w:rsidR="000A0055" w:rsidRPr="00756441" w:rsidRDefault="000A0055" w:rsidP="004E59F5">
            <w:pPr>
              <w:pStyle w:val="Tablehead"/>
              <w:rPr>
                <w:sz w:val="18"/>
                <w:szCs w:val="16"/>
              </w:rPr>
            </w:pPr>
            <w:r w:rsidRPr="00756441">
              <w:rPr>
                <w:sz w:val="18"/>
                <w:szCs w:val="16"/>
              </w:rPr>
              <w:t>2019</w:t>
            </w:r>
          </w:p>
        </w:tc>
        <w:tc>
          <w:tcPr>
            <w:tcW w:w="647" w:type="dxa"/>
            <w:tcBorders>
              <w:top w:val="single" w:sz="4" w:space="0" w:color="auto"/>
              <w:left w:val="nil"/>
              <w:bottom w:val="single" w:sz="8" w:space="0" w:color="auto"/>
              <w:right w:val="nil"/>
            </w:tcBorders>
            <w:shd w:val="clear" w:color="000000" w:fill="000000"/>
            <w:noWrap/>
          </w:tcPr>
          <w:p w14:paraId="0D3D7408" w14:textId="77777777" w:rsidR="000A0055" w:rsidRPr="00756441" w:rsidRDefault="000A0055" w:rsidP="004E59F5">
            <w:pPr>
              <w:pStyle w:val="Tablehead"/>
              <w:rPr>
                <w:sz w:val="18"/>
                <w:szCs w:val="16"/>
              </w:rPr>
            </w:pPr>
            <w:r w:rsidRPr="00756441">
              <w:rPr>
                <w:sz w:val="18"/>
                <w:szCs w:val="16"/>
              </w:rPr>
              <w:t>2020</w:t>
            </w:r>
          </w:p>
        </w:tc>
        <w:tc>
          <w:tcPr>
            <w:tcW w:w="580" w:type="dxa"/>
            <w:tcBorders>
              <w:top w:val="single" w:sz="4" w:space="0" w:color="auto"/>
              <w:left w:val="nil"/>
              <w:bottom w:val="single" w:sz="8" w:space="0" w:color="auto"/>
              <w:right w:val="nil"/>
            </w:tcBorders>
            <w:shd w:val="clear" w:color="000000" w:fill="000000"/>
          </w:tcPr>
          <w:p w14:paraId="2AED60CB" w14:textId="7173CB2A" w:rsidR="000A0055" w:rsidRPr="00756441" w:rsidRDefault="00EA4AD4" w:rsidP="004E59F5">
            <w:pPr>
              <w:pStyle w:val="Tablehead"/>
              <w:rPr>
                <w:sz w:val="18"/>
                <w:szCs w:val="16"/>
              </w:rPr>
            </w:pPr>
            <w:r w:rsidRPr="00756441">
              <w:rPr>
                <w:sz w:val="18"/>
                <w:szCs w:val="16"/>
              </w:rPr>
              <w:t>2021</w:t>
            </w:r>
          </w:p>
        </w:tc>
        <w:tc>
          <w:tcPr>
            <w:tcW w:w="667" w:type="dxa"/>
            <w:tcBorders>
              <w:top w:val="single" w:sz="4" w:space="0" w:color="auto"/>
              <w:left w:val="nil"/>
              <w:bottom w:val="single" w:sz="8" w:space="0" w:color="auto"/>
              <w:right w:val="single" w:sz="4" w:space="0" w:color="auto"/>
            </w:tcBorders>
            <w:shd w:val="clear" w:color="000000" w:fill="000000"/>
            <w:noWrap/>
            <w:hideMark/>
          </w:tcPr>
          <w:p w14:paraId="09990584" w14:textId="24429F7E" w:rsidR="000A0055" w:rsidRPr="00756441" w:rsidRDefault="000A0055" w:rsidP="004E59F5">
            <w:pPr>
              <w:pStyle w:val="Tablehead"/>
              <w:rPr>
                <w:sz w:val="18"/>
                <w:szCs w:val="16"/>
              </w:rPr>
            </w:pPr>
            <w:r w:rsidRPr="00756441">
              <w:rPr>
                <w:sz w:val="18"/>
                <w:szCs w:val="16"/>
              </w:rPr>
              <w:t>Total</w:t>
            </w:r>
          </w:p>
        </w:tc>
      </w:tr>
      <w:tr w:rsidR="009044CC" w:rsidRPr="00756441" w14:paraId="4CDFEB31" w14:textId="77777777" w:rsidTr="004E59F5">
        <w:trPr>
          <w:jc w:val="center"/>
        </w:trPr>
        <w:tc>
          <w:tcPr>
            <w:tcW w:w="1977" w:type="dxa"/>
            <w:tcBorders>
              <w:top w:val="single" w:sz="8" w:space="0" w:color="auto"/>
              <w:left w:val="single" w:sz="6" w:space="0" w:color="auto"/>
              <w:bottom w:val="single" w:sz="4" w:space="0" w:color="auto"/>
              <w:right w:val="single" w:sz="4" w:space="0" w:color="auto"/>
            </w:tcBorders>
            <w:shd w:val="clear" w:color="auto" w:fill="auto"/>
            <w:noWrap/>
            <w:hideMark/>
          </w:tcPr>
          <w:p w14:paraId="04E52AEE" w14:textId="77777777" w:rsidR="000A0055" w:rsidRPr="00756441" w:rsidRDefault="000A0055" w:rsidP="004E59F5">
            <w:pPr>
              <w:pStyle w:val="Tabletext"/>
              <w:rPr>
                <w:sz w:val="18"/>
                <w:szCs w:val="18"/>
              </w:rPr>
            </w:pPr>
            <w:r w:rsidRPr="00756441">
              <w:rPr>
                <w:sz w:val="18"/>
                <w:szCs w:val="18"/>
              </w:rPr>
              <w:t>Número de informes/notas de auditoría</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14:paraId="66ACA255" w14:textId="260AF752" w:rsidR="000A0055" w:rsidRPr="00756441" w:rsidRDefault="000A0055" w:rsidP="004E59F5">
            <w:pPr>
              <w:pStyle w:val="Tabletext"/>
              <w:rPr>
                <w:sz w:val="18"/>
                <w:szCs w:val="18"/>
              </w:rPr>
            </w:pPr>
            <w:r w:rsidRPr="00756441">
              <w:rPr>
                <w:sz w:val="18"/>
                <w:szCs w:val="18"/>
                <w:lang w:eastAsia="en-GB"/>
              </w:rPr>
              <w:t>2</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14:paraId="07DC87BA" w14:textId="58D376DC" w:rsidR="000A0055" w:rsidRPr="00756441" w:rsidRDefault="000A0055" w:rsidP="004E59F5">
            <w:pPr>
              <w:pStyle w:val="Tabletext"/>
              <w:rPr>
                <w:sz w:val="18"/>
                <w:szCs w:val="18"/>
              </w:rPr>
            </w:pPr>
            <w:r w:rsidRPr="00756441">
              <w:rPr>
                <w:sz w:val="18"/>
                <w:szCs w:val="18"/>
                <w:lang w:eastAsia="en-GB"/>
              </w:rPr>
              <w:t>0</w:t>
            </w:r>
          </w:p>
        </w:tc>
        <w:tc>
          <w:tcPr>
            <w:tcW w:w="646" w:type="dxa"/>
            <w:tcBorders>
              <w:top w:val="single" w:sz="8" w:space="0" w:color="auto"/>
              <w:left w:val="nil"/>
              <w:bottom w:val="single" w:sz="4" w:space="0" w:color="auto"/>
              <w:right w:val="single" w:sz="4" w:space="0" w:color="auto"/>
            </w:tcBorders>
            <w:shd w:val="clear" w:color="000000" w:fill="FFFFFF"/>
            <w:noWrap/>
            <w:vAlign w:val="center"/>
            <w:hideMark/>
          </w:tcPr>
          <w:p w14:paraId="324F8CD0" w14:textId="4383B6A8"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8" w:space="0" w:color="auto"/>
              <w:left w:val="nil"/>
              <w:bottom w:val="single" w:sz="4" w:space="0" w:color="auto"/>
              <w:right w:val="nil"/>
            </w:tcBorders>
            <w:shd w:val="clear" w:color="000000" w:fill="FFFFFF"/>
            <w:noWrap/>
            <w:vAlign w:val="center"/>
            <w:hideMark/>
          </w:tcPr>
          <w:p w14:paraId="30D9E1C7" w14:textId="2F03119D"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8" w:space="0" w:color="auto"/>
              <w:left w:val="single" w:sz="4" w:space="0" w:color="auto"/>
              <w:bottom w:val="single" w:sz="4" w:space="0" w:color="auto"/>
              <w:right w:val="nil"/>
            </w:tcBorders>
            <w:shd w:val="clear" w:color="000000" w:fill="FFFFFF"/>
            <w:noWrap/>
            <w:vAlign w:val="center"/>
            <w:hideMark/>
          </w:tcPr>
          <w:p w14:paraId="31B75D72" w14:textId="23C791EC" w:rsidR="000A0055" w:rsidRPr="00756441" w:rsidRDefault="000A0055" w:rsidP="004E59F5">
            <w:pPr>
              <w:pStyle w:val="Tabletext"/>
              <w:rPr>
                <w:sz w:val="18"/>
                <w:szCs w:val="18"/>
              </w:rPr>
            </w:pPr>
            <w:r w:rsidRPr="00756441">
              <w:rPr>
                <w:sz w:val="18"/>
                <w:szCs w:val="18"/>
                <w:lang w:eastAsia="en-GB"/>
              </w:rPr>
              <w:t>7</w:t>
            </w:r>
          </w:p>
        </w:tc>
        <w:tc>
          <w:tcPr>
            <w:tcW w:w="647" w:type="dxa"/>
            <w:tcBorders>
              <w:top w:val="single" w:sz="8" w:space="0" w:color="auto"/>
              <w:left w:val="single" w:sz="4" w:space="0" w:color="auto"/>
              <w:bottom w:val="single" w:sz="4" w:space="0" w:color="auto"/>
              <w:right w:val="nil"/>
            </w:tcBorders>
            <w:shd w:val="clear" w:color="000000" w:fill="FFFFFF"/>
            <w:noWrap/>
            <w:vAlign w:val="center"/>
            <w:hideMark/>
          </w:tcPr>
          <w:p w14:paraId="6288A332" w14:textId="3A35D510"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8" w:space="0" w:color="auto"/>
              <w:left w:val="single" w:sz="4" w:space="0" w:color="auto"/>
              <w:bottom w:val="single" w:sz="4" w:space="0" w:color="auto"/>
              <w:right w:val="nil"/>
            </w:tcBorders>
            <w:shd w:val="clear" w:color="000000" w:fill="FFFFFF"/>
            <w:noWrap/>
            <w:vAlign w:val="center"/>
            <w:hideMark/>
          </w:tcPr>
          <w:p w14:paraId="2EE9ABA1" w14:textId="3E3BA7D8" w:rsidR="000A0055" w:rsidRPr="00756441" w:rsidRDefault="000A0055" w:rsidP="004E59F5">
            <w:pPr>
              <w:pStyle w:val="Tabletext"/>
              <w:rPr>
                <w:sz w:val="18"/>
                <w:szCs w:val="18"/>
              </w:rPr>
            </w:pPr>
            <w:r w:rsidRPr="00756441">
              <w:rPr>
                <w:sz w:val="18"/>
                <w:szCs w:val="18"/>
                <w:lang w:eastAsia="en-GB"/>
              </w:rPr>
              <w:t>6</w:t>
            </w:r>
          </w:p>
        </w:tc>
        <w:tc>
          <w:tcPr>
            <w:tcW w:w="647" w:type="dxa"/>
            <w:tcBorders>
              <w:top w:val="single" w:sz="8" w:space="0" w:color="auto"/>
              <w:left w:val="single" w:sz="4" w:space="0" w:color="auto"/>
              <w:bottom w:val="single" w:sz="4" w:space="0" w:color="auto"/>
              <w:right w:val="nil"/>
            </w:tcBorders>
            <w:shd w:val="clear" w:color="000000" w:fill="FFFFFF"/>
            <w:noWrap/>
            <w:vAlign w:val="center"/>
            <w:hideMark/>
          </w:tcPr>
          <w:p w14:paraId="5569F9A2" w14:textId="11A2EBED" w:rsidR="000A0055" w:rsidRPr="00756441" w:rsidRDefault="000A0055" w:rsidP="004E59F5">
            <w:pPr>
              <w:pStyle w:val="Tabletext"/>
              <w:rPr>
                <w:sz w:val="18"/>
                <w:szCs w:val="18"/>
              </w:rPr>
            </w:pPr>
            <w:r w:rsidRPr="00756441">
              <w:rPr>
                <w:sz w:val="18"/>
                <w:szCs w:val="18"/>
                <w:lang w:eastAsia="en-GB"/>
              </w:rPr>
              <w:t>4</w:t>
            </w:r>
          </w:p>
        </w:tc>
        <w:tc>
          <w:tcPr>
            <w:tcW w:w="580" w:type="dxa"/>
            <w:tcBorders>
              <w:top w:val="single" w:sz="8" w:space="0" w:color="auto"/>
              <w:left w:val="single" w:sz="4" w:space="0" w:color="auto"/>
              <w:bottom w:val="single" w:sz="4" w:space="0" w:color="auto"/>
              <w:right w:val="nil"/>
            </w:tcBorders>
            <w:shd w:val="clear" w:color="000000" w:fill="FFFFFF"/>
            <w:vAlign w:val="center"/>
          </w:tcPr>
          <w:p w14:paraId="5D9A93E4" w14:textId="3241B080" w:rsidR="000A0055" w:rsidRPr="00756441" w:rsidRDefault="000A0055" w:rsidP="004E59F5">
            <w:pPr>
              <w:pStyle w:val="Tabletext"/>
              <w:rPr>
                <w:sz w:val="18"/>
                <w:szCs w:val="18"/>
              </w:rPr>
            </w:pPr>
            <w:r w:rsidRPr="00756441">
              <w:rPr>
                <w:sz w:val="18"/>
                <w:szCs w:val="18"/>
                <w:lang w:eastAsia="en-GB"/>
              </w:rPr>
              <w:t>2</w:t>
            </w:r>
          </w:p>
        </w:tc>
        <w:tc>
          <w:tcPr>
            <w:tcW w:w="64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E287C14" w14:textId="1D1CEA54" w:rsidR="000A0055" w:rsidRPr="00756441" w:rsidRDefault="000A0055" w:rsidP="004E59F5">
            <w:pPr>
              <w:pStyle w:val="Tabletext"/>
              <w:rPr>
                <w:sz w:val="18"/>
                <w:szCs w:val="18"/>
              </w:rPr>
            </w:pPr>
            <w:r w:rsidRPr="00756441">
              <w:rPr>
                <w:sz w:val="18"/>
                <w:szCs w:val="18"/>
                <w:lang w:eastAsia="en-GB"/>
              </w:rPr>
              <w:t>2</w:t>
            </w:r>
          </w:p>
        </w:tc>
        <w:tc>
          <w:tcPr>
            <w:tcW w:w="580" w:type="dxa"/>
            <w:tcBorders>
              <w:top w:val="single" w:sz="8" w:space="0" w:color="auto"/>
              <w:left w:val="single" w:sz="4" w:space="0" w:color="auto"/>
              <w:bottom w:val="single" w:sz="4" w:space="0" w:color="auto"/>
              <w:right w:val="single" w:sz="4" w:space="0" w:color="auto"/>
            </w:tcBorders>
            <w:vAlign w:val="center"/>
          </w:tcPr>
          <w:p w14:paraId="77713EA8" w14:textId="1629E622" w:rsidR="000A0055" w:rsidRPr="00756441" w:rsidRDefault="000A0055" w:rsidP="004E59F5">
            <w:pPr>
              <w:pStyle w:val="Tabletext"/>
              <w:rPr>
                <w:b/>
                <w:bCs/>
                <w:sz w:val="18"/>
                <w:szCs w:val="18"/>
              </w:rPr>
            </w:pPr>
            <w:r w:rsidRPr="00756441">
              <w:rPr>
                <w:sz w:val="18"/>
                <w:szCs w:val="18"/>
                <w:lang w:eastAsia="en-GB"/>
              </w:rPr>
              <w:t>2</w:t>
            </w:r>
          </w:p>
        </w:tc>
        <w:tc>
          <w:tcPr>
            <w:tcW w:w="667" w:type="dxa"/>
            <w:tcBorders>
              <w:top w:val="single" w:sz="8"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2CD479" w14:textId="79566B75" w:rsidR="000A0055" w:rsidRPr="00756441" w:rsidRDefault="000A0055" w:rsidP="004E59F5">
            <w:pPr>
              <w:pStyle w:val="Tabletext"/>
              <w:rPr>
                <w:b/>
                <w:bCs/>
                <w:sz w:val="18"/>
                <w:szCs w:val="18"/>
              </w:rPr>
            </w:pPr>
            <w:r w:rsidRPr="00756441">
              <w:rPr>
                <w:b/>
                <w:bCs/>
                <w:sz w:val="18"/>
                <w:szCs w:val="18"/>
                <w:lang w:eastAsia="en-GB"/>
              </w:rPr>
              <w:t>37</w:t>
            </w:r>
          </w:p>
        </w:tc>
      </w:tr>
      <w:tr w:rsidR="009044CC" w:rsidRPr="00756441" w14:paraId="10C5F708" w14:textId="77777777" w:rsidTr="004E59F5">
        <w:trPr>
          <w:jc w:val="center"/>
        </w:trPr>
        <w:tc>
          <w:tcPr>
            <w:tcW w:w="1977" w:type="dxa"/>
            <w:tcBorders>
              <w:top w:val="nil"/>
              <w:left w:val="single" w:sz="6" w:space="0" w:color="auto"/>
              <w:bottom w:val="single" w:sz="4" w:space="0" w:color="auto"/>
              <w:right w:val="single" w:sz="4" w:space="0" w:color="auto"/>
            </w:tcBorders>
            <w:shd w:val="clear" w:color="auto" w:fill="auto"/>
            <w:noWrap/>
            <w:hideMark/>
          </w:tcPr>
          <w:p w14:paraId="454E8A59" w14:textId="77777777" w:rsidR="000A0055" w:rsidRPr="00756441" w:rsidRDefault="000A0055" w:rsidP="004E59F5">
            <w:pPr>
              <w:pStyle w:val="Tabletext"/>
              <w:rPr>
                <w:sz w:val="18"/>
                <w:szCs w:val="18"/>
              </w:rPr>
            </w:pPr>
            <w:r w:rsidRPr="00756441">
              <w:rPr>
                <w:sz w:val="18"/>
                <w:szCs w:val="18"/>
              </w:rPr>
              <w:t>Recomendaciones – Total</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711E401C" w14:textId="03656AA2" w:rsidR="000A0055" w:rsidRPr="00756441" w:rsidRDefault="000A0055" w:rsidP="004E59F5">
            <w:pPr>
              <w:pStyle w:val="Tabletext"/>
              <w:rPr>
                <w:sz w:val="18"/>
                <w:szCs w:val="18"/>
              </w:rPr>
            </w:pPr>
            <w:r w:rsidRPr="00756441">
              <w:rPr>
                <w:sz w:val="18"/>
                <w:szCs w:val="18"/>
                <w:lang w:eastAsia="en-GB"/>
              </w:rPr>
              <w:t>17</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308E72D3" w14:textId="64B87788"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14:paraId="63D7DDD8" w14:textId="13CE7C78" w:rsidR="000A0055" w:rsidRPr="00756441" w:rsidRDefault="000A0055" w:rsidP="004E59F5">
            <w:pPr>
              <w:pStyle w:val="Tabletext"/>
              <w:rPr>
                <w:sz w:val="18"/>
                <w:szCs w:val="18"/>
              </w:rPr>
            </w:pPr>
            <w:r w:rsidRPr="00756441">
              <w:rPr>
                <w:sz w:val="18"/>
                <w:szCs w:val="18"/>
                <w:lang w:eastAsia="en-GB"/>
              </w:rPr>
              <w:t>113</w:t>
            </w:r>
          </w:p>
        </w:tc>
        <w:tc>
          <w:tcPr>
            <w:tcW w:w="647" w:type="dxa"/>
            <w:tcBorders>
              <w:top w:val="single" w:sz="4" w:space="0" w:color="auto"/>
              <w:left w:val="nil"/>
              <w:bottom w:val="single" w:sz="4" w:space="0" w:color="auto"/>
              <w:right w:val="nil"/>
            </w:tcBorders>
            <w:shd w:val="clear" w:color="000000" w:fill="FFFFFF"/>
            <w:noWrap/>
            <w:vAlign w:val="center"/>
            <w:hideMark/>
          </w:tcPr>
          <w:p w14:paraId="6B669576" w14:textId="7A76C179" w:rsidR="000A0055" w:rsidRPr="00756441" w:rsidRDefault="000A0055" w:rsidP="004E59F5">
            <w:pPr>
              <w:pStyle w:val="Tabletext"/>
              <w:rPr>
                <w:sz w:val="18"/>
                <w:szCs w:val="18"/>
              </w:rPr>
            </w:pPr>
            <w:r w:rsidRPr="00756441">
              <w:rPr>
                <w:sz w:val="18"/>
                <w:szCs w:val="18"/>
                <w:lang w:eastAsia="en-GB"/>
              </w:rPr>
              <w:t>55</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5980C295" w14:textId="38E92E60" w:rsidR="000A0055" w:rsidRPr="00756441" w:rsidRDefault="000A0055" w:rsidP="004E59F5">
            <w:pPr>
              <w:pStyle w:val="Tabletext"/>
              <w:rPr>
                <w:sz w:val="18"/>
                <w:szCs w:val="18"/>
              </w:rPr>
            </w:pPr>
            <w:r w:rsidRPr="00756441">
              <w:rPr>
                <w:sz w:val="18"/>
                <w:szCs w:val="18"/>
                <w:lang w:eastAsia="en-GB"/>
              </w:rPr>
              <w:t>34</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3BB5AB91" w14:textId="64A4F69C" w:rsidR="000A0055" w:rsidRPr="00756441" w:rsidRDefault="000A0055" w:rsidP="004E59F5">
            <w:pPr>
              <w:pStyle w:val="Tabletext"/>
              <w:rPr>
                <w:sz w:val="18"/>
                <w:szCs w:val="18"/>
              </w:rPr>
            </w:pPr>
            <w:r w:rsidRPr="00756441">
              <w:rPr>
                <w:sz w:val="18"/>
                <w:szCs w:val="18"/>
                <w:lang w:eastAsia="en-GB"/>
              </w:rPr>
              <w:t>22</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4383A08F" w14:textId="2795A16E" w:rsidR="000A0055" w:rsidRPr="00756441" w:rsidRDefault="000A0055" w:rsidP="004E59F5">
            <w:pPr>
              <w:pStyle w:val="Tabletext"/>
              <w:rPr>
                <w:sz w:val="18"/>
                <w:szCs w:val="18"/>
              </w:rPr>
            </w:pPr>
            <w:r w:rsidRPr="00756441">
              <w:rPr>
                <w:sz w:val="18"/>
                <w:szCs w:val="18"/>
                <w:lang w:eastAsia="en-GB"/>
              </w:rPr>
              <w:t>35</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2BB36159" w14:textId="325EBBE0" w:rsidR="000A0055" w:rsidRPr="00756441" w:rsidRDefault="000A0055" w:rsidP="004E59F5">
            <w:pPr>
              <w:pStyle w:val="Tabletext"/>
              <w:rPr>
                <w:sz w:val="18"/>
                <w:szCs w:val="18"/>
              </w:rPr>
            </w:pPr>
            <w:r w:rsidRPr="00756441">
              <w:rPr>
                <w:sz w:val="18"/>
                <w:szCs w:val="18"/>
                <w:lang w:eastAsia="en-GB"/>
              </w:rPr>
              <w:t>26</w:t>
            </w:r>
          </w:p>
        </w:tc>
        <w:tc>
          <w:tcPr>
            <w:tcW w:w="580" w:type="dxa"/>
            <w:tcBorders>
              <w:top w:val="single" w:sz="4" w:space="0" w:color="auto"/>
              <w:left w:val="single" w:sz="4" w:space="0" w:color="auto"/>
              <w:bottom w:val="single" w:sz="4" w:space="0" w:color="auto"/>
              <w:right w:val="nil"/>
            </w:tcBorders>
            <w:shd w:val="clear" w:color="000000" w:fill="FFFFFF"/>
            <w:vAlign w:val="center"/>
          </w:tcPr>
          <w:p w14:paraId="1BAA4D2E" w14:textId="775A3BB7" w:rsidR="000A0055" w:rsidRPr="00756441" w:rsidRDefault="000A0055" w:rsidP="004E59F5">
            <w:pPr>
              <w:pStyle w:val="Tabletext"/>
              <w:rPr>
                <w:sz w:val="18"/>
                <w:szCs w:val="18"/>
              </w:rPr>
            </w:pPr>
            <w:r w:rsidRPr="00756441">
              <w:rPr>
                <w:sz w:val="18"/>
                <w:szCs w:val="18"/>
                <w:lang w:eastAsia="en-GB"/>
              </w:rPr>
              <w:t>15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F99E0" w14:textId="5BB1D649" w:rsidR="000A0055" w:rsidRPr="00756441" w:rsidRDefault="000A0055" w:rsidP="004E59F5">
            <w:pPr>
              <w:pStyle w:val="Tabletext"/>
              <w:rPr>
                <w:sz w:val="18"/>
                <w:szCs w:val="18"/>
              </w:rPr>
            </w:pPr>
            <w:r w:rsidRPr="00756441">
              <w:rPr>
                <w:sz w:val="18"/>
                <w:szCs w:val="18"/>
                <w:lang w:eastAsia="en-GB"/>
              </w:rPr>
              <w:t>9</w:t>
            </w:r>
          </w:p>
        </w:tc>
        <w:tc>
          <w:tcPr>
            <w:tcW w:w="580" w:type="dxa"/>
            <w:tcBorders>
              <w:top w:val="single" w:sz="4" w:space="0" w:color="auto"/>
              <w:left w:val="single" w:sz="4" w:space="0" w:color="auto"/>
              <w:bottom w:val="single" w:sz="4" w:space="0" w:color="auto"/>
              <w:right w:val="single" w:sz="4" w:space="0" w:color="auto"/>
            </w:tcBorders>
            <w:vAlign w:val="center"/>
          </w:tcPr>
          <w:p w14:paraId="463DE2F5" w14:textId="631BE6B4" w:rsidR="000A0055" w:rsidRPr="00756441" w:rsidRDefault="000A0055" w:rsidP="004E59F5">
            <w:pPr>
              <w:pStyle w:val="Tabletext"/>
              <w:rPr>
                <w:b/>
                <w:bCs/>
                <w:sz w:val="18"/>
                <w:szCs w:val="18"/>
              </w:rPr>
            </w:pPr>
            <w:r w:rsidRPr="00756441">
              <w:rPr>
                <w:sz w:val="18"/>
                <w:szCs w:val="18"/>
                <w:lang w:eastAsia="en-GB"/>
              </w:rPr>
              <w:t>19</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19F211C" w14:textId="5076A3A2" w:rsidR="000A0055" w:rsidRPr="00756441" w:rsidRDefault="000A0055" w:rsidP="004E59F5">
            <w:pPr>
              <w:pStyle w:val="Tabletext"/>
              <w:rPr>
                <w:b/>
                <w:bCs/>
                <w:sz w:val="18"/>
                <w:szCs w:val="18"/>
              </w:rPr>
            </w:pPr>
            <w:r w:rsidRPr="00756441">
              <w:rPr>
                <w:b/>
                <w:bCs/>
                <w:sz w:val="18"/>
                <w:szCs w:val="18"/>
                <w:lang w:eastAsia="en-GB"/>
              </w:rPr>
              <w:t>345</w:t>
            </w:r>
          </w:p>
        </w:tc>
      </w:tr>
      <w:tr w:rsidR="004E59F5" w:rsidRPr="00756441" w14:paraId="0EBCCCB8" w14:textId="77777777" w:rsidTr="004E59F5">
        <w:trPr>
          <w:jc w:val="center"/>
        </w:trPr>
        <w:tc>
          <w:tcPr>
            <w:tcW w:w="1977" w:type="dxa"/>
            <w:tcBorders>
              <w:top w:val="nil"/>
              <w:left w:val="single" w:sz="6" w:space="0" w:color="auto"/>
              <w:bottom w:val="single" w:sz="4" w:space="0" w:color="auto"/>
              <w:right w:val="single" w:sz="4" w:space="0" w:color="auto"/>
            </w:tcBorders>
            <w:shd w:val="clear" w:color="auto" w:fill="auto"/>
            <w:noWrap/>
            <w:hideMark/>
          </w:tcPr>
          <w:p w14:paraId="15A2A8CE" w14:textId="69D05737" w:rsidR="000A0055" w:rsidRPr="00756441" w:rsidRDefault="000A0055" w:rsidP="004E59F5">
            <w:pPr>
              <w:pStyle w:val="Tabletext"/>
              <w:rPr>
                <w:sz w:val="18"/>
                <w:szCs w:val="18"/>
              </w:rPr>
            </w:pPr>
            <w:r w:rsidRPr="00756441">
              <w:rPr>
                <w:sz w:val="18"/>
                <w:szCs w:val="18"/>
              </w:rPr>
              <w:t>En preparación</w:t>
            </w:r>
          </w:p>
        </w:tc>
        <w:tc>
          <w:tcPr>
            <w:tcW w:w="647" w:type="dxa"/>
            <w:tcBorders>
              <w:top w:val="single" w:sz="4" w:space="0" w:color="auto"/>
              <w:left w:val="nil"/>
              <w:bottom w:val="single" w:sz="4" w:space="0" w:color="auto"/>
              <w:right w:val="single" w:sz="4" w:space="0" w:color="auto"/>
            </w:tcBorders>
            <w:shd w:val="clear" w:color="000000" w:fill="FFFFFF"/>
            <w:noWrap/>
            <w:vAlign w:val="center"/>
            <w:hideMark/>
          </w:tcPr>
          <w:p w14:paraId="1C329179" w14:textId="72705404"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5B038FFE" w14:textId="5A54194F"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14:paraId="32B7F697" w14:textId="675BCF47"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4" w:space="0" w:color="auto"/>
              <w:left w:val="nil"/>
              <w:bottom w:val="single" w:sz="4" w:space="0" w:color="auto"/>
              <w:right w:val="nil"/>
            </w:tcBorders>
            <w:shd w:val="clear" w:color="000000" w:fill="FFFFFF"/>
            <w:noWrap/>
            <w:vAlign w:val="center"/>
            <w:hideMark/>
          </w:tcPr>
          <w:p w14:paraId="567BC73C" w14:textId="482BBFFE" w:rsidR="000A0055" w:rsidRPr="00756441" w:rsidRDefault="000A0055" w:rsidP="004E59F5">
            <w:pPr>
              <w:pStyle w:val="Tabletext"/>
              <w:rPr>
                <w:sz w:val="18"/>
                <w:szCs w:val="18"/>
              </w:rPr>
            </w:pPr>
            <w:r w:rsidRPr="00756441">
              <w:rPr>
                <w:sz w:val="18"/>
                <w:szCs w:val="18"/>
                <w:lang w:eastAsia="en-GB"/>
              </w:rPr>
              <w:t>2</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65973478" w14:textId="51714E03"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74C4BA1B" w14:textId="02CAA1A9" w:rsidR="000A0055" w:rsidRPr="00756441" w:rsidRDefault="000A0055" w:rsidP="004E59F5">
            <w:pPr>
              <w:pStyle w:val="Tabletext"/>
              <w:rPr>
                <w:sz w:val="18"/>
                <w:szCs w:val="18"/>
              </w:rPr>
            </w:pPr>
            <w:r w:rsidRPr="00756441">
              <w:rPr>
                <w:sz w:val="18"/>
                <w:szCs w:val="18"/>
                <w:lang w:eastAsia="en-GB"/>
              </w:rPr>
              <w:t>6</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3A2487D5" w14:textId="32A87855" w:rsidR="000A0055" w:rsidRPr="00756441" w:rsidRDefault="000A0055" w:rsidP="004E59F5">
            <w:pPr>
              <w:pStyle w:val="Tabletext"/>
              <w:rPr>
                <w:sz w:val="18"/>
                <w:szCs w:val="18"/>
              </w:rPr>
            </w:pPr>
            <w:r w:rsidRPr="00756441">
              <w:rPr>
                <w:sz w:val="18"/>
                <w:szCs w:val="18"/>
                <w:lang w:eastAsia="en-GB"/>
              </w:rPr>
              <w:t>13</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267BD11E" w14:textId="041D279B" w:rsidR="000A0055" w:rsidRPr="00756441" w:rsidRDefault="000A0055" w:rsidP="004E59F5">
            <w:pPr>
              <w:pStyle w:val="Tabletext"/>
              <w:rPr>
                <w:sz w:val="18"/>
                <w:szCs w:val="18"/>
              </w:rPr>
            </w:pPr>
            <w:r w:rsidRPr="00756441">
              <w:rPr>
                <w:sz w:val="18"/>
                <w:szCs w:val="18"/>
                <w:lang w:eastAsia="en-GB"/>
              </w:rPr>
              <w:t>10</w:t>
            </w:r>
          </w:p>
        </w:tc>
        <w:tc>
          <w:tcPr>
            <w:tcW w:w="580" w:type="dxa"/>
            <w:tcBorders>
              <w:top w:val="single" w:sz="4" w:space="0" w:color="auto"/>
              <w:left w:val="single" w:sz="4" w:space="0" w:color="auto"/>
              <w:bottom w:val="single" w:sz="4" w:space="0" w:color="auto"/>
              <w:right w:val="nil"/>
            </w:tcBorders>
            <w:shd w:val="clear" w:color="000000" w:fill="FFFFFF"/>
            <w:vAlign w:val="center"/>
          </w:tcPr>
          <w:p w14:paraId="77124476" w14:textId="6D851DCD" w:rsidR="000A0055" w:rsidRPr="00756441" w:rsidRDefault="000A0055" w:rsidP="004E59F5">
            <w:pPr>
              <w:pStyle w:val="Tabletext"/>
              <w:rPr>
                <w:sz w:val="18"/>
                <w:szCs w:val="18"/>
              </w:rPr>
            </w:pPr>
            <w:r w:rsidRPr="00756441">
              <w:rPr>
                <w:sz w:val="18"/>
                <w:szCs w:val="18"/>
                <w:lang w:eastAsia="en-GB"/>
              </w:rPr>
              <w:t>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95789" w14:textId="26D54007" w:rsidR="000A0055" w:rsidRPr="00756441" w:rsidRDefault="000A0055" w:rsidP="004E59F5">
            <w:pPr>
              <w:pStyle w:val="Tabletext"/>
              <w:rPr>
                <w:sz w:val="18"/>
                <w:szCs w:val="18"/>
              </w:rPr>
            </w:pPr>
            <w:r w:rsidRPr="00756441">
              <w:rPr>
                <w:sz w:val="18"/>
                <w:szCs w:val="18"/>
                <w:lang w:eastAsia="en-GB"/>
              </w:rPr>
              <w:t>4</w:t>
            </w:r>
          </w:p>
        </w:tc>
        <w:tc>
          <w:tcPr>
            <w:tcW w:w="580" w:type="dxa"/>
            <w:tcBorders>
              <w:top w:val="single" w:sz="4" w:space="0" w:color="auto"/>
              <w:left w:val="single" w:sz="4" w:space="0" w:color="auto"/>
              <w:bottom w:val="single" w:sz="4" w:space="0" w:color="auto"/>
              <w:right w:val="single" w:sz="4" w:space="0" w:color="auto"/>
            </w:tcBorders>
            <w:vAlign w:val="center"/>
          </w:tcPr>
          <w:p w14:paraId="4EC4F232" w14:textId="46C9F801" w:rsidR="000A0055" w:rsidRPr="00756441" w:rsidRDefault="000A0055" w:rsidP="004E59F5">
            <w:pPr>
              <w:pStyle w:val="Tabletext"/>
              <w:rPr>
                <w:b/>
                <w:bCs/>
                <w:sz w:val="18"/>
                <w:szCs w:val="18"/>
              </w:rPr>
            </w:pPr>
            <w:r w:rsidRPr="00756441">
              <w:rPr>
                <w:sz w:val="18"/>
                <w:szCs w:val="18"/>
                <w:lang w:eastAsia="en-GB"/>
              </w:rPr>
              <w:t>13</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6FFCF34" w14:textId="1C92A2ED" w:rsidR="000A0055" w:rsidRPr="00756441" w:rsidRDefault="000A0055" w:rsidP="004E59F5">
            <w:pPr>
              <w:pStyle w:val="Tabletext"/>
              <w:rPr>
                <w:b/>
                <w:bCs/>
                <w:sz w:val="18"/>
                <w:szCs w:val="18"/>
              </w:rPr>
            </w:pPr>
            <w:r w:rsidRPr="00756441">
              <w:rPr>
                <w:b/>
                <w:bCs/>
                <w:sz w:val="18"/>
                <w:szCs w:val="18"/>
                <w:lang w:eastAsia="en-GB"/>
              </w:rPr>
              <w:t>55</w:t>
            </w:r>
          </w:p>
        </w:tc>
      </w:tr>
      <w:tr w:rsidR="004E59F5" w:rsidRPr="00756441" w14:paraId="7D7E7B3B" w14:textId="77777777" w:rsidTr="004E59F5">
        <w:trPr>
          <w:jc w:val="center"/>
        </w:trPr>
        <w:tc>
          <w:tcPr>
            <w:tcW w:w="1977" w:type="dxa"/>
            <w:tcBorders>
              <w:top w:val="nil"/>
              <w:left w:val="single" w:sz="6" w:space="0" w:color="auto"/>
              <w:bottom w:val="single" w:sz="4" w:space="0" w:color="auto"/>
              <w:right w:val="single" w:sz="4" w:space="0" w:color="auto"/>
            </w:tcBorders>
            <w:shd w:val="clear" w:color="auto" w:fill="auto"/>
            <w:noWrap/>
            <w:hideMark/>
          </w:tcPr>
          <w:p w14:paraId="7C06659D" w14:textId="2C24E468" w:rsidR="000A0055" w:rsidRPr="00756441" w:rsidRDefault="000A0055" w:rsidP="004E59F5">
            <w:pPr>
              <w:pStyle w:val="Tabletext"/>
              <w:rPr>
                <w:sz w:val="18"/>
                <w:szCs w:val="18"/>
              </w:rPr>
            </w:pPr>
            <w:r w:rsidRPr="00756441">
              <w:rPr>
                <w:sz w:val="18"/>
                <w:szCs w:val="18"/>
              </w:rPr>
              <w:t>Retrasadas</w:t>
            </w:r>
          </w:p>
        </w:tc>
        <w:tc>
          <w:tcPr>
            <w:tcW w:w="647" w:type="dxa"/>
            <w:tcBorders>
              <w:top w:val="single" w:sz="4" w:space="0" w:color="auto"/>
              <w:left w:val="nil"/>
              <w:bottom w:val="single" w:sz="4" w:space="0" w:color="auto"/>
              <w:right w:val="single" w:sz="4" w:space="0" w:color="auto"/>
            </w:tcBorders>
            <w:shd w:val="clear" w:color="000000" w:fill="FFFFFF"/>
            <w:noWrap/>
            <w:vAlign w:val="center"/>
            <w:hideMark/>
          </w:tcPr>
          <w:p w14:paraId="1C752FC6" w14:textId="4BC770A0" w:rsidR="000A0055" w:rsidRPr="00756441" w:rsidRDefault="000A0055" w:rsidP="004E59F5">
            <w:pPr>
              <w:pStyle w:val="Tabletext"/>
              <w:rPr>
                <w:sz w:val="18"/>
                <w:szCs w:val="18"/>
              </w:rPr>
            </w:pPr>
            <w:r w:rsidRPr="00756441">
              <w:rPr>
                <w:sz w:val="18"/>
                <w:szCs w:val="18"/>
                <w:lang w:eastAsia="en-GB"/>
              </w:rPr>
              <w:t>3</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56B67C98" w14:textId="6DFE0488"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14:paraId="31D6BFDE" w14:textId="3F321171"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nil"/>
            </w:tcBorders>
            <w:shd w:val="clear" w:color="000000" w:fill="FFFFFF"/>
            <w:noWrap/>
            <w:vAlign w:val="center"/>
            <w:hideMark/>
          </w:tcPr>
          <w:p w14:paraId="168B69AA" w14:textId="31E535BA"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7D615334" w14:textId="45C10D20"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19C1F7CA" w14:textId="46D37007"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414BCAA3" w14:textId="387D921D"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13A9A948" w14:textId="445B26A5" w:rsidR="000A0055" w:rsidRPr="00756441" w:rsidRDefault="000A0055" w:rsidP="004E59F5">
            <w:pPr>
              <w:pStyle w:val="Tabletext"/>
              <w:rPr>
                <w:sz w:val="18"/>
                <w:szCs w:val="18"/>
              </w:rPr>
            </w:pPr>
            <w:r w:rsidRPr="00756441">
              <w:rPr>
                <w:sz w:val="18"/>
                <w:szCs w:val="18"/>
                <w:lang w:eastAsia="en-GB"/>
              </w:rPr>
              <w:t>0</w:t>
            </w:r>
          </w:p>
        </w:tc>
        <w:tc>
          <w:tcPr>
            <w:tcW w:w="580" w:type="dxa"/>
            <w:tcBorders>
              <w:top w:val="single" w:sz="4" w:space="0" w:color="auto"/>
              <w:left w:val="single" w:sz="4" w:space="0" w:color="auto"/>
              <w:bottom w:val="single" w:sz="4" w:space="0" w:color="auto"/>
              <w:right w:val="nil"/>
            </w:tcBorders>
            <w:shd w:val="clear" w:color="000000" w:fill="FFFFFF"/>
            <w:vAlign w:val="center"/>
          </w:tcPr>
          <w:p w14:paraId="6ECFEF5E" w14:textId="521C8F02"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DC8A" w14:textId="3F8A6F4B" w:rsidR="000A0055" w:rsidRPr="00756441" w:rsidRDefault="000A0055" w:rsidP="004E59F5">
            <w:pPr>
              <w:pStyle w:val="Tabletext"/>
              <w:rPr>
                <w:sz w:val="18"/>
                <w:szCs w:val="18"/>
              </w:rPr>
            </w:pPr>
            <w:r w:rsidRPr="00756441">
              <w:rPr>
                <w:sz w:val="18"/>
                <w:szCs w:val="18"/>
                <w:lang w:eastAsia="en-GB"/>
              </w:rPr>
              <w:t>0</w:t>
            </w:r>
          </w:p>
        </w:tc>
        <w:tc>
          <w:tcPr>
            <w:tcW w:w="580" w:type="dxa"/>
            <w:tcBorders>
              <w:top w:val="single" w:sz="4" w:space="0" w:color="auto"/>
              <w:left w:val="single" w:sz="4" w:space="0" w:color="auto"/>
              <w:bottom w:val="single" w:sz="4" w:space="0" w:color="auto"/>
              <w:right w:val="single" w:sz="4" w:space="0" w:color="auto"/>
            </w:tcBorders>
            <w:vAlign w:val="center"/>
          </w:tcPr>
          <w:p w14:paraId="466AB3E7" w14:textId="5EC3D3A9" w:rsidR="000A0055" w:rsidRPr="00756441" w:rsidRDefault="000A0055" w:rsidP="004E59F5">
            <w:pPr>
              <w:pStyle w:val="Tabletext"/>
              <w:rPr>
                <w:b/>
                <w:bCs/>
                <w:sz w:val="18"/>
                <w:szCs w:val="18"/>
              </w:rPr>
            </w:pPr>
            <w:r w:rsidRPr="00756441">
              <w:rPr>
                <w:sz w:val="18"/>
                <w:szCs w:val="18"/>
                <w:lang w:eastAsia="en-GB"/>
              </w:rPr>
              <w:t>4</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CFF697B" w14:textId="4ED765D8" w:rsidR="000A0055" w:rsidRPr="00756441" w:rsidRDefault="000A0055" w:rsidP="004E59F5">
            <w:pPr>
              <w:pStyle w:val="Tabletext"/>
              <w:rPr>
                <w:b/>
                <w:bCs/>
                <w:sz w:val="18"/>
                <w:szCs w:val="18"/>
              </w:rPr>
            </w:pPr>
            <w:r w:rsidRPr="00756441">
              <w:rPr>
                <w:b/>
                <w:bCs/>
                <w:sz w:val="18"/>
                <w:szCs w:val="18"/>
                <w:lang w:eastAsia="en-GB"/>
              </w:rPr>
              <w:t>7</w:t>
            </w:r>
          </w:p>
        </w:tc>
      </w:tr>
      <w:tr w:rsidR="004E59F5" w:rsidRPr="00756441" w14:paraId="5E294C0B" w14:textId="77777777" w:rsidTr="004E59F5">
        <w:trPr>
          <w:jc w:val="center"/>
        </w:trPr>
        <w:tc>
          <w:tcPr>
            <w:tcW w:w="1977" w:type="dxa"/>
            <w:tcBorders>
              <w:top w:val="single" w:sz="4" w:space="0" w:color="auto"/>
              <w:left w:val="single" w:sz="6" w:space="0" w:color="auto"/>
              <w:bottom w:val="single" w:sz="4" w:space="0" w:color="auto"/>
              <w:right w:val="single" w:sz="4" w:space="0" w:color="auto"/>
            </w:tcBorders>
            <w:shd w:val="clear" w:color="auto" w:fill="auto"/>
            <w:noWrap/>
            <w:hideMark/>
          </w:tcPr>
          <w:p w14:paraId="784A87AF" w14:textId="60A8E2B9" w:rsidR="000A0055" w:rsidRPr="00756441" w:rsidRDefault="000A0055" w:rsidP="004E59F5">
            <w:pPr>
              <w:pStyle w:val="Tabletext"/>
              <w:rPr>
                <w:sz w:val="18"/>
                <w:szCs w:val="18"/>
              </w:rPr>
            </w:pPr>
            <w:r w:rsidRPr="00756441">
              <w:rPr>
                <w:sz w:val="18"/>
                <w:szCs w:val="18"/>
              </w:rPr>
              <w:t>Cerradas</w:t>
            </w:r>
          </w:p>
        </w:tc>
        <w:tc>
          <w:tcPr>
            <w:tcW w:w="647" w:type="dxa"/>
            <w:tcBorders>
              <w:top w:val="single" w:sz="4" w:space="0" w:color="auto"/>
              <w:left w:val="nil"/>
              <w:bottom w:val="single" w:sz="4" w:space="0" w:color="auto"/>
              <w:right w:val="single" w:sz="4" w:space="0" w:color="auto"/>
            </w:tcBorders>
            <w:shd w:val="clear" w:color="000000" w:fill="FFFFFF"/>
            <w:noWrap/>
            <w:vAlign w:val="center"/>
            <w:hideMark/>
          </w:tcPr>
          <w:p w14:paraId="5E442B26" w14:textId="386B0110" w:rsidR="000A0055" w:rsidRPr="00756441" w:rsidRDefault="000A0055" w:rsidP="004E59F5">
            <w:pPr>
              <w:pStyle w:val="Tabletext"/>
              <w:rPr>
                <w:sz w:val="18"/>
                <w:szCs w:val="18"/>
              </w:rPr>
            </w:pPr>
            <w:r w:rsidRPr="00756441">
              <w:rPr>
                <w:sz w:val="18"/>
                <w:szCs w:val="18"/>
                <w:lang w:eastAsia="en-GB"/>
              </w:rPr>
              <w:t>14</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78384444" w14:textId="49AF35F0"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14:paraId="219FE163" w14:textId="74C0E53E" w:rsidR="000A0055" w:rsidRPr="00756441" w:rsidRDefault="000A0055" w:rsidP="004E59F5">
            <w:pPr>
              <w:pStyle w:val="Tabletext"/>
              <w:rPr>
                <w:sz w:val="18"/>
                <w:szCs w:val="18"/>
              </w:rPr>
            </w:pPr>
            <w:r w:rsidRPr="00756441">
              <w:rPr>
                <w:sz w:val="18"/>
                <w:szCs w:val="18"/>
                <w:lang w:eastAsia="en-GB"/>
              </w:rPr>
              <w:t>109</w:t>
            </w:r>
          </w:p>
        </w:tc>
        <w:tc>
          <w:tcPr>
            <w:tcW w:w="647" w:type="dxa"/>
            <w:tcBorders>
              <w:top w:val="single" w:sz="4" w:space="0" w:color="auto"/>
              <w:left w:val="nil"/>
              <w:bottom w:val="single" w:sz="4" w:space="0" w:color="auto"/>
              <w:right w:val="nil"/>
            </w:tcBorders>
            <w:shd w:val="clear" w:color="000000" w:fill="FFFFFF"/>
            <w:noWrap/>
            <w:vAlign w:val="center"/>
            <w:hideMark/>
          </w:tcPr>
          <w:p w14:paraId="0D965009" w14:textId="27276C71" w:rsidR="000A0055" w:rsidRPr="00756441" w:rsidRDefault="000A0055" w:rsidP="004E59F5">
            <w:pPr>
              <w:pStyle w:val="Tabletext"/>
              <w:rPr>
                <w:sz w:val="18"/>
                <w:szCs w:val="18"/>
              </w:rPr>
            </w:pPr>
            <w:r w:rsidRPr="00756441">
              <w:rPr>
                <w:sz w:val="18"/>
                <w:szCs w:val="18"/>
                <w:lang w:eastAsia="en-GB"/>
              </w:rPr>
              <w:t>53</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5A891E2B" w14:textId="241D36B7" w:rsidR="000A0055" w:rsidRPr="00756441" w:rsidRDefault="000A0055" w:rsidP="004E59F5">
            <w:pPr>
              <w:pStyle w:val="Tabletext"/>
              <w:rPr>
                <w:sz w:val="18"/>
                <w:szCs w:val="18"/>
              </w:rPr>
            </w:pPr>
            <w:r w:rsidRPr="00756441">
              <w:rPr>
                <w:sz w:val="18"/>
                <w:szCs w:val="18"/>
                <w:lang w:eastAsia="en-GB"/>
              </w:rPr>
              <w:t>34</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59573A9A" w14:textId="6EC96EAA" w:rsidR="000A0055" w:rsidRPr="00756441" w:rsidRDefault="000A0055" w:rsidP="004E59F5">
            <w:pPr>
              <w:pStyle w:val="Tabletext"/>
              <w:rPr>
                <w:sz w:val="18"/>
                <w:szCs w:val="18"/>
              </w:rPr>
            </w:pPr>
            <w:r w:rsidRPr="00756441">
              <w:rPr>
                <w:sz w:val="18"/>
                <w:szCs w:val="18"/>
                <w:lang w:eastAsia="en-GB"/>
              </w:rPr>
              <w:t>16</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026FFDC4" w14:textId="40A75BF4" w:rsidR="000A0055" w:rsidRPr="00756441" w:rsidRDefault="000A0055" w:rsidP="004E59F5">
            <w:pPr>
              <w:pStyle w:val="Tabletext"/>
              <w:rPr>
                <w:sz w:val="18"/>
                <w:szCs w:val="18"/>
              </w:rPr>
            </w:pPr>
            <w:r w:rsidRPr="00756441">
              <w:rPr>
                <w:sz w:val="18"/>
                <w:szCs w:val="18"/>
                <w:lang w:eastAsia="en-GB"/>
              </w:rPr>
              <w:t>22</w:t>
            </w:r>
          </w:p>
        </w:tc>
        <w:tc>
          <w:tcPr>
            <w:tcW w:w="647" w:type="dxa"/>
            <w:tcBorders>
              <w:top w:val="single" w:sz="4" w:space="0" w:color="auto"/>
              <w:left w:val="single" w:sz="4" w:space="0" w:color="auto"/>
              <w:bottom w:val="single" w:sz="4" w:space="0" w:color="auto"/>
              <w:right w:val="nil"/>
            </w:tcBorders>
            <w:shd w:val="clear" w:color="000000" w:fill="FFFFFF"/>
            <w:noWrap/>
            <w:vAlign w:val="center"/>
            <w:hideMark/>
          </w:tcPr>
          <w:p w14:paraId="1D66F730" w14:textId="6F7F8491" w:rsidR="000A0055" w:rsidRPr="00756441" w:rsidRDefault="000A0055" w:rsidP="004E59F5">
            <w:pPr>
              <w:pStyle w:val="Tabletext"/>
              <w:rPr>
                <w:sz w:val="18"/>
                <w:szCs w:val="18"/>
              </w:rPr>
            </w:pPr>
            <w:r w:rsidRPr="00756441">
              <w:rPr>
                <w:sz w:val="18"/>
                <w:szCs w:val="18"/>
                <w:lang w:eastAsia="en-GB"/>
              </w:rPr>
              <w:t>16</w:t>
            </w:r>
          </w:p>
        </w:tc>
        <w:tc>
          <w:tcPr>
            <w:tcW w:w="580" w:type="dxa"/>
            <w:tcBorders>
              <w:top w:val="single" w:sz="4" w:space="0" w:color="auto"/>
              <w:left w:val="single" w:sz="4" w:space="0" w:color="auto"/>
              <w:bottom w:val="single" w:sz="4" w:space="0" w:color="auto"/>
              <w:right w:val="nil"/>
            </w:tcBorders>
            <w:shd w:val="clear" w:color="000000" w:fill="FFFFFF"/>
            <w:vAlign w:val="center"/>
          </w:tcPr>
          <w:p w14:paraId="12259BA6" w14:textId="0A0DA238" w:rsidR="000A0055" w:rsidRPr="00756441" w:rsidRDefault="000A0055" w:rsidP="004E59F5">
            <w:pPr>
              <w:pStyle w:val="Tabletext"/>
              <w:rPr>
                <w:sz w:val="18"/>
                <w:szCs w:val="18"/>
              </w:rPr>
            </w:pPr>
            <w:r w:rsidRPr="00756441">
              <w:rPr>
                <w:sz w:val="18"/>
                <w:szCs w:val="18"/>
                <w:lang w:eastAsia="en-GB"/>
              </w:rPr>
              <w:t>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E40E" w14:textId="4814F56A" w:rsidR="000A0055" w:rsidRPr="00756441" w:rsidRDefault="000A0055" w:rsidP="004E59F5">
            <w:pPr>
              <w:pStyle w:val="Tabletext"/>
              <w:rPr>
                <w:sz w:val="18"/>
                <w:szCs w:val="18"/>
              </w:rPr>
            </w:pPr>
            <w:r w:rsidRPr="00756441">
              <w:rPr>
                <w:sz w:val="18"/>
                <w:szCs w:val="18"/>
                <w:lang w:eastAsia="en-GB"/>
              </w:rPr>
              <w:t>5</w:t>
            </w:r>
          </w:p>
        </w:tc>
        <w:tc>
          <w:tcPr>
            <w:tcW w:w="580" w:type="dxa"/>
            <w:tcBorders>
              <w:top w:val="single" w:sz="4" w:space="0" w:color="auto"/>
              <w:left w:val="single" w:sz="4" w:space="0" w:color="auto"/>
              <w:bottom w:val="single" w:sz="4" w:space="0" w:color="auto"/>
              <w:right w:val="single" w:sz="4" w:space="0" w:color="auto"/>
            </w:tcBorders>
            <w:vAlign w:val="center"/>
          </w:tcPr>
          <w:p w14:paraId="23C62CBD" w14:textId="54DDCF59" w:rsidR="000A0055" w:rsidRPr="00756441" w:rsidRDefault="000A0055" w:rsidP="004E59F5">
            <w:pPr>
              <w:pStyle w:val="Tabletext"/>
              <w:rPr>
                <w:b/>
                <w:bCs/>
                <w:sz w:val="18"/>
                <w:szCs w:val="18"/>
              </w:rPr>
            </w:pPr>
            <w:r w:rsidRPr="00756441">
              <w:rPr>
                <w:sz w:val="18"/>
                <w:szCs w:val="18"/>
                <w:lang w:eastAsia="en-GB"/>
              </w:rPr>
              <w:t>2</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3C9C221" w14:textId="6717D0C0" w:rsidR="000A0055" w:rsidRPr="00756441" w:rsidRDefault="000A0055" w:rsidP="004E59F5">
            <w:pPr>
              <w:pStyle w:val="Tabletext"/>
              <w:rPr>
                <w:b/>
                <w:bCs/>
                <w:sz w:val="18"/>
                <w:szCs w:val="18"/>
              </w:rPr>
            </w:pPr>
            <w:r w:rsidRPr="00756441">
              <w:rPr>
                <w:b/>
                <w:bCs/>
                <w:sz w:val="18"/>
                <w:szCs w:val="18"/>
                <w:lang w:eastAsia="en-GB"/>
              </w:rPr>
              <w:t>283</w:t>
            </w:r>
          </w:p>
        </w:tc>
      </w:tr>
      <w:tr w:rsidR="004E59F5" w:rsidRPr="00756441" w14:paraId="5DA0D055" w14:textId="77777777" w:rsidTr="004E59F5">
        <w:trPr>
          <w:jc w:val="center"/>
        </w:trPr>
        <w:tc>
          <w:tcPr>
            <w:tcW w:w="1977" w:type="dxa"/>
            <w:tcBorders>
              <w:top w:val="single" w:sz="4" w:space="0" w:color="auto"/>
              <w:left w:val="nil"/>
              <w:bottom w:val="single" w:sz="4" w:space="0" w:color="auto"/>
              <w:right w:val="nil"/>
            </w:tcBorders>
            <w:shd w:val="clear" w:color="auto" w:fill="auto"/>
            <w:noWrap/>
            <w:hideMark/>
          </w:tcPr>
          <w:p w14:paraId="71573CF3" w14:textId="77777777" w:rsidR="000A0055" w:rsidRPr="00756441" w:rsidRDefault="000A0055" w:rsidP="004E59F5">
            <w:pPr>
              <w:pStyle w:val="Tabletext"/>
              <w:rPr>
                <w:sz w:val="18"/>
                <w:szCs w:val="18"/>
              </w:rPr>
            </w:pPr>
          </w:p>
        </w:tc>
        <w:tc>
          <w:tcPr>
            <w:tcW w:w="647" w:type="dxa"/>
            <w:tcBorders>
              <w:top w:val="nil"/>
              <w:left w:val="nil"/>
              <w:bottom w:val="single" w:sz="4" w:space="0" w:color="auto"/>
              <w:right w:val="nil"/>
            </w:tcBorders>
            <w:shd w:val="clear" w:color="000000" w:fill="FFFFFF"/>
            <w:noWrap/>
            <w:vAlign w:val="center"/>
            <w:hideMark/>
          </w:tcPr>
          <w:p w14:paraId="3ACA3941" w14:textId="5A5E5BE9"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auto" w:fill="auto"/>
            <w:noWrap/>
            <w:vAlign w:val="bottom"/>
            <w:hideMark/>
          </w:tcPr>
          <w:p w14:paraId="7B033991" w14:textId="77777777" w:rsidR="000A0055" w:rsidRPr="00756441" w:rsidRDefault="000A0055" w:rsidP="004E59F5">
            <w:pPr>
              <w:pStyle w:val="Tabletext"/>
              <w:rPr>
                <w:sz w:val="18"/>
                <w:szCs w:val="18"/>
              </w:rPr>
            </w:pPr>
          </w:p>
        </w:tc>
        <w:tc>
          <w:tcPr>
            <w:tcW w:w="646" w:type="dxa"/>
            <w:tcBorders>
              <w:top w:val="nil"/>
              <w:left w:val="nil"/>
              <w:bottom w:val="single" w:sz="4" w:space="0" w:color="auto"/>
              <w:right w:val="nil"/>
            </w:tcBorders>
            <w:shd w:val="clear" w:color="000000" w:fill="FFFFFF"/>
            <w:noWrap/>
            <w:vAlign w:val="center"/>
            <w:hideMark/>
          </w:tcPr>
          <w:p w14:paraId="45C47067" w14:textId="70F8DA13"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000000" w:fill="FFFFFF"/>
            <w:noWrap/>
            <w:vAlign w:val="center"/>
            <w:hideMark/>
          </w:tcPr>
          <w:p w14:paraId="1C18FBA8" w14:textId="15D30257"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000000" w:fill="FFFFFF"/>
            <w:noWrap/>
            <w:vAlign w:val="center"/>
            <w:hideMark/>
          </w:tcPr>
          <w:p w14:paraId="057B2684" w14:textId="5B0D8BC3"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000000" w:fill="FFFFFF"/>
            <w:noWrap/>
            <w:vAlign w:val="center"/>
            <w:hideMark/>
          </w:tcPr>
          <w:p w14:paraId="60813832" w14:textId="31B78E9C"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000000" w:fill="FFFFFF"/>
            <w:noWrap/>
            <w:vAlign w:val="center"/>
            <w:hideMark/>
          </w:tcPr>
          <w:p w14:paraId="5855B060" w14:textId="69E6B72F" w:rsidR="000A0055" w:rsidRPr="00756441" w:rsidRDefault="000A0055" w:rsidP="004E59F5">
            <w:pPr>
              <w:pStyle w:val="Tabletext"/>
              <w:rPr>
                <w:sz w:val="18"/>
                <w:szCs w:val="18"/>
              </w:rPr>
            </w:pPr>
            <w:r w:rsidRPr="00756441">
              <w:rPr>
                <w:sz w:val="18"/>
                <w:szCs w:val="18"/>
                <w:lang w:eastAsia="en-GB"/>
              </w:rPr>
              <w:t> </w:t>
            </w:r>
          </w:p>
        </w:tc>
        <w:tc>
          <w:tcPr>
            <w:tcW w:w="647" w:type="dxa"/>
            <w:tcBorders>
              <w:top w:val="nil"/>
              <w:left w:val="nil"/>
              <w:bottom w:val="single" w:sz="4" w:space="0" w:color="auto"/>
              <w:right w:val="nil"/>
            </w:tcBorders>
            <w:shd w:val="clear" w:color="000000" w:fill="FFFFFF"/>
            <w:noWrap/>
            <w:vAlign w:val="center"/>
            <w:hideMark/>
          </w:tcPr>
          <w:p w14:paraId="6A5C4763" w14:textId="530E6EF9" w:rsidR="000A0055" w:rsidRPr="00756441" w:rsidRDefault="000A0055" w:rsidP="004E59F5">
            <w:pPr>
              <w:pStyle w:val="Tabletext"/>
              <w:rPr>
                <w:sz w:val="18"/>
                <w:szCs w:val="18"/>
              </w:rPr>
            </w:pPr>
            <w:r w:rsidRPr="00756441">
              <w:rPr>
                <w:sz w:val="18"/>
                <w:szCs w:val="18"/>
                <w:lang w:eastAsia="en-GB"/>
              </w:rPr>
              <w:t> </w:t>
            </w:r>
          </w:p>
        </w:tc>
        <w:tc>
          <w:tcPr>
            <w:tcW w:w="580" w:type="dxa"/>
            <w:tcBorders>
              <w:top w:val="nil"/>
              <w:left w:val="nil"/>
              <w:bottom w:val="single" w:sz="4" w:space="0" w:color="auto"/>
              <w:right w:val="nil"/>
            </w:tcBorders>
            <w:shd w:val="clear" w:color="000000" w:fill="FFFFFF"/>
            <w:vAlign w:val="center"/>
          </w:tcPr>
          <w:p w14:paraId="712B8C1C" w14:textId="6BC42BAF" w:rsidR="000A0055" w:rsidRPr="00756441" w:rsidRDefault="000A0055" w:rsidP="004E59F5">
            <w:pPr>
              <w:pStyle w:val="Tabletext"/>
              <w:rPr>
                <w:sz w:val="18"/>
                <w:szCs w:val="18"/>
              </w:rPr>
            </w:pPr>
            <w:r w:rsidRPr="00756441">
              <w:rPr>
                <w:b/>
                <w:bCs/>
                <w:sz w:val="18"/>
                <w:szCs w:val="18"/>
                <w:lang w:eastAsia="en-GB"/>
              </w:rPr>
              <w:t> </w:t>
            </w:r>
          </w:p>
        </w:tc>
        <w:tc>
          <w:tcPr>
            <w:tcW w:w="647" w:type="dxa"/>
            <w:tcBorders>
              <w:top w:val="nil"/>
              <w:left w:val="nil"/>
              <w:bottom w:val="single" w:sz="4" w:space="0" w:color="auto"/>
              <w:right w:val="nil"/>
            </w:tcBorders>
            <w:shd w:val="clear" w:color="000000" w:fill="FFFFFF"/>
            <w:noWrap/>
            <w:vAlign w:val="center"/>
          </w:tcPr>
          <w:p w14:paraId="2EAB04A3" w14:textId="5FCCC19F" w:rsidR="000A0055" w:rsidRPr="00756441" w:rsidRDefault="000A0055" w:rsidP="004E59F5">
            <w:pPr>
              <w:pStyle w:val="Tabletext"/>
              <w:rPr>
                <w:sz w:val="18"/>
                <w:szCs w:val="18"/>
              </w:rPr>
            </w:pPr>
            <w:r w:rsidRPr="00756441">
              <w:rPr>
                <w:b/>
                <w:bCs/>
                <w:sz w:val="18"/>
                <w:szCs w:val="18"/>
                <w:lang w:eastAsia="en-GB"/>
              </w:rPr>
              <w:t> </w:t>
            </w:r>
          </w:p>
        </w:tc>
        <w:tc>
          <w:tcPr>
            <w:tcW w:w="580" w:type="dxa"/>
            <w:tcBorders>
              <w:top w:val="nil"/>
              <w:left w:val="nil"/>
              <w:bottom w:val="single" w:sz="4" w:space="0" w:color="auto"/>
              <w:right w:val="nil"/>
            </w:tcBorders>
            <w:shd w:val="clear" w:color="auto" w:fill="FFFFFF" w:themeFill="background1"/>
            <w:vAlign w:val="center"/>
          </w:tcPr>
          <w:p w14:paraId="49BB0155" w14:textId="4D2CE413" w:rsidR="000A0055" w:rsidRPr="00756441" w:rsidRDefault="000A0055" w:rsidP="004E59F5">
            <w:pPr>
              <w:pStyle w:val="Tabletext"/>
              <w:rPr>
                <w:sz w:val="18"/>
                <w:szCs w:val="18"/>
              </w:rPr>
            </w:pPr>
            <w:r w:rsidRPr="00756441">
              <w:rPr>
                <w:b/>
                <w:bCs/>
                <w:sz w:val="18"/>
                <w:szCs w:val="18"/>
                <w:lang w:eastAsia="en-GB"/>
              </w:rPr>
              <w:t> </w:t>
            </w:r>
          </w:p>
        </w:tc>
        <w:tc>
          <w:tcPr>
            <w:tcW w:w="667" w:type="dxa"/>
            <w:tcBorders>
              <w:top w:val="nil"/>
              <w:left w:val="nil"/>
              <w:bottom w:val="single" w:sz="4" w:space="0" w:color="auto"/>
              <w:right w:val="nil"/>
            </w:tcBorders>
            <w:shd w:val="clear" w:color="auto" w:fill="FFFFFF" w:themeFill="background1"/>
            <w:noWrap/>
            <w:vAlign w:val="bottom"/>
            <w:hideMark/>
          </w:tcPr>
          <w:p w14:paraId="71DD9B6E" w14:textId="4E369BA5" w:rsidR="000A0055" w:rsidRPr="00756441" w:rsidRDefault="000A0055" w:rsidP="004E59F5">
            <w:pPr>
              <w:pStyle w:val="Tabletext"/>
              <w:rPr>
                <w:sz w:val="18"/>
                <w:szCs w:val="18"/>
              </w:rPr>
            </w:pPr>
            <w:r w:rsidRPr="00756441">
              <w:rPr>
                <w:rFonts w:ascii="Times New Roman" w:hAnsi="Times New Roman"/>
                <w:sz w:val="18"/>
                <w:szCs w:val="18"/>
                <w:lang w:eastAsia="en-GB"/>
              </w:rPr>
              <w:t> </w:t>
            </w:r>
          </w:p>
        </w:tc>
      </w:tr>
      <w:tr w:rsidR="00EA4AD4" w:rsidRPr="00756441" w14:paraId="2085374A" w14:textId="77777777" w:rsidTr="004E59F5">
        <w:trPr>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hideMark/>
          </w:tcPr>
          <w:p w14:paraId="7D653301" w14:textId="77777777" w:rsidR="000A0055" w:rsidRPr="00756441" w:rsidRDefault="000A0055" w:rsidP="004E59F5">
            <w:pPr>
              <w:pStyle w:val="Tabletext"/>
              <w:rPr>
                <w:sz w:val="18"/>
                <w:szCs w:val="18"/>
              </w:rPr>
            </w:pPr>
            <w:r w:rsidRPr="00756441">
              <w:rPr>
                <w:sz w:val="18"/>
                <w:szCs w:val="18"/>
              </w:rPr>
              <w:t>% de recomendaciones en preparación</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2E629D4F" w14:textId="5D39F392"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1839A190" w14:textId="13420F71"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75F7DE30" w14:textId="68572F00"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4113BF37" w14:textId="73B301BE" w:rsidR="000A0055" w:rsidRPr="00756441" w:rsidRDefault="000A0055" w:rsidP="004E59F5">
            <w:pPr>
              <w:pStyle w:val="Tabletext"/>
              <w:rPr>
                <w:sz w:val="18"/>
                <w:szCs w:val="18"/>
              </w:rPr>
            </w:pPr>
            <w:r w:rsidRPr="00756441">
              <w:rPr>
                <w:sz w:val="18"/>
                <w:szCs w:val="18"/>
                <w:lang w:eastAsia="en-GB"/>
              </w:rPr>
              <w:t>4%</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2D9B6A7D" w14:textId="3556C1B2"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3E50F828" w14:textId="5C51A440" w:rsidR="000A0055" w:rsidRPr="00756441" w:rsidRDefault="000A0055" w:rsidP="004E59F5">
            <w:pPr>
              <w:pStyle w:val="Tabletext"/>
              <w:rPr>
                <w:sz w:val="18"/>
                <w:szCs w:val="18"/>
              </w:rPr>
            </w:pPr>
            <w:r w:rsidRPr="00756441">
              <w:rPr>
                <w:sz w:val="18"/>
                <w:szCs w:val="18"/>
                <w:lang w:eastAsia="en-GB"/>
              </w:rPr>
              <w:t>27%</w:t>
            </w:r>
          </w:p>
        </w:tc>
        <w:tc>
          <w:tcPr>
            <w:tcW w:w="647" w:type="dxa"/>
            <w:tcBorders>
              <w:top w:val="single" w:sz="4" w:space="0" w:color="auto"/>
              <w:left w:val="nil"/>
              <w:bottom w:val="single" w:sz="4" w:space="0" w:color="auto"/>
              <w:right w:val="nil"/>
            </w:tcBorders>
            <w:shd w:val="clear" w:color="auto" w:fill="auto"/>
            <w:noWrap/>
            <w:vAlign w:val="center"/>
            <w:hideMark/>
          </w:tcPr>
          <w:p w14:paraId="434CD998" w14:textId="43171C3E" w:rsidR="000A0055" w:rsidRPr="00756441" w:rsidRDefault="000A0055" w:rsidP="004E59F5">
            <w:pPr>
              <w:pStyle w:val="Tabletext"/>
              <w:rPr>
                <w:sz w:val="18"/>
                <w:szCs w:val="18"/>
              </w:rPr>
            </w:pPr>
            <w:r w:rsidRPr="00756441">
              <w:rPr>
                <w:sz w:val="18"/>
                <w:szCs w:val="18"/>
                <w:lang w:eastAsia="en-GB"/>
              </w:rPr>
              <w:t>37%</w:t>
            </w:r>
          </w:p>
        </w:tc>
        <w:tc>
          <w:tcPr>
            <w:tcW w:w="647" w:type="dxa"/>
            <w:tcBorders>
              <w:top w:val="single" w:sz="4" w:space="0" w:color="auto"/>
              <w:left w:val="single" w:sz="4" w:space="0" w:color="auto"/>
              <w:bottom w:val="single" w:sz="4" w:space="0" w:color="auto"/>
              <w:right w:val="nil"/>
            </w:tcBorders>
            <w:shd w:val="clear" w:color="auto" w:fill="auto"/>
            <w:noWrap/>
            <w:vAlign w:val="center"/>
            <w:hideMark/>
          </w:tcPr>
          <w:p w14:paraId="7644657F" w14:textId="68A34D10" w:rsidR="000A0055" w:rsidRPr="00756441" w:rsidRDefault="000A0055" w:rsidP="004E59F5">
            <w:pPr>
              <w:pStyle w:val="Tabletext"/>
              <w:rPr>
                <w:sz w:val="18"/>
                <w:szCs w:val="18"/>
              </w:rPr>
            </w:pPr>
            <w:r w:rsidRPr="00756441">
              <w:rPr>
                <w:sz w:val="18"/>
                <w:szCs w:val="18"/>
                <w:lang w:eastAsia="en-GB"/>
              </w:rPr>
              <w:t>38%</w:t>
            </w:r>
          </w:p>
        </w:tc>
        <w:tc>
          <w:tcPr>
            <w:tcW w:w="580" w:type="dxa"/>
            <w:tcBorders>
              <w:top w:val="single" w:sz="4" w:space="0" w:color="auto"/>
              <w:left w:val="single" w:sz="4" w:space="0" w:color="auto"/>
              <w:bottom w:val="single" w:sz="4" w:space="0" w:color="auto"/>
              <w:right w:val="nil"/>
            </w:tcBorders>
            <w:shd w:val="clear" w:color="auto" w:fill="auto"/>
            <w:vAlign w:val="center"/>
          </w:tcPr>
          <w:p w14:paraId="38F6ABB4" w14:textId="5BD05725" w:rsidR="000A0055" w:rsidRPr="00756441" w:rsidRDefault="000A0055" w:rsidP="004E59F5">
            <w:pPr>
              <w:pStyle w:val="Tabletext"/>
              <w:rPr>
                <w:sz w:val="18"/>
                <w:szCs w:val="18"/>
              </w:rPr>
            </w:pPr>
            <w:r w:rsidRPr="00756441">
              <w:rPr>
                <w:sz w:val="18"/>
                <w:szCs w:val="18"/>
                <w:lang w:eastAsia="en-GB"/>
              </w:rPr>
              <w:t>20%</w:t>
            </w:r>
          </w:p>
        </w:tc>
        <w:tc>
          <w:tcPr>
            <w:tcW w:w="647" w:type="dxa"/>
            <w:tcBorders>
              <w:top w:val="single" w:sz="4" w:space="0" w:color="auto"/>
              <w:left w:val="single" w:sz="4" w:space="0" w:color="auto"/>
              <w:bottom w:val="single" w:sz="4" w:space="0" w:color="auto"/>
              <w:right w:val="single" w:sz="4" w:space="0" w:color="auto"/>
            </w:tcBorders>
            <w:noWrap/>
            <w:vAlign w:val="center"/>
          </w:tcPr>
          <w:p w14:paraId="6A25E7E3" w14:textId="62AC1BB4" w:rsidR="000A0055" w:rsidRPr="00756441" w:rsidRDefault="000A0055" w:rsidP="004E59F5">
            <w:pPr>
              <w:pStyle w:val="Tabletext"/>
              <w:rPr>
                <w:sz w:val="18"/>
                <w:szCs w:val="18"/>
              </w:rPr>
            </w:pPr>
            <w:r w:rsidRPr="00756441">
              <w:rPr>
                <w:sz w:val="18"/>
                <w:szCs w:val="18"/>
                <w:lang w:eastAsia="en-GB"/>
              </w:rPr>
              <w:t>44%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4FA8C79" w14:textId="0AE4E8EB" w:rsidR="000A0055" w:rsidRPr="00756441" w:rsidRDefault="000A0055" w:rsidP="004E59F5">
            <w:pPr>
              <w:pStyle w:val="Tabletext"/>
              <w:rPr>
                <w:b/>
                <w:bCs/>
                <w:sz w:val="18"/>
                <w:szCs w:val="18"/>
              </w:rPr>
            </w:pPr>
            <w:r w:rsidRPr="00756441">
              <w:rPr>
                <w:sz w:val="18"/>
                <w:szCs w:val="18"/>
                <w:lang w:eastAsia="en-GB"/>
              </w:rPr>
              <w:t>68%</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3DE4F4" w14:textId="7FAFAC7E" w:rsidR="000A0055" w:rsidRPr="00756441" w:rsidRDefault="000A0055" w:rsidP="004E59F5">
            <w:pPr>
              <w:pStyle w:val="Tabletext"/>
              <w:rPr>
                <w:b/>
                <w:bCs/>
                <w:sz w:val="18"/>
                <w:szCs w:val="18"/>
              </w:rPr>
            </w:pPr>
            <w:r w:rsidRPr="00756441">
              <w:rPr>
                <w:b/>
                <w:bCs/>
                <w:sz w:val="18"/>
                <w:szCs w:val="18"/>
                <w:lang w:eastAsia="en-GB"/>
              </w:rPr>
              <w:t>16%</w:t>
            </w:r>
          </w:p>
        </w:tc>
      </w:tr>
      <w:tr w:rsidR="00EA4AD4" w:rsidRPr="00756441" w14:paraId="7579D7FE" w14:textId="77777777" w:rsidTr="004E59F5">
        <w:trPr>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hideMark/>
          </w:tcPr>
          <w:p w14:paraId="31A6D2C6" w14:textId="77777777" w:rsidR="000A0055" w:rsidRPr="00756441" w:rsidRDefault="000A0055" w:rsidP="004E59F5">
            <w:pPr>
              <w:pStyle w:val="Tabletext"/>
              <w:rPr>
                <w:sz w:val="18"/>
                <w:szCs w:val="18"/>
              </w:rPr>
            </w:pPr>
            <w:r w:rsidRPr="00756441">
              <w:rPr>
                <w:sz w:val="18"/>
                <w:szCs w:val="18"/>
              </w:rPr>
              <w:t>% de recomendaciones retrasadas</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67F0B4F1" w14:textId="4C90B8C3" w:rsidR="000A0055" w:rsidRPr="00756441" w:rsidRDefault="000A0055" w:rsidP="004E59F5">
            <w:pPr>
              <w:pStyle w:val="Tabletext"/>
              <w:rPr>
                <w:sz w:val="18"/>
                <w:szCs w:val="18"/>
              </w:rPr>
            </w:pPr>
            <w:r w:rsidRPr="00756441">
              <w:rPr>
                <w:sz w:val="18"/>
                <w:szCs w:val="18"/>
                <w:lang w:eastAsia="en-GB"/>
              </w:rPr>
              <w:t>18%</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185A788A" w14:textId="670CFFF5"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14:paraId="61CF0AB1" w14:textId="78C44227"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000000" w:fill="FFFFFF"/>
            <w:noWrap/>
            <w:vAlign w:val="center"/>
            <w:hideMark/>
          </w:tcPr>
          <w:p w14:paraId="5EDA09DB" w14:textId="1C2ABE71"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6DB9036D" w14:textId="2ED8BAA9"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6DC569E0" w14:textId="4B7DB56B"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nil"/>
              <w:bottom w:val="single" w:sz="4" w:space="0" w:color="auto"/>
              <w:right w:val="nil"/>
            </w:tcBorders>
            <w:shd w:val="clear" w:color="auto" w:fill="auto"/>
            <w:noWrap/>
            <w:vAlign w:val="center"/>
            <w:hideMark/>
          </w:tcPr>
          <w:p w14:paraId="497BAB30" w14:textId="2A3EE467"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nil"/>
            </w:tcBorders>
            <w:shd w:val="clear" w:color="auto" w:fill="auto"/>
            <w:noWrap/>
            <w:vAlign w:val="center"/>
            <w:hideMark/>
          </w:tcPr>
          <w:p w14:paraId="2863312C" w14:textId="49CD11A5" w:rsidR="000A0055" w:rsidRPr="00756441" w:rsidRDefault="000A0055" w:rsidP="004E59F5">
            <w:pPr>
              <w:pStyle w:val="Tabletext"/>
              <w:rPr>
                <w:sz w:val="18"/>
                <w:szCs w:val="18"/>
              </w:rPr>
            </w:pPr>
            <w:r w:rsidRPr="00756441">
              <w:rPr>
                <w:sz w:val="18"/>
                <w:szCs w:val="18"/>
                <w:lang w:eastAsia="en-GB"/>
              </w:rPr>
              <w:t>0%</w:t>
            </w:r>
          </w:p>
        </w:tc>
        <w:tc>
          <w:tcPr>
            <w:tcW w:w="580" w:type="dxa"/>
            <w:tcBorders>
              <w:top w:val="single" w:sz="4" w:space="0" w:color="auto"/>
              <w:left w:val="single" w:sz="4" w:space="0" w:color="auto"/>
              <w:bottom w:val="single" w:sz="4" w:space="0" w:color="auto"/>
              <w:right w:val="nil"/>
            </w:tcBorders>
            <w:shd w:val="clear" w:color="auto" w:fill="auto"/>
            <w:vAlign w:val="center"/>
          </w:tcPr>
          <w:p w14:paraId="00622B92" w14:textId="5B2AB2B1" w:rsidR="000A0055" w:rsidRPr="00756441" w:rsidRDefault="000A0055" w:rsidP="004E59F5">
            <w:pPr>
              <w:pStyle w:val="Tabletext"/>
              <w:rPr>
                <w:sz w:val="18"/>
                <w:szCs w:val="18"/>
              </w:rPr>
            </w:pPr>
            <w:r w:rsidRPr="00756441">
              <w:rPr>
                <w:sz w:val="18"/>
                <w:szCs w:val="18"/>
                <w:lang w:eastAsia="en-GB"/>
              </w:rPr>
              <w:t>0%</w:t>
            </w:r>
          </w:p>
        </w:tc>
        <w:tc>
          <w:tcPr>
            <w:tcW w:w="647" w:type="dxa"/>
            <w:tcBorders>
              <w:top w:val="single" w:sz="4" w:space="0" w:color="auto"/>
              <w:left w:val="single" w:sz="4" w:space="0" w:color="auto"/>
              <w:bottom w:val="single" w:sz="4" w:space="0" w:color="auto"/>
              <w:right w:val="single" w:sz="4" w:space="0" w:color="auto"/>
            </w:tcBorders>
            <w:noWrap/>
            <w:vAlign w:val="center"/>
          </w:tcPr>
          <w:p w14:paraId="512E378F" w14:textId="101622A5" w:rsidR="000A0055" w:rsidRPr="00756441" w:rsidRDefault="000A0055" w:rsidP="004E59F5">
            <w:pPr>
              <w:pStyle w:val="Tabletext"/>
              <w:rPr>
                <w:sz w:val="18"/>
                <w:szCs w:val="18"/>
              </w:rPr>
            </w:pPr>
            <w:r w:rsidRPr="00756441">
              <w:rPr>
                <w:sz w:val="18"/>
                <w:szCs w:val="18"/>
                <w:lang w:eastAsia="en-GB"/>
              </w:rPr>
              <w:t>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BB2EEEE" w14:textId="322BF21F" w:rsidR="000A0055" w:rsidRPr="00756441" w:rsidRDefault="000A0055" w:rsidP="004E59F5">
            <w:pPr>
              <w:pStyle w:val="Tabletext"/>
              <w:rPr>
                <w:b/>
                <w:bCs/>
                <w:sz w:val="18"/>
                <w:szCs w:val="18"/>
              </w:rPr>
            </w:pPr>
            <w:r w:rsidRPr="00756441">
              <w:rPr>
                <w:sz w:val="18"/>
                <w:szCs w:val="18"/>
                <w:lang w:eastAsia="en-GB"/>
              </w:rPr>
              <w:t>21%</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51659A4" w14:textId="11349326" w:rsidR="000A0055" w:rsidRPr="00756441" w:rsidRDefault="000A0055" w:rsidP="004E59F5">
            <w:pPr>
              <w:pStyle w:val="Tabletext"/>
              <w:rPr>
                <w:b/>
                <w:bCs/>
                <w:sz w:val="18"/>
                <w:szCs w:val="18"/>
              </w:rPr>
            </w:pPr>
            <w:r w:rsidRPr="00756441">
              <w:rPr>
                <w:b/>
                <w:bCs/>
                <w:sz w:val="18"/>
                <w:szCs w:val="18"/>
                <w:lang w:eastAsia="en-GB"/>
              </w:rPr>
              <w:t>2%</w:t>
            </w:r>
          </w:p>
        </w:tc>
      </w:tr>
      <w:tr w:rsidR="00EA4AD4" w:rsidRPr="00756441" w14:paraId="6E4AF981" w14:textId="77777777" w:rsidTr="004E59F5">
        <w:trPr>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hideMark/>
          </w:tcPr>
          <w:p w14:paraId="5E602F5F" w14:textId="77777777" w:rsidR="000A0055" w:rsidRPr="00756441" w:rsidRDefault="000A0055" w:rsidP="004E59F5">
            <w:pPr>
              <w:pStyle w:val="Tabletext"/>
              <w:rPr>
                <w:sz w:val="18"/>
                <w:szCs w:val="18"/>
              </w:rPr>
            </w:pPr>
            <w:r w:rsidRPr="00756441">
              <w:rPr>
                <w:sz w:val="18"/>
                <w:szCs w:val="18"/>
              </w:rPr>
              <w:t>% de recomendaciones cerradas</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2B063258" w14:textId="40FC11E3" w:rsidR="000A0055" w:rsidRPr="00756441" w:rsidRDefault="000A0055" w:rsidP="004E59F5">
            <w:pPr>
              <w:pStyle w:val="Tabletext"/>
              <w:rPr>
                <w:sz w:val="18"/>
                <w:szCs w:val="18"/>
              </w:rPr>
            </w:pPr>
            <w:r w:rsidRPr="00756441">
              <w:rPr>
                <w:sz w:val="18"/>
                <w:szCs w:val="18"/>
                <w:lang w:eastAsia="en-GB"/>
              </w:rPr>
              <w:t>82%</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27C623DA" w14:textId="3A7672AF" w:rsidR="000A0055" w:rsidRPr="00756441" w:rsidRDefault="000A0055" w:rsidP="004E59F5">
            <w:pPr>
              <w:pStyle w:val="Tabletext"/>
              <w:rPr>
                <w:sz w:val="18"/>
                <w:szCs w:val="18"/>
              </w:rPr>
            </w:pPr>
            <w:r w:rsidRPr="00756441">
              <w:rPr>
                <w:sz w:val="18"/>
                <w:szCs w:val="18"/>
                <w:lang w:eastAsia="en-GB"/>
              </w:rPr>
              <w:t>-</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775A196A" w14:textId="05DDA7C3" w:rsidR="000A0055" w:rsidRPr="00756441" w:rsidRDefault="000A0055" w:rsidP="004E59F5">
            <w:pPr>
              <w:pStyle w:val="Tabletext"/>
              <w:rPr>
                <w:sz w:val="18"/>
                <w:szCs w:val="18"/>
              </w:rPr>
            </w:pPr>
            <w:r w:rsidRPr="00756441">
              <w:rPr>
                <w:sz w:val="18"/>
                <w:szCs w:val="18"/>
                <w:lang w:eastAsia="en-GB"/>
              </w:rPr>
              <w:t>96%</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568DF2B0" w14:textId="438871D8" w:rsidR="000A0055" w:rsidRPr="00756441" w:rsidRDefault="000A0055" w:rsidP="004E59F5">
            <w:pPr>
              <w:pStyle w:val="Tabletext"/>
              <w:rPr>
                <w:sz w:val="18"/>
                <w:szCs w:val="18"/>
              </w:rPr>
            </w:pPr>
            <w:r w:rsidRPr="00756441">
              <w:rPr>
                <w:sz w:val="18"/>
                <w:szCs w:val="18"/>
                <w:lang w:eastAsia="en-GB"/>
              </w:rPr>
              <w:t>96%</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1EA43B75" w14:textId="24B13E43" w:rsidR="000A0055" w:rsidRPr="00756441" w:rsidRDefault="000A0055" w:rsidP="004E59F5">
            <w:pPr>
              <w:pStyle w:val="Tabletext"/>
              <w:rPr>
                <w:sz w:val="18"/>
                <w:szCs w:val="18"/>
              </w:rPr>
            </w:pPr>
            <w:r w:rsidRPr="00756441">
              <w:rPr>
                <w:sz w:val="18"/>
                <w:szCs w:val="18"/>
                <w:lang w:eastAsia="en-GB"/>
              </w:rPr>
              <w:t>100%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1D89B21A" w14:textId="13E9D88D" w:rsidR="000A0055" w:rsidRPr="00756441" w:rsidRDefault="000A0055" w:rsidP="004E59F5">
            <w:pPr>
              <w:pStyle w:val="Tabletext"/>
              <w:rPr>
                <w:sz w:val="18"/>
                <w:szCs w:val="18"/>
              </w:rPr>
            </w:pPr>
            <w:r w:rsidRPr="00756441">
              <w:rPr>
                <w:sz w:val="18"/>
                <w:szCs w:val="18"/>
                <w:lang w:eastAsia="en-GB"/>
              </w:rPr>
              <w:t>73%</w:t>
            </w:r>
          </w:p>
        </w:tc>
        <w:tc>
          <w:tcPr>
            <w:tcW w:w="647" w:type="dxa"/>
            <w:tcBorders>
              <w:top w:val="single" w:sz="4" w:space="0" w:color="auto"/>
              <w:left w:val="nil"/>
              <w:bottom w:val="single" w:sz="4" w:space="0" w:color="auto"/>
              <w:right w:val="nil"/>
            </w:tcBorders>
            <w:shd w:val="clear" w:color="auto" w:fill="auto"/>
            <w:noWrap/>
            <w:vAlign w:val="center"/>
            <w:hideMark/>
          </w:tcPr>
          <w:p w14:paraId="46824492" w14:textId="759127FA" w:rsidR="000A0055" w:rsidRPr="00756441" w:rsidRDefault="000A0055" w:rsidP="004E59F5">
            <w:pPr>
              <w:pStyle w:val="Tabletext"/>
              <w:rPr>
                <w:sz w:val="18"/>
                <w:szCs w:val="18"/>
              </w:rPr>
            </w:pPr>
            <w:r w:rsidRPr="00756441">
              <w:rPr>
                <w:sz w:val="18"/>
                <w:szCs w:val="18"/>
                <w:lang w:eastAsia="en-GB"/>
              </w:rPr>
              <w:t>63%</w:t>
            </w:r>
          </w:p>
        </w:tc>
        <w:tc>
          <w:tcPr>
            <w:tcW w:w="647" w:type="dxa"/>
            <w:tcBorders>
              <w:top w:val="single" w:sz="4" w:space="0" w:color="auto"/>
              <w:left w:val="single" w:sz="4" w:space="0" w:color="auto"/>
              <w:bottom w:val="single" w:sz="4" w:space="0" w:color="auto"/>
              <w:right w:val="nil"/>
            </w:tcBorders>
            <w:shd w:val="clear" w:color="auto" w:fill="auto"/>
            <w:noWrap/>
            <w:vAlign w:val="center"/>
            <w:hideMark/>
          </w:tcPr>
          <w:p w14:paraId="0E8D6690" w14:textId="19ACFFD5" w:rsidR="000A0055" w:rsidRPr="00756441" w:rsidRDefault="000A0055" w:rsidP="004E59F5">
            <w:pPr>
              <w:pStyle w:val="Tabletext"/>
              <w:rPr>
                <w:sz w:val="18"/>
                <w:szCs w:val="18"/>
              </w:rPr>
            </w:pPr>
            <w:r w:rsidRPr="00756441">
              <w:rPr>
                <w:sz w:val="18"/>
                <w:szCs w:val="18"/>
                <w:lang w:eastAsia="en-GB"/>
              </w:rPr>
              <w:t>62%</w:t>
            </w:r>
          </w:p>
        </w:tc>
        <w:tc>
          <w:tcPr>
            <w:tcW w:w="580" w:type="dxa"/>
            <w:tcBorders>
              <w:top w:val="single" w:sz="4" w:space="0" w:color="auto"/>
              <w:left w:val="single" w:sz="4" w:space="0" w:color="auto"/>
              <w:bottom w:val="single" w:sz="4" w:space="0" w:color="auto"/>
              <w:right w:val="nil"/>
            </w:tcBorders>
            <w:shd w:val="clear" w:color="auto" w:fill="auto"/>
            <w:vAlign w:val="center"/>
          </w:tcPr>
          <w:p w14:paraId="61A46DC3" w14:textId="6638DCC8" w:rsidR="000A0055" w:rsidRPr="00756441" w:rsidRDefault="000A0055" w:rsidP="004E59F5">
            <w:pPr>
              <w:pStyle w:val="Tabletext"/>
              <w:rPr>
                <w:sz w:val="18"/>
                <w:szCs w:val="18"/>
              </w:rPr>
            </w:pPr>
            <w:r w:rsidRPr="00756441">
              <w:rPr>
                <w:sz w:val="18"/>
                <w:szCs w:val="18"/>
                <w:lang w:eastAsia="en-GB"/>
              </w:rPr>
              <w:t>80%</w:t>
            </w:r>
          </w:p>
        </w:tc>
        <w:tc>
          <w:tcPr>
            <w:tcW w:w="647" w:type="dxa"/>
            <w:tcBorders>
              <w:top w:val="single" w:sz="4" w:space="0" w:color="auto"/>
              <w:left w:val="single" w:sz="4" w:space="0" w:color="auto"/>
              <w:bottom w:val="single" w:sz="4" w:space="0" w:color="auto"/>
              <w:right w:val="single" w:sz="4" w:space="0" w:color="auto"/>
            </w:tcBorders>
            <w:noWrap/>
            <w:vAlign w:val="center"/>
          </w:tcPr>
          <w:p w14:paraId="7C13CEAB" w14:textId="16ACB108" w:rsidR="000A0055" w:rsidRPr="00756441" w:rsidRDefault="000A0055" w:rsidP="004E59F5">
            <w:pPr>
              <w:pStyle w:val="Tabletext"/>
              <w:rPr>
                <w:sz w:val="18"/>
                <w:szCs w:val="18"/>
              </w:rPr>
            </w:pPr>
            <w:r w:rsidRPr="00756441">
              <w:rPr>
                <w:sz w:val="18"/>
                <w:szCs w:val="18"/>
                <w:lang w:eastAsia="en-GB"/>
              </w:rPr>
              <w:t>56%</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F03D9C9" w14:textId="7E6CDB9C" w:rsidR="000A0055" w:rsidRPr="00756441" w:rsidRDefault="000A0055" w:rsidP="004E59F5">
            <w:pPr>
              <w:pStyle w:val="Tabletext"/>
              <w:rPr>
                <w:b/>
                <w:bCs/>
                <w:sz w:val="18"/>
                <w:szCs w:val="18"/>
              </w:rPr>
            </w:pPr>
            <w:r w:rsidRPr="00756441">
              <w:rPr>
                <w:sz w:val="18"/>
                <w:szCs w:val="18"/>
                <w:lang w:eastAsia="en-GB"/>
              </w:rPr>
              <w:t>11%</w:t>
            </w:r>
          </w:p>
        </w:tc>
        <w:tc>
          <w:tcPr>
            <w:tcW w:w="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EEC677D" w14:textId="332C1C84" w:rsidR="000A0055" w:rsidRPr="00756441" w:rsidRDefault="000A0055" w:rsidP="004E59F5">
            <w:pPr>
              <w:pStyle w:val="Tabletext"/>
              <w:rPr>
                <w:b/>
                <w:bCs/>
                <w:sz w:val="18"/>
                <w:szCs w:val="18"/>
              </w:rPr>
            </w:pPr>
            <w:r w:rsidRPr="00756441">
              <w:rPr>
                <w:b/>
                <w:bCs/>
                <w:sz w:val="18"/>
                <w:szCs w:val="18"/>
                <w:lang w:eastAsia="en-GB"/>
              </w:rPr>
              <w:t>82%</w:t>
            </w:r>
          </w:p>
        </w:tc>
      </w:tr>
    </w:tbl>
    <w:p w14:paraId="40C4CECC" w14:textId="77777777" w:rsidR="00B735C5" w:rsidRPr="00756441" w:rsidRDefault="00B735C5" w:rsidP="00411C49">
      <w:pPr>
        <w:pStyle w:val="Reasons"/>
      </w:pPr>
    </w:p>
    <w:p w14:paraId="593E434C" w14:textId="77777777" w:rsidR="00B735C5" w:rsidRPr="00756441" w:rsidRDefault="00B735C5">
      <w:pPr>
        <w:jc w:val="center"/>
      </w:pPr>
      <w:r w:rsidRPr="00756441">
        <w:t>______________</w:t>
      </w:r>
    </w:p>
    <w:sectPr w:rsidR="00B735C5" w:rsidRPr="0075644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BCF2" w14:textId="77777777" w:rsidR="00E371A0" w:rsidRDefault="00E371A0">
      <w:r>
        <w:separator/>
      </w:r>
    </w:p>
  </w:endnote>
  <w:endnote w:type="continuationSeparator" w:id="0">
    <w:p w14:paraId="0987BD6E" w14:textId="77777777" w:rsidR="00E371A0" w:rsidRDefault="00E3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6C26" w14:textId="726E1AFB" w:rsidR="00760F1C" w:rsidRPr="008B3616" w:rsidRDefault="00A61809" w:rsidP="00A61809">
    <w:pPr>
      <w:pStyle w:val="Footer"/>
      <w:tabs>
        <w:tab w:val="clear" w:pos="5954"/>
      </w:tabs>
      <w:rPr>
        <w:lang w:val="fr-FR"/>
      </w:rPr>
    </w:pPr>
    <w:r w:rsidRPr="008B3616">
      <w:rPr>
        <w:color w:val="F2F2F2" w:themeColor="background1" w:themeShade="F2"/>
      </w:rPr>
      <w:fldChar w:fldCharType="begin"/>
    </w:r>
    <w:r w:rsidRPr="008B3616">
      <w:rPr>
        <w:color w:val="F2F2F2" w:themeColor="background1" w:themeShade="F2"/>
        <w:lang w:val="fr-FR"/>
      </w:rPr>
      <w:instrText xml:space="preserve"> FILENAME \p  \* MERGEFORMAT </w:instrText>
    </w:r>
    <w:r w:rsidRPr="008B3616">
      <w:rPr>
        <w:color w:val="F2F2F2" w:themeColor="background1" w:themeShade="F2"/>
      </w:rPr>
      <w:fldChar w:fldCharType="separate"/>
    </w:r>
    <w:r w:rsidR="006C2512" w:rsidRPr="008B3616">
      <w:rPr>
        <w:color w:val="F2F2F2" w:themeColor="background1" w:themeShade="F2"/>
        <w:lang w:val="fr-FR"/>
      </w:rPr>
      <w:t>P:\ESP\SG\CONSEIL\C22\000\044S.docx</w:t>
    </w:r>
    <w:r w:rsidRPr="008B3616">
      <w:rPr>
        <w:color w:val="F2F2F2" w:themeColor="background1" w:themeShade="F2"/>
      </w:rPr>
      <w:fldChar w:fldCharType="end"/>
    </w:r>
    <w:r w:rsidRPr="008B3616">
      <w:rPr>
        <w:color w:val="F2F2F2" w:themeColor="background1" w:themeShade="F2"/>
        <w:lang w:val="fr-FR"/>
      </w:rPr>
      <w:t xml:space="preserve"> (500641)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84A6" w14:textId="3D5D22AD" w:rsidR="00760F1C" w:rsidRDefault="00760F1C">
    <w:pPr>
      <w:spacing w:after="120"/>
      <w:jc w:val="center"/>
    </w:pPr>
    <w:r>
      <w:t xml:space="preserve">• </w:t>
    </w:r>
    <w:hyperlink r:id="rId1" w:history="1">
      <w:r w:rsidR="00932C9C">
        <w:rPr>
          <w:rStyle w:val="Hyperlink"/>
        </w:rPr>
        <w:t>http://www.itu.int/council</w:t>
      </w:r>
    </w:hyperlink>
    <w:r>
      <w:t xml:space="preserve"> •</w:t>
    </w:r>
  </w:p>
  <w:p w14:paraId="3908197F" w14:textId="123C40AD" w:rsidR="00C4488B" w:rsidRPr="00C4488B" w:rsidRDefault="00C4488B" w:rsidP="00C4488B">
    <w:pPr>
      <w:pStyle w:val="Footer"/>
      <w:rPr>
        <w:szCs w:val="16"/>
      </w:rPr>
    </w:pPr>
    <w:r w:rsidRPr="008B3616">
      <w:rPr>
        <w:color w:val="F2F2F2" w:themeColor="background1" w:themeShade="F2"/>
        <w:szCs w:val="16"/>
      </w:rPr>
      <w:fldChar w:fldCharType="begin"/>
    </w:r>
    <w:r w:rsidRPr="008B3616">
      <w:rPr>
        <w:color w:val="F2F2F2" w:themeColor="background1" w:themeShade="F2"/>
        <w:szCs w:val="16"/>
      </w:rPr>
      <w:instrText xml:space="preserve"> FILENAME \p  \* MERGEFORMAT </w:instrText>
    </w:r>
    <w:r w:rsidRPr="008B3616">
      <w:rPr>
        <w:color w:val="F2F2F2" w:themeColor="background1" w:themeShade="F2"/>
        <w:szCs w:val="16"/>
      </w:rPr>
      <w:fldChar w:fldCharType="separate"/>
    </w:r>
    <w:r w:rsidRPr="008B3616">
      <w:rPr>
        <w:color w:val="F2F2F2" w:themeColor="background1" w:themeShade="F2"/>
        <w:szCs w:val="16"/>
      </w:rPr>
      <w:t>P:\ESP\SG\CONSEIL\C22\000\044S.docx</w:t>
    </w:r>
    <w:r w:rsidRPr="008B3616">
      <w:rPr>
        <w:color w:val="F2F2F2" w:themeColor="background1" w:themeShade="F2"/>
        <w:szCs w:val="16"/>
      </w:rPr>
      <w:fldChar w:fldCharType="end"/>
    </w:r>
    <w:r w:rsidRPr="008B3616">
      <w:rPr>
        <w:color w:val="F2F2F2" w:themeColor="background1" w:themeShade="F2"/>
        <w:szCs w:val="16"/>
      </w:rPr>
      <w:t xml:space="preserve"> (500641)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4B4E" w14:textId="77777777" w:rsidR="00E371A0" w:rsidRDefault="00E371A0">
      <w:r>
        <w:t>____________________</w:t>
      </w:r>
    </w:p>
  </w:footnote>
  <w:footnote w:type="continuationSeparator" w:id="0">
    <w:p w14:paraId="460B21F4" w14:textId="77777777" w:rsidR="00E371A0" w:rsidRDefault="00E371A0">
      <w:r>
        <w:continuationSeparator/>
      </w:r>
    </w:p>
  </w:footnote>
  <w:footnote w:id="1">
    <w:p w14:paraId="115BE5E5" w14:textId="455CA904" w:rsidR="00A61809" w:rsidRPr="000F4798" w:rsidRDefault="00A61809" w:rsidP="0086736E">
      <w:pPr>
        <w:pStyle w:val="FootnoteText"/>
        <w:spacing w:before="0"/>
      </w:pPr>
      <w:r w:rsidRPr="000F4798">
        <w:rPr>
          <w:rStyle w:val="FootnoteReference"/>
        </w:rPr>
        <w:footnoteRef/>
      </w:r>
      <w:r w:rsidRPr="0086736E">
        <w:rPr>
          <w:sz w:val="18"/>
        </w:rPr>
        <w:tab/>
      </w:r>
      <w:r w:rsidRPr="000F4798">
        <w:t xml:space="preserve">Nota de servicio 13/09, promulgada por el </w:t>
      </w:r>
      <w:proofErr w:type="gramStart"/>
      <w:r w:rsidRPr="000F4798">
        <w:t>Secretario General</w:t>
      </w:r>
      <w:proofErr w:type="gramEnd"/>
      <w:r w:rsidRPr="000F4798">
        <w:t xml:space="preserve"> el 27 de junio de 2013</w:t>
      </w:r>
      <w:r w:rsidR="000F4798">
        <w:t>.</w:t>
      </w:r>
    </w:p>
  </w:footnote>
  <w:footnote w:id="2">
    <w:p w14:paraId="0D8F3BE4" w14:textId="73E9F709" w:rsidR="00A61809" w:rsidRPr="000F4798" w:rsidRDefault="00A61809" w:rsidP="0086736E">
      <w:pPr>
        <w:pStyle w:val="FootnoteText"/>
        <w:spacing w:before="0"/>
      </w:pPr>
      <w:r w:rsidRPr="000F4798">
        <w:rPr>
          <w:rStyle w:val="FootnoteReference"/>
        </w:rPr>
        <w:footnoteRef/>
      </w:r>
      <w:r w:rsidRPr="0086736E">
        <w:rPr>
          <w:sz w:val="18"/>
        </w:rPr>
        <w:tab/>
      </w:r>
      <w:r w:rsidRPr="000F4798">
        <w:t xml:space="preserve">Instituto de Auditores Internos, </w:t>
      </w:r>
      <w:hyperlink r:id="rId1" w:history="1">
        <w:r w:rsidRPr="000F4798">
          <w:rPr>
            <w:rStyle w:val="Hyperlink"/>
          </w:rPr>
          <w:t>www.theiia.org</w:t>
        </w:r>
      </w:hyperlink>
      <w:r w:rsidR="000F4798">
        <w:t>.</w:t>
      </w:r>
    </w:p>
  </w:footnote>
  <w:footnote w:id="3">
    <w:p w14:paraId="4AF9480F" w14:textId="2DA6B482" w:rsidR="00A61809" w:rsidRPr="000F4798" w:rsidRDefault="00A61809" w:rsidP="0086736E">
      <w:pPr>
        <w:pStyle w:val="FootnoteText"/>
        <w:spacing w:before="0"/>
      </w:pPr>
      <w:r w:rsidRPr="000F4798">
        <w:rPr>
          <w:rStyle w:val="FootnoteReference"/>
        </w:rPr>
        <w:footnoteRef/>
      </w:r>
      <w:r w:rsidRPr="0086736E">
        <w:rPr>
          <w:sz w:val="18"/>
        </w:rPr>
        <w:tab/>
      </w:r>
      <w:r w:rsidRPr="000F4798">
        <w:t xml:space="preserve">Nota de servicio 13/09, promulgada por el </w:t>
      </w:r>
      <w:proofErr w:type="gramStart"/>
      <w:r w:rsidRPr="000F4798">
        <w:t>Secretario General</w:t>
      </w:r>
      <w:proofErr w:type="gramEnd"/>
      <w:r w:rsidRPr="000F4798">
        <w:t xml:space="preserve"> el 27 de junio de 2013</w:t>
      </w:r>
      <w:r w:rsidR="000F4798">
        <w:t>.</w:t>
      </w:r>
    </w:p>
  </w:footnote>
  <w:footnote w:id="4">
    <w:p w14:paraId="584E440F" w14:textId="391800AF" w:rsidR="00A61809" w:rsidRPr="006C2512" w:rsidRDefault="00A61809" w:rsidP="00F554A8">
      <w:pPr>
        <w:pStyle w:val="FootnoteText"/>
        <w:spacing w:before="0"/>
      </w:pPr>
      <w:r w:rsidRPr="006C2512">
        <w:rPr>
          <w:rStyle w:val="FootnoteReference"/>
        </w:rPr>
        <w:footnoteRef/>
      </w:r>
      <w:r w:rsidRPr="00F554A8">
        <w:rPr>
          <w:sz w:val="18"/>
        </w:rPr>
        <w:tab/>
      </w:r>
      <w:r w:rsidRPr="006C2512">
        <w:t>2500. A1 – El director de auditoría interna debe establecer un proceso de seguimiento para vigilar y asegurar que las acciones de la dirección hayan sido implantadas eficazmente o que la alta dirección haya aceptado el riesgo de no tomar medidas</w:t>
      </w:r>
      <w:r w:rsidR="00F554A8" w:rsidRPr="006C251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8A99" w14:textId="60257BDF" w:rsidR="00760F1C" w:rsidRDefault="000B7C15" w:rsidP="007657F0">
    <w:pPr>
      <w:pStyle w:val="Header"/>
    </w:pPr>
    <w:r>
      <w:fldChar w:fldCharType="begin"/>
    </w:r>
    <w:r>
      <w:instrText>PAGE</w:instrText>
    </w:r>
    <w:r>
      <w:fldChar w:fldCharType="separate"/>
    </w:r>
    <w:r w:rsidR="00756441">
      <w:rPr>
        <w:noProof/>
      </w:rPr>
      <w:t>6</w:t>
    </w:r>
    <w:r>
      <w:rPr>
        <w:noProof/>
      </w:rPr>
      <w:fldChar w:fldCharType="end"/>
    </w:r>
  </w:p>
  <w:p w14:paraId="1B23FE41" w14:textId="74671745" w:rsidR="00760F1C" w:rsidRDefault="00760F1C" w:rsidP="00C2727F">
    <w:pPr>
      <w:pStyle w:val="Header"/>
    </w:pPr>
    <w:r>
      <w:t>C</w:t>
    </w:r>
    <w:r w:rsidR="007955DA">
      <w:t>2</w:t>
    </w:r>
    <w:r w:rsidR="00D50A36">
      <w:t>2</w:t>
    </w:r>
    <w:r>
      <w:t>/</w:t>
    </w:r>
    <w:r w:rsidR="00A61809">
      <w:t>44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8F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04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06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01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5E4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8AE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BE1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CA8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3A7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7A5C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D6F0B"/>
    <w:multiLevelType w:val="hybridMultilevel"/>
    <w:tmpl w:val="982C5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C314B"/>
    <w:multiLevelType w:val="hybridMultilevel"/>
    <w:tmpl w:val="6AA0D7DE"/>
    <w:lvl w:ilvl="0" w:tplc="DFA0B1D6">
      <w:start w:val="1"/>
      <w:numFmt w:val="decimal"/>
      <w:lvlText w:val="%1."/>
      <w:lvlJc w:val="left"/>
      <w:pPr>
        <w:ind w:left="502" w:hanging="360"/>
      </w:pPr>
      <w:rPr>
        <w:rFonts w:asciiTheme="minorHAnsi" w:hAnsiTheme="minorHAnsi" w:hint="default"/>
        <w:b w:val="0"/>
        <w:bCs w:val="0"/>
        <w:i w:val="0"/>
        <w:iCs w:val="0"/>
        <w:sz w:val="22"/>
        <w:szCs w:val="22"/>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D4714"/>
    <w:multiLevelType w:val="hybridMultilevel"/>
    <w:tmpl w:val="8262613E"/>
    <w:lvl w:ilvl="0" w:tplc="08090019">
      <w:start w:val="1"/>
      <w:numFmt w:val="lowerLetter"/>
      <w:lvlText w:val="%1."/>
      <w:lvlJc w:val="left"/>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A0"/>
    <w:rsid w:val="000007D1"/>
    <w:rsid w:val="00013DA3"/>
    <w:rsid w:val="00065591"/>
    <w:rsid w:val="00093EEB"/>
    <w:rsid w:val="000A0055"/>
    <w:rsid w:val="000B0D00"/>
    <w:rsid w:val="000B7C15"/>
    <w:rsid w:val="000D1D0F"/>
    <w:rsid w:val="000D7F8C"/>
    <w:rsid w:val="000E3D9B"/>
    <w:rsid w:val="000F4798"/>
    <w:rsid w:val="000F5290"/>
    <w:rsid w:val="0010165C"/>
    <w:rsid w:val="00107FAE"/>
    <w:rsid w:val="00146BFB"/>
    <w:rsid w:val="001523DB"/>
    <w:rsid w:val="00157C2C"/>
    <w:rsid w:val="0017128E"/>
    <w:rsid w:val="001C5EC9"/>
    <w:rsid w:val="001D3495"/>
    <w:rsid w:val="001F14A2"/>
    <w:rsid w:val="00206BC7"/>
    <w:rsid w:val="00215F66"/>
    <w:rsid w:val="002801AA"/>
    <w:rsid w:val="002C4676"/>
    <w:rsid w:val="002C70B0"/>
    <w:rsid w:val="002F3CC4"/>
    <w:rsid w:val="00300DDF"/>
    <w:rsid w:val="0032577E"/>
    <w:rsid w:val="00363039"/>
    <w:rsid w:val="003C4D1C"/>
    <w:rsid w:val="003C543E"/>
    <w:rsid w:val="0042437B"/>
    <w:rsid w:val="0043313E"/>
    <w:rsid w:val="0044743B"/>
    <w:rsid w:val="00474798"/>
    <w:rsid w:val="00481172"/>
    <w:rsid w:val="004D1E36"/>
    <w:rsid w:val="004D434B"/>
    <w:rsid w:val="004E59F5"/>
    <w:rsid w:val="00513630"/>
    <w:rsid w:val="00531ED7"/>
    <w:rsid w:val="00560125"/>
    <w:rsid w:val="00581E36"/>
    <w:rsid w:val="00585553"/>
    <w:rsid w:val="005919DC"/>
    <w:rsid w:val="00597028"/>
    <w:rsid w:val="005B34D9"/>
    <w:rsid w:val="005B3EEA"/>
    <w:rsid w:val="005D0CCF"/>
    <w:rsid w:val="005F3BCB"/>
    <w:rsid w:val="005F410F"/>
    <w:rsid w:val="0060149A"/>
    <w:rsid w:val="00601924"/>
    <w:rsid w:val="006447EA"/>
    <w:rsid w:val="0064731F"/>
    <w:rsid w:val="00664572"/>
    <w:rsid w:val="006710F6"/>
    <w:rsid w:val="006C1B56"/>
    <w:rsid w:val="006C2512"/>
    <w:rsid w:val="006D4761"/>
    <w:rsid w:val="00726872"/>
    <w:rsid w:val="00732C41"/>
    <w:rsid w:val="00736745"/>
    <w:rsid w:val="00756441"/>
    <w:rsid w:val="00760F1C"/>
    <w:rsid w:val="00760F49"/>
    <w:rsid w:val="007657F0"/>
    <w:rsid w:val="0077252D"/>
    <w:rsid w:val="007955DA"/>
    <w:rsid w:val="007D6F11"/>
    <w:rsid w:val="007E5DD3"/>
    <w:rsid w:val="007F09F7"/>
    <w:rsid w:val="007F350B"/>
    <w:rsid w:val="00820BE4"/>
    <w:rsid w:val="008451E8"/>
    <w:rsid w:val="0086736E"/>
    <w:rsid w:val="008955B3"/>
    <w:rsid w:val="008B3616"/>
    <w:rsid w:val="009044CC"/>
    <w:rsid w:val="00913B9C"/>
    <w:rsid w:val="00932C9C"/>
    <w:rsid w:val="00956E77"/>
    <w:rsid w:val="009C0F02"/>
    <w:rsid w:val="009E3E91"/>
    <w:rsid w:val="009F4811"/>
    <w:rsid w:val="009F5AA4"/>
    <w:rsid w:val="00A61809"/>
    <w:rsid w:val="00A62F72"/>
    <w:rsid w:val="00AA390C"/>
    <w:rsid w:val="00AB012B"/>
    <w:rsid w:val="00AC0F17"/>
    <w:rsid w:val="00AF5DC7"/>
    <w:rsid w:val="00B0200A"/>
    <w:rsid w:val="00B042C0"/>
    <w:rsid w:val="00B574DB"/>
    <w:rsid w:val="00B605CB"/>
    <w:rsid w:val="00B735C5"/>
    <w:rsid w:val="00B826C2"/>
    <w:rsid w:val="00B8298E"/>
    <w:rsid w:val="00BD0723"/>
    <w:rsid w:val="00BD2518"/>
    <w:rsid w:val="00BE3EE8"/>
    <w:rsid w:val="00BF1D1C"/>
    <w:rsid w:val="00C06E7E"/>
    <w:rsid w:val="00C12FC8"/>
    <w:rsid w:val="00C17701"/>
    <w:rsid w:val="00C20C59"/>
    <w:rsid w:val="00C2727F"/>
    <w:rsid w:val="00C4488B"/>
    <w:rsid w:val="00C55B1F"/>
    <w:rsid w:val="00C6378E"/>
    <w:rsid w:val="00C75526"/>
    <w:rsid w:val="00C94D2B"/>
    <w:rsid w:val="00CB7839"/>
    <w:rsid w:val="00CF1A67"/>
    <w:rsid w:val="00CF5C0B"/>
    <w:rsid w:val="00D014D4"/>
    <w:rsid w:val="00D2750E"/>
    <w:rsid w:val="00D46E19"/>
    <w:rsid w:val="00D50A36"/>
    <w:rsid w:val="00D62446"/>
    <w:rsid w:val="00D9003E"/>
    <w:rsid w:val="00DA4EA2"/>
    <w:rsid w:val="00DA5E29"/>
    <w:rsid w:val="00DB7700"/>
    <w:rsid w:val="00DC1C45"/>
    <w:rsid w:val="00DC3D3E"/>
    <w:rsid w:val="00DD5438"/>
    <w:rsid w:val="00DE2C90"/>
    <w:rsid w:val="00DE3B24"/>
    <w:rsid w:val="00DF35E6"/>
    <w:rsid w:val="00DF61F9"/>
    <w:rsid w:val="00E06947"/>
    <w:rsid w:val="00E202FF"/>
    <w:rsid w:val="00E3592D"/>
    <w:rsid w:val="00E371A0"/>
    <w:rsid w:val="00E45D99"/>
    <w:rsid w:val="00E527FA"/>
    <w:rsid w:val="00E83296"/>
    <w:rsid w:val="00E92DE8"/>
    <w:rsid w:val="00E96CA0"/>
    <w:rsid w:val="00EA4AD4"/>
    <w:rsid w:val="00EB1212"/>
    <w:rsid w:val="00EC0CA3"/>
    <w:rsid w:val="00ED65AB"/>
    <w:rsid w:val="00F12850"/>
    <w:rsid w:val="00F229B3"/>
    <w:rsid w:val="00F33BF4"/>
    <w:rsid w:val="00F554A8"/>
    <w:rsid w:val="00F7105E"/>
    <w:rsid w:val="00F75F57"/>
    <w:rsid w:val="00F77CA8"/>
    <w:rsid w:val="00F82FEE"/>
    <w:rsid w:val="00F96EFA"/>
    <w:rsid w:val="00FB2CB1"/>
    <w:rsid w:val="00FD186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753F5"/>
  <w15:docId w15:val="{F2F26E01-9F02-4C0F-A101-397AE8D5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A61809"/>
    <w:rPr>
      <w:color w:val="605E5C"/>
      <w:shd w:val="clear" w:color="auto" w:fill="E1DFDD"/>
    </w:rPr>
  </w:style>
  <w:style w:type="paragraph" w:styleId="NormalWeb">
    <w:name w:val="Normal (Web)"/>
    <w:basedOn w:val="Normal"/>
    <w:semiHidden/>
    <w:unhideWhenUsed/>
    <w:rsid w:val="00A61809"/>
    <w:rPr>
      <w:rFonts w:ascii="Times New Roman" w:hAnsi="Times New Roman"/>
      <w:szCs w:val="24"/>
    </w:rPr>
  </w:style>
  <w:style w:type="paragraph" w:styleId="Revision">
    <w:name w:val="Revision"/>
    <w:hidden/>
    <w:uiPriority w:val="99"/>
    <w:semiHidden/>
    <w:rsid w:val="00A61809"/>
    <w:rPr>
      <w:rFonts w:ascii="Calibri" w:hAnsi="Calibri"/>
      <w:sz w:val="24"/>
      <w:lang w:val="es-ES_tradnl"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CF5C0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CF5C0B"/>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rsid w:val="00CF5C0B"/>
    <w:rPr>
      <w:rFonts w:ascii="Calibri" w:hAnsi="Calibri"/>
      <w:sz w:val="24"/>
      <w:lang w:val="es-ES_tradnl" w:eastAsia="en-US"/>
    </w:rPr>
  </w:style>
  <w:style w:type="paragraph" w:customStyle="1" w:styleId="Default">
    <w:name w:val="Default"/>
    <w:rsid w:val="00206BC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9F5AA4"/>
    <w:rPr>
      <w:sz w:val="16"/>
      <w:szCs w:val="16"/>
    </w:rPr>
  </w:style>
  <w:style w:type="paragraph" w:styleId="CommentText">
    <w:name w:val="annotation text"/>
    <w:basedOn w:val="Normal"/>
    <w:link w:val="CommentTextChar"/>
    <w:semiHidden/>
    <w:unhideWhenUsed/>
    <w:rsid w:val="009F5AA4"/>
    <w:rPr>
      <w:sz w:val="20"/>
    </w:rPr>
  </w:style>
  <w:style w:type="character" w:customStyle="1" w:styleId="CommentTextChar">
    <w:name w:val="Comment Text Char"/>
    <w:basedOn w:val="DefaultParagraphFont"/>
    <w:link w:val="CommentText"/>
    <w:semiHidden/>
    <w:rsid w:val="009F5AA4"/>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F5AA4"/>
    <w:rPr>
      <w:b/>
      <w:bCs/>
    </w:rPr>
  </w:style>
  <w:style w:type="character" w:customStyle="1" w:styleId="CommentSubjectChar">
    <w:name w:val="Comment Subject Char"/>
    <w:basedOn w:val="CommentTextChar"/>
    <w:link w:val="CommentSubject"/>
    <w:semiHidden/>
    <w:rsid w:val="009F5AA4"/>
    <w:rPr>
      <w:rFonts w:ascii="Calibri" w:hAnsi="Calibri"/>
      <w:b/>
      <w:bCs/>
      <w:lang w:val="es-ES_tradnl" w:eastAsia="en-US"/>
    </w:rPr>
  </w:style>
  <w:style w:type="paragraph" w:styleId="BalloonText">
    <w:name w:val="Balloon Text"/>
    <w:basedOn w:val="Normal"/>
    <w:link w:val="BalloonTextChar"/>
    <w:semiHidden/>
    <w:unhideWhenUsed/>
    <w:rsid w:val="009F5A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F5AA4"/>
    <w:rPr>
      <w:rFonts w:ascii="Segoe UI" w:hAnsi="Segoe UI" w:cs="Segoe UI"/>
      <w:sz w:val="18"/>
      <w:szCs w:val="18"/>
      <w:lang w:val="es-ES_tradnl" w:eastAsia="en-US"/>
    </w:rPr>
  </w:style>
  <w:style w:type="character" w:customStyle="1" w:styleId="UnresolvedMention2">
    <w:name w:val="Unresolved Mention2"/>
    <w:basedOn w:val="DefaultParagraphFont"/>
    <w:uiPriority w:val="99"/>
    <w:semiHidden/>
    <w:unhideWhenUsed/>
    <w:rsid w:val="0086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13370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Financial-Regulations/S-GEN-REG_RGTFIN-2018-PDF-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22-CWGFHR15-C-0003/es" TargetMode="External"/><Relationship Id="rId4" Type="http://schemas.openxmlformats.org/officeDocument/2006/relationships/webSettings" Target="webSettings.xml"/><Relationship Id="rId9" Type="http://schemas.openxmlformats.org/officeDocument/2006/relationships/hyperlink" Target="https://www.itu.int/md/S19-CL-C-0130/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2022/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6</Pages>
  <Words>2728</Words>
  <Characters>14514</Characters>
  <Application>Microsoft Office Word</Application>
  <DocSecurity>4</DocSecurity>
  <Lines>120</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17208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auditor interno sobre las actividades de auditoría interna</dc:title>
  <dc:subject>Consejo 2022</dc:subject>
  <dc:creator>Spanish</dc:creator>
  <cp:keywords>C2022, C22</cp:keywords>
  <dc:description/>
  <cp:lastModifiedBy>Xue, Kun</cp:lastModifiedBy>
  <cp:revision>2</cp:revision>
  <cp:lastPrinted>2006-03-24T09:51:00Z</cp:lastPrinted>
  <dcterms:created xsi:type="dcterms:W3CDTF">2022-02-28T09:38:00Z</dcterms:created>
  <dcterms:modified xsi:type="dcterms:W3CDTF">2022-02-28T09:38:00Z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