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83B1F" w14:paraId="0522A17D" w14:textId="77777777">
        <w:trPr>
          <w:cantSplit/>
        </w:trPr>
        <w:tc>
          <w:tcPr>
            <w:tcW w:w="6912" w:type="dxa"/>
          </w:tcPr>
          <w:p w14:paraId="5086ED17" w14:textId="2544879A" w:rsidR="00520F36" w:rsidRPr="00D83B1F" w:rsidRDefault="00520F36" w:rsidP="0010458B">
            <w:pPr>
              <w:spacing w:before="360"/>
            </w:pPr>
            <w:bookmarkStart w:id="0" w:name="dc06"/>
            <w:bookmarkEnd w:id="0"/>
            <w:r w:rsidRPr="00D83B1F">
              <w:rPr>
                <w:b/>
                <w:bCs/>
                <w:sz w:val="30"/>
                <w:szCs w:val="30"/>
              </w:rPr>
              <w:t>Conseil 20</w:t>
            </w:r>
            <w:r w:rsidR="009C353C" w:rsidRPr="00D83B1F">
              <w:rPr>
                <w:b/>
                <w:bCs/>
                <w:sz w:val="30"/>
                <w:szCs w:val="30"/>
              </w:rPr>
              <w:t>2</w:t>
            </w:r>
            <w:r w:rsidR="00BB2BC2" w:rsidRPr="00D83B1F">
              <w:rPr>
                <w:b/>
                <w:bCs/>
                <w:sz w:val="30"/>
                <w:szCs w:val="30"/>
              </w:rPr>
              <w:t>2</w:t>
            </w:r>
            <w:r w:rsidRPr="00D83B1F">
              <w:rPr>
                <w:rFonts w:ascii="Verdana" w:hAnsi="Verdana"/>
                <w:b/>
                <w:bCs/>
                <w:sz w:val="26"/>
                <w:szCs w:val="26"/>
              </w:rPr>
              <w:br/>
            </w:r>
            <w:r w:rsidR="00BB2BC2" w:rsidRPr="00D83B1F">
              <w:rPr>
                <w:b/>
                <w:bCs/>
                <w:sz w:val="28"/>
                <w:szCs w:val="28"/>
              </w:rPr>
              <w:t>Genève</w:t>
            </w:r>
            <w:r w:rsidRPr="00D83B1F">
              <w:rPr>
                <w:b/>
                <w:bCs/>
                <w:sz w:val="28"/>
                <w:szCs w:val="28"/>
              </w:rPr>
              <w:t xml:space="preserve">, </w:t>
            </w:r>
            <w:r w:rsidR="00BB2BC2" w:rsidRPr="00D83B1F">
              <w:rPr>
                <w:b/>
                <w:bCs/>
                <w:sz w:val="28"/>
                <w:szCs w:val="28"/>
              </w:rPr>
              <w:t>21</w:t>
            </w:r>
            <w:r w:rsidRPr="00D83B1F">
              <w:rPr>
                <w:b/>
                <w:bCs/>
                <w:sz w:val="28"/>
                <w:szCs w:val="28"/>
              </w:rPr>
              <w:t>-</w:t>
            </w:r>
            <w:r w:rsidR="00BB2BC2" w:rsidRPr="00D83B1F">
              <w:rPr>
                <w:b/>
                <w:bCs/>
                <w:sz w:val="28"/>
                <w:szCs w:val="28"/>
              </w:rPr>
              <w:t>31</w:t>
            </w:r>
            <w:r w:rsidR="00106B19" w:rsidRPr="00D83B1F">
              <w:rPr>
                <w:b/>
                <w:bCs/>
                <w:sz w:val="28"/>
                <w:szCs w:val="28"/>
              </w:rPr>
              <w:t xml:space="preserve"> </w:t>
            </w:r>
            <w:r w:rsidR="00BB2BC2" w:rsidRPr="00D83B1F">
              <w:rPr>
                <w:b/>
                <w:bCs/>
                <w:sz w:val="28"/>
                <w:szCs w:val="28"/>
              </w:rPr>
              <w:t>mars</w:t>
            </w:r>
            <w:r w:rsidRPr="00D83B1F">
              <w:rPr>
                <w:b/>
                <w:bCs/>
                <w:sz w:val="28"/>
                <w:szCs w:val="28"/>
              </w:rPr>
              <w:t xml:space="preserve"> 20</w:t>
            </w:r>
            <w:r w:rsidR="009C353C" w:rsidRPr="00D83B1F">
              <w:rPr>
                <w:b/>
                <w:bCs/>
                <w:sz w:val="28"/>
                <w:szCs w:val="28"/>
              </w:rPr>
              <w:t>2</w:t>
            </w:r>
            <w:r w:rsidR="00BB2BC2" w:rsidRPr="00D83B1F">
              <w:rPr>
                <w:b/>
                <w:bCs/>
                <w:sz w:val="28"/>
                <w:szCs w:val="28"/>
              </w:rPr>
              <w:t>2</w:t>
            </w:r>
          </w:p>
        </w:tc>
        <w:tc>
          <w:tcPr>
            <w:tcW w:w="3261" w:type="dxa"/>
          </w:tcPr>
          <w:p w14:paraId="634264D1" w14:textId="77777777" w:rsidR="00520F36" w:rsidRPr="00D83B1F" w:rsidRDefault="009C353C" w:rsidP="0010458B">
            <w:pPr>
              <w:spacing w:before="0"/>
            </w:pPr>
            <w:bookmarkStart w:id="1" w:name="ditulogo"/>
            <w:bookmarkEnd w:id="1"/>
            <w:r w:rsidRPr="00D83B1F">
              <w:rPr>
                <w:noProof/>
              </w:rPr>
              <w:drawing>
                <wp:inline distT="0" distB="0" distL="0" distR="0" wp14:anchorId="169FFB26" wp14:editId="12729C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D83B1F" w14:paraId="2E5BD5AD" w14:textId="77777777" w:rsidTr="00EF41DD">
        <w:trPr>
          <w:cantSplit/>
          <w:trHeight w:val="20"/>
        </w:trPr>
        <w:tc>
          <w:tcPr>
            <w:tcW w:w="6912" w:type="dxa"/>
            <w:tcBorders>
              <w:bottom w:val="single" w:sz="12" w:space="0" w:color="auto"/>
            </w:tcBorders>
            <w:vAlign w:val="center"/>
          </w:tcPr>
          <w:p w14:paraId="1C99D9AE" w14:textId="77777777" w:rsidR="00520F36" w:rsidRPr="00D83B1F" w:rsidRDefault="00520F36" w:rsidP="0010458B">
            <w:pPr>
              <w:spacing w:before="0"/>
              <w:rPr>
                <w:b/>
                <w:bCs/>
                <w:sz w:val="26"/>
                <w:szCs w:val="26"/>
              </w:rPr>
            </w:pPr>
          </w:p>
        </w:tc>
        <w:tc>
          <w:tcPr>
            <w:tcW w:w="3261" w:type="dxa"/>
            <w:tcBorders>
              <w:bottom w:val="single" w:sz="12" w:space="0" w:color="auto"/>
            </w:tcBorders>
          </w:tcPr>
          <w:p w14:paraId="5540B490" w14:textId="77777777" w:rsidR="00520F36" w:rsidRPr="00D83B1F" w:rsidRDefault="00520F36" w:rsidP="0010458B">
            <w:pPr>
              <w:spacing w:before="0"/>
              <w:rPr>
                <w:b/>
                <w:bCs/>
              </w:rPr>
            </w:pPr>
          </w:p>
        </w:tc>
      </w:tr>
      <w:tr w:rsidR="00520F36" w:rsidRPr="00D83B1F" w14:paraId="1F4E87E5" w14:textId="77777777">
        <w:trPr>
          <w:cantSplit/>
          <w:trHeight w:val="20"/>
        </w:trPr>
        <w:tc>
          <w:tcPr>
            <w:tcW w:w="6912" w:type="dxa"/>
            <w:tcBorders>
              <w:top w:val="single" w:sz="12" w:space="0" w:color="auto"/>
            </w:tcBorders>
          </w:tcPr>
          <w:p w14:paraId="14210DC4" w14:textId="77777777" w:rsidR="00520F36" w:rsidRPr="00D83B1F" w:rsidRDefault="00520F36" w:rsidP="0010458B">
            <w:pPr>
              <w:spacing w:before="0"/>
              <w:rPr>
                <w:smallCaps/>
                <w:sz w:val="22"/>
              </w:rPr>
            </w:pPr>
          </w:p>
        </w:tc>
        <w:tc>
          <w:tcPr>
            <w:tcW w:w="3261" w:type="dxa"/>
            <w:tcBorders>
              <w:top w:val="single" w:sz="12" w:space="0" w:color="auto"/>
            </w:tcBorders>
          </w:tcPr>
          <w:p w14:paraId="5319C95B" w14:textId="77777777" w:rsidR="00520F36" w:rsidRPr="00D83B1F" w:rsidRDefault="00520F36" w:rsidP="0010458B">
            <w:pPr>
              <w:spacing w:before="0"/>
              <w:rPr>
                <w:b/>
                <w:bCs/>
              </w:rPr>
            </w:pPr>
          </w:p>
        </w:tc>
      </w:tr>
      <w:tr w:rsidR="00520F36" w:rsidRPr="00D83B1F" w14:paraId="289C8551" w14:textId="77777777">
        <w:trPr>
          <w:cantSplit/>
          <w:trHeight w:val="20"/>
        </w:trPr>
        <w:tc>
          <w:tcPr>
            <w:tcW w:w="6912" w:type="dxa"/>
            <w:vMerge w:val="restart"/>
          </w:tcPr>
          <w:p w14:paraId="22C01BE2" w14:textId="063CF167" w:rsidR="00520F36" w:rsidRPr="00D83B1F" w:rsidRDefault="009C0949" w:rsidP="0010458B">
            <w:pPr>
              <w:spacing w:before="0"/>
              <w:rPr>
                <w:rFonts w:cs="Times"/>
                <w:b/>
                <w:bCs/>
                <w:szCs w:val="24"/>
              </w:rPr>
            </w:pPr>
            <w:bookmarkStart w:id="2" w:name="dnum" w:colFirst="1" w:colLast="1"/>
            <w:bookmarkStart w:id="3" w:name="dmeeting" w:colFirst="0" w:colLast="0"/>
            <w:r w:rsidRPr="00D83B1F">
              <w:rPr>
                <w:rFonts w:cs="Times"/>
                <w:b/>
                <w:bCs/>
                <w:szCs w:val="24"/>
              </w:rPr>
              <w:t>Point de l</w:t>
            </w:r>
            <w:r w:rsidR="00CE6191" w:rsidRPr="00D83B1F">
              <w:rPr>
                <w:rFonts w:cs="Times"/>
                <w:b/>
                <w:bCs/>
                <w:szCs w:val="24"/>
              </w:rPr>
              <w:t>'</w:t>
            </w:r>
            <w:r w:rsidRPr="00D83B1F">
              <w:rPr>
                <w:rFonts w:cs="Times"/>
                <w:b/>
                <w:bCs/>
                <w:szCs w:val="24"/>
              </w:rPr>
              <w:t>ordre du jour: ADM 1</w:t>
            </w:r>
            <w:r w:rsidR="00BB2BC2" w:rsidRPr="00D83B1F">
              <w:rPr>
                <w:rFonts w:cs="Times"/>
                <w:b/>
                <w:bCs/>
                <w:szCs w:val="24"/>
              </w:rPr>
              <w:t>5</w:t>
            </w:r>
          </w:p>
        </w:tc>
        <w:tc>
          <w:tcPr>
            <w:tcW w:w="3261" w:type="dxa"/>
          </w:tcPr>
          <w:p w14:paraId="3EFA6FB7" w14:textId="42E4B89D" w:rsidR="00520F36" w:rsidRPr="00D83B1F" w:rsidRDefault="00520F36" w:rsidP="0010458B">
            <w:pPr>
              <w:spacing w:before="0"/>
              <w:rPr>
                <w:b/>
                <w:bCs/>
              </w:rPr>
            </w:pPr>
            <w:r w:rsidRPr="00D83B1F">
              <w:rPr>
                <w:b/>
                <w:bCs/>
              </w:rPr>
              <w:t>Document C</w:t>
            </w:r>
            <w:r w:rsidR="009C353C" w:rsidRPr="00D83B1F">
              <w:rPr>
                <w:b/>
                <w:bCs/>
              </w:rPr>
              <w:t>2</w:t>
            </w:r>
            <w:r w:rsidR="00BB2BC2" w:rsidRPr="00D83B1F">
              <w:rPr>
                <w:b/>
                <w:bCs/>
              </w:rPr>
              <w:t>2</w:t>
            </w:r>
            <w:r w:rsidRPr="00D83B1F">
              <w:rPr>
                <w:b/>
                <w:bCs/>
              </w:rPr>
              <w:t>/</w:t>
            </w:r>
            <w:r w:rsidR="009C0949" w:rsidRPr="00D83B1F">
              <w:rPr>
                <w:b/>
                <w:bCs/>
              </w:rPr>
              <w:t>44</w:t>
            </w:r>
            <w:r w:rsidRPr="00D83B1F">
              <w:rPr>
                <w:b/>
                <w:bCs/>
              </w:rPr>
              <w:t>-F</w:t>
            </w:r>
          </w:p>
        </w:tc>
      </w:tr>
      <w:tr w:rsidR="00520F36" w:rsidRPr="00D83B1F" w14:paraId="3F02A410" w14:textId="77777777">
        <w:trPr>
          <w:cantSplit/>
          <w:trHeight w:val="20"/>
        </w:trPr>
        <w:tc>
          <w:tcPr>
            <w:tcW w:w="6912" w:type="dxa"/>
            <w:vMerge/>
          </w:tcPr>
          <w:p w14:paraId="17B332FE" w14:textId="77777777" w:rsidR="00520F36" w:rsidRPr="00D83B1F" w:rsidRDefault="00520F36" w:rsidP="0010458B">
            <w:pPr>
              <w:shd w:val="solid" w:color="FFFFFF" w:fill="FFFFFF"/>
              <w:spacing w:before="180"/>
              <w:rPr>
                <w:smallCaps/>
              </w:rPr>
            </w:pPr>
            <w:bookmarkStart w:id="4" w:name="ddate" w:colFirst="1" w:colLast="1"/>
            <w:bookmarkEnd w:id="2"/>
            <w:bookmarkEnd w:id="3"/>
          </w:p>
        </w:tc>
        <w:tc>
          <w:tcPr>
            <w:tcW w:w="3261" w:type="dxa"/>
          </w:tcPr>
          <w:p w14:paraId="50B80773" w14:textId="2A122A71" w:rsidR="00520F36" w:rsidRPr="00D83B1F" w:rsidRDefault="00287CA1" w:rsidP="0010458B">
            <w:pPr>
              <w:spacing w:before="0"/>
              <w:rPr>
                <w:b/>
                <w:bCs/>
              </w:rPr>
            </w:pPr>
            <w:r>
              <w:rPr>
                <w:b/>
                <w:bCs/>
              </w:rPr>
              <w:t>18</w:t>
            </w:r>
            <w:r w:rsidR="00BB2BC2" w:rsidRPr="00D83B1F">
              <w:rPr>
                <w:b/>
                <w:bCs/>
              </w:rPr>
              <w:t xml:space="preserve"> février 2022</w:t>
            </w:r>
          </w:p>
        </w:tc>
      </w:tr>
      <w:tr w:rsidR="00520F36" w:rsidRPr="00D83B1F" w14:paraId="00A63804" w14:textId="77777777">
        <w:trPr>
          <w:cantSplit/>
          <w:trHeight w:val="20"/>
        </w:trPr>
        <w:tc>
          <w:tcPr>
            <w:tcW w:w="6912" w:type="dxa"/>
            <w:vMerge/>
          </w:tcPr>
          <w:p w14:paraId="635CD91F" w14:textId="77777777" w:rsidR="00520F36" w:rsidRPr="00D83B1F" w:rsidRDefault="00520F36" w:rsidP="0010458B">
            <w:pPr>
              <w:shd w:val="solid" w:color="FFFFFF" w:fill="FFFFFF"/>
              <w:spacing w:before="180"/>
              <w:rPr>
                <w:smallCaps/>
              </w:rPr>
            </w:pPr>
            <w:bookmarkStart w:id="5" w:name="dorlang" w:colFirst="1" w:colLast="1"/>
            <w:bookmarkEnd w:id="4"/>
          </w:p>
        </w:tc>
        <w:tc>
          <w:tcPr>
            <w:tcW w:w="3261" w:type="dxa"/>
          </w:tcPr>
          <w:p w14:paraId="7C0255E5" w14:textId="77777777" w:rsidR="00520F36" w:rsidRPr="00D83B1F" w:rsidRDefault="00520F36" w:rsidP="0010458B">
            <w:pPr>
              <w:spacing w:before="0"/>
              <w:rPr>
                <w:b/>
                <w:bCs/>
              </w:rPr>
            </w:pPr>
            <w:r w:rsidRPr="00D83B1F">
              <w:rPr>
                <w:b/>
                <w:bCs/>
              </w:rPr>
              <w:t>Original: anglais</w:t>
            </w:r>
          </w:p>
        </w:tc>
      </w:tr>
      <w:tr w:rsidR="00520F36" w:rsidRPr="00D83B1F" w14:paraId="6C8874B7" w14:textId="77777777">
        <w:trPr>
          <w:cantSplit/>
        </w:trPr>
        <w:tc>
          <w:tcPr>
            <w:tcW w:w="10173" w:type="dxa"/>
            <w:gridSpan w:val="2"/>
          </w:tcPr>
          <w:p w14:paraId="03BFB4D1" w14:textId="22F6CC5B" w:rsidR="00520F36" w:rsidRPr="00D83B1F" w:rsidRDefault="009C0949" w:rsidP="0010458B">
            <w:pPr>
              <w:pStyle w:val="Source"/>
            </w:pPr>
            <w:bookmarkStart w:id="6" w:name="dsource" w:colFirst="0" w:colLast="0"/>
            <w:bookmarkEnd w:id="5"/>
            <w:r w:rsidRPr="00D83B1F">
              <w:t>Rapport du Secrétaire général</w:t>
            </w:r>
          </w:p>
        </w:tc>
      </w:tr>
      <w:tr w:rsidR="00520F36" w:rsidRPr="00D83B1F" w14:paraId="76DADD7D" w14:textId="77777777">
        <w:trPr>
          <w:cantSplit/>
        </w:trPr>
        <w:tc>
          <w:tcPr>
            <w:tcW w:w="10173" w:type="dxa"/>
            <w:gridSpan w:val="2"/>
          </w:tcPr>
          <w:p w14:paraId="49F27E0F" w14:textId="5D336FF0" w:rsidR="00520F36" w:rsidRPr="00D83B1F" w:rsidRDefault="009C0949" w:rsidP="0010458B">
            <w:pPr>
              <w:pStyle w:val="Title1"/>
            </w:pPr>
            <w:bookmarkStart w:id="7" w:name="dtitle1" w:colFirst="0" w:colLast="0"/>
            <w:bookmarkStart w:id="8" w:name="_Hlk98767247"/>
            <w:bookmarkStart w:id="9" w:name="_GoBack"/>
            <w:bookmarkEnd w:id="6"/>
            <w:r w:rsidRPr="00D83B1F">
              <w:t>RAPPORT DE L</w:t>
            </w:r>
            <w:r w:rsidR="00CE6191" w:rsidRPr="00D83B1F">
              <w:t>'</w:t>
            </w:r>
            <w:r w:rsidRPr="00D83B1F">
              <w:t>A</w:t>
            </w:r>
            <w:r w:rsidR="00BE4427" w:rsidRPr="00D83B1F">
              <w:t>UDITEUR INTERNE SUR LES ACTIVITÉ</w:t>
            </w:r>
            <w:r w:rsidRPr="00D83B1F">
              <w:t>S D</w:t>
            </w:r>
            <w:r w:rsidR="00CE6191" w:rsidRPr="00D83B1F">
              <w:t>'</w:t>
            </w:r>
            <w:r w:rsidRPr="00D83B1F">
              <w:t>AUDIT INTERNE</w:t>
            </w:r>
            <w:bookmarkEnd w:id="8"/>
            <w:bookmarkEnd w:id="9"/>
          </w:p>
        </w:tc>
      </w:tr>
      <w:bookmarkEnd w:id="7"/>
    </w:tbl>
    <w:p w14:paraId="456FEEA9" w14:textId="77777777" w:rsidR="00520F36" w:rsidRPr="00D83B1F" w:rsidRDefault="00520F36" w:rsidP="0010458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83B1F" w14:paraId="51337AC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22392BF" w14:textId="77777777" w:rsidR="00520F36" w:rsidRPr="00D83B1F" w:rsidRDefault="00520F36" w:rsidP="0010458B">
            <w:pPr>
              <w:pStyle w:val="Headingb"/>
            </w:pPr>
            <w:r w:rsidRPr="00D83B1F">
              <w:t>Résumé</w:t>
            </w:r>
          </w:p>
          <w:p w14:paraId="59C1A2EB" w14:textId="24739D3B" w:rsidR="00520F36" w:rsidRPr="00D83B1F" w:rsidRDefault="009C0949" w:rsidP="0010458B">
            <w:r w:rsidRPr="00D83B1F">
              <w:t>Le présent rapport couvre les activités d</w:t>
            </w:r>
            <w:r w:rsidR="00CE6191" w:rsidRPr="00D83B1F">
              <w:t>'</w:t>
            </w:r>
            <w:r w:rsidRPr="00D83B1F">
              <w:t>audit interne menées durant la période allant d</w:t>
            </w:r>
            <w:r w:rsidR="00CE6191" w:rsidRPr="00D83B1F">
              <w:t>'</w:t>
            </w:r>
            <w:r w:rsidR="00BB2BC2" w:rsidRPr="00D83B1F">
              <w:t>avril</w:t>
            </w:r>
            <w:r w:rsidRPr="00D83B1F">
              <w:t xml:space="preserve"> 202</w:t>
            </w:r>
            <w:r w:rsidR="00BB2BC2" w:rsidRPr="00D83B1F">
              <w:t>1</w:t>
            </w:r>
            <w:r w:rsidRPr="00D83B1F">
              <w:t xml:space="preserve"> à </w:t>
            </w:r>
            <w:r w:rsidR="00BB2BC2" w:rsidRPr="00D83B1F">
              <w:t>janvier</w:t>
            </w:r>
            <w:r w:rsidRPr="00D83B1F">
              <w:t xml:space="preserve"> 202</w:t>
            </w:r>
            <w:r w:rsidR="00BB2BC2" w:rsidRPr="00D83B1F">
              <w:t>2</w:t>
            </w:r>
            <w:r w:rsidRPr="00D83B1F">
              <w:t>.</w:t>
            </w:r>
          </w:p>
          <w:p w14:paraId="7494032F" w14:textId="77777777" w:rsidR="00520F36" w:rsidRPr="00D83B1F" w:rsidRDefault="00520F36" w:rsidP="0010458B">
            <w:pPr>
              <w:pStyle w:val="Headingb"/>
            </w:pPr>
            <w:r w:rsidRPr="00D83B1F">
              <w:t>Suite à donner</w:t>
            </w:r>
          </w:p>
          <w:p w14:paraId="6D4B1EE7" w14:textId="5F829A5C" w:rsidR="00520F36" w:rsidRPr="00D83B1F" w:rsidRDefault="009C0949" w:rsidP="0010458B">
            <w:r w:rsidRPr="00D83B1F">
              <w:t xml:space="preserve">Le présent rapport est transmis au Conseil </w:t>
            </w:r>
            <w:r w:rsidRPr="00D83B1F">
              <w:rPr>
                <w:b/>
              </w:rPr>
              <w:t>pour examen</w:t>
            </w:r>
            <w:r w:rsidRPr="00D83B1F">
              <w:t>.</w:t>
            </w:r>
          </w:p>
          <w:p w14:paraId="75ED756E" w14:textId="77777777" w:rsidR="00520F36" w:rsidRPr="00D83B1F" w:rsidRDefault="00520F36" w:rsidP="0010458B">
            <w:pPr>
              <w:pStyle w:val="Table"/>
              <w:keepNext w:val="0"/>
              <w:spacing w:before="0" w:after="0"/>
              <w:rPr>
                <w:rFonts w:ascii="Calibri" w:hAnsi="Calibri"/>
                <w:caps w:val="0"/>
                <w:sz w:val="22"/>
                <w:lang w:val="fr-FR"/>
              </w:rPr>
            </w:pPr>
            <w:r w:rsidRPr="00D83B1F">
              <w:rPr>
                <w:rFonts w:ascii="Calibri" w:hAnsi="Calibri"/>
                <w:caps w:val="0"/>
                <w:sz w:val="22"/>
                <w:lang w:val="fr-FR"/>
              </w:rPr>
              <w:t>____________</w:t>
            </w:r>
          </w:p>
          <w:p w14:paraId="31BF045C" w14:textId="77777777" w:rsidR="00520F36" w:rsidRPr="00D83B1F" w:rsidRDefault="00520F36" w:rsidP="0010458B">
            <w:pPr>
              <w:pStyle w:val="Headingb"/>
            </w:pPr>
            <w:r w:rsidRPr="00D83B1F">
              <w:t>Références</w:t>
            </w:r>
          </w:p>
          <w:p w14:paraId="7471EA39" w14:textId="638782DA" w:rsidR="00520F36" w:rsidRPr="00D83B1F" w:rsidRDefault="00287CA1" w:rsidP="0010458B">
            <w:pPr>
              <w:spacing w:after="120"/>
              <w:rPr>
                <w:i/>
                <w:iCs/>
              </w:rPr>
            </w:pPr>
            <w:hyperlink r:id="rId8" w:history="1">
              <w:r w:rsidR="009C0949" w:rsidRPr="00D83B1F">
                <w:rPr>
                  <w:rStyle w:val="Hyperlink"/>
                  <w:i/>
                  <w:iCs/>
                </w:rPr>
                <w:t>Règlement financier et Règles financières de l</w:t>
              </w:r>
              <w:r w:rsidR="00CE6191" w:rsidRPr="00D83B1F">
                <w:rPr>
                  <w:rStyle w:val="Hyperlink"/>
                  <w:i/>
                  <w:iCs/>
                </w:rPr>
                <w:t>'</w:t>
              </w:r>
              <w:r w:rsidR="009C0949" w:rsidRPr="00D83B1F">
                <w:rPr>
                  <w:rStyle w:val="Hyperlink"/>
                  <w:i/>
                  <w:iCs/>
                </w:rPr>
                <w:t>UIT (2018), Article 29</w:t>
              </w:r>
            </w:hyperlink>
          </w:p>
        </w:tc>
      </w:tr>
    </w:tbl>
    <w:p w14:paraId="559898E7" w14:textId="37644FB5" w:rsidR="009C0949" w:rsidRPr="00D83B1F" w:rsidRDefault="009C0949" w:rsidP="0010458B">
      <w:pPr>
        <w:pStyle w:val="Headingb"/>
        <w:spacing w:before="480"/>
      </w:pPr>
      <w:r w:rsidRPr="00D83B1F">
        <w:t>Introduction</w:t>
      </w:r>
    </w:p>
    <w:p w14:paraId="5A2EC75C" w14:textId="4B2EA5A4" w:rsidR="009C0949" w:rsidRPr="00D83B1F" w:rsidRDefault="009C0949" w:rsidP="0010458B">
      <w:r w:rsidRPr="00D83B1F">
        <w:t>1</w:t>
      </w:r>
      <w:r w:rsidRPr="00D83B1F">
        <w:tab/>
        <w:t>Le présent rapport est transmis au Conseil de l</w:t>
      </w:r>
      <w:r w:rsidR="00CE6191" w:rsidRPr="00D83B1F">
        <w:t>'</w:t>
      </w:r>
      <w:r w:rsidRPr="00D83B1F">
        <w:t>UIT au titre de l</w:t>
      </w:r>
      <w:r w:rsidR="00CE6191" w:rsidRPr="00D83B1F">
        <w:t>'</w:t>
      </w:r>
      <w:r w:rsidRPr="00D83B1F">
        <w:t>Article 29 du Règlement financier (2010). Conformément à la Charte d</w:t>
      </w:r>
      <w:r w:rsidR="00CE6191" w:rsidRPr="00D83B1F">
        <w:t>'</w:t>
      </w:r>
      <w:r w:rsidRPr="00D83B1F">
        <w:t>audit interne de l</w:t>
      </w:r>
      <w:r w:rsidR="00CE6191" w:rsidRPr="00D83B1F">
        <w:t>'</w:t>
      </w:r>
      <w:r w:rsidRPr="00D83B1F">
        <w:t>UIT</w:t>
      </w:r>
      <w:r w:rsidRPr="00D83B1F">
        <w:rPr>
          <w:rStyle w:val="FootnoteReference"/>
        </w:rPr>
        <w:footnoteReference w:id="1"/>
      </w:r>
      <w:r w:rsidRPr="00D83B1F">
        <w:t>, le présent rapport est soumis au Secrétaire général et présenté au Conseil pour examen. Il couvre les activités menées durant la période allant d</w:t>
      </w:r>
      <w:r w:rsidR="00CE6191" w:rsidRPr="00D83B1F">
        <w:t>'</w:t>
      </w:r>
      <w:r w:rsidR="007A57CC" w:rsidRPr="00D83B1F">
        <w:t xml:space="preserve">avril </w:t>
      </w:r>
      <w:r w:rsidRPr="00D83B1F">
        <w:t>202</w:t>
      </w:r>
      <w:r w:rsidR="007A57CC" w:rsidRPr="00D83B1F">
        <w:t>1</w:t>
      </w:r>
      <w:r w:rsidRPr="00D83B1F">
        <w:t xml:space="preserve"> à </w:t>
      </w:r>
      <w:r w:rsidR="007A57CC" w:rsidRPr="00D83B1F">
        <w:t>janvier</w:t>
      </w:r>
      <w:r w:rsidRPr="00D83B1F">
        <w:t xml:space="preserve"> 202</w:t>
      </w:r>
      <w:r w:rsidR="007A57CC" w:rsidRPr="00D83B1F">
        <w:t>2</w:t>
      </w:r>
      <w:r w:rsidRPr="00D83B1F">
        <w:t>.</w:t>
      </w:r>
    </w:p>
    <w:p w14:paraId="4FA2EE69" w14:textId="7BA95C5C" w:rsidR="009C0949" w:rsidRPr="00D83B1F" w:rsidRDefault="009C0949" w:rsidP="0010458B">
      <w:r w:rsidRPr="00D83B1F">
        <w:t>2</w:t>
      </w:r>
      <w:r w:rsidRPr="00D83B1F">
        <w:tab/>
        <w:t>S</w:t>
      </w:r>
      <w:r w:rsidR="00CE6191" w:rsidRPr="00D83B1F">
        <w:t>'</w:t>
      </w:r>
      <w:r w:rsidRPr="00D83B1F">
        <w:t>agissant de la période couverte par le rapport, l</w:t>
      </w:r>
      <w:r w:rsidR="00CE6191" w:rsidRPr="00D83B1F">
        <w:t>'</w:t>
      </w:r>
      <w:r w:rsidRPr="00D83B1F">
        <w:t>Unité de l</w:t>
      </w:r>
      <w:r w:rsidR="00CE6191" w:rsidRPr="00D83B1F">
        <w:t>'</w:t>
      </w:r>
      <w:r w:rsidRPr="00D83B1F">
        <w:t>audit interne se composait</w:t>
      </w:r>
      <w:r w:rsidR="006336F9" w:rsidRPr="00D83B1F">
        <w:t>, jusqu</w:t>
      </w:r>
      <w:r w:rsidR="00CE6191" w:rsidRPr="00D83B1F">
        <w:t>'</w:t>
      </w:r>
      <w:r w:rsidR="006336F9" w:rsidRPr="00D83B1F">
        <w:t>à septembre 2021,</w:t>
      </w:r>
      <w:r w:rsidRPr="00D83B1F">
        <w:t xml:space="preserve"> de trois fonctionnaires de la catégorie professionnelle – un P5 (chef de l</w:t>
      </w:r>
      <w:r w:rsidR="00CE6191" w:rsidRPr="00D83B1F">
        <w:t>'</w:t>
      </w:r>
      <w:r w:rsidRPr="00D83B1F">
        <w:t>Unité), un P3 (auditeur interne) et un P2 (auditeur interne junior).</w:t>
      </w:r>
      <w:r w:rsidR="007A57CC" w:rsidRPr="00D83B1F">
        <w:t xml:space="preserve"> </w:t>
      </w:r>
      <w:r w:rsidR="006336F9" w:rsidRPr="00D83B1F">
        <w:t xml:space="preserve">En octobre 2021, le poste </w:t>
      </w:r>
      <w:r w:rsidR="00FA4D73" w:rsidRPr="00D83B1F">
        <w:t xml:space="preserve">de </w:t>
      </w:r>
      <w:r w:rsidR="006336F9" w:rsidRPr="00D83B1F">
        <w:t>P4 (</w:t>
      </w:r>
      <w:r w:rsidR="002E052C" w:rsidRPr="00D83B1F">
        <w:t>a</w:t>
      </w:r>
      <w:r w:rsidR="006336F9" w:rsidRPr="00D83B1F">
        <w:t xml:space="preserve">uditeur principal) a été pourvu et </w:t>
      </w:r>
      <w:r w:rsidR="001D4839" w:rsidRPr="00D83B1F">
        <w:t xml:space="preserve">un poste </w:t>
      </w:r>
      <w:r w:rsidR="006336F9" w:rsidRPr="00D83B1F">
        <w:t xml:space="preserve">P3 </w:t>
      </w:r>
      <w:r w:rsidR="002E052C" w:rsidRPr="00D83B1F">
        <w:t xml:space="preserve">temporaire </w:t>
      </w:r>
      <w:r w:rsidR="006336F9" w:rsidRPr="00D83B1F">
        <w:t xml:space="preserve">a été </w:t>
      </w:r>
      <w:r w:rsidR="001D4839" w:rsidRPr="00D83B1F">
        <w:t>pourvu pour la période allant</w:t>
      </w:r>
      <w:r w:rsidR="002E052C" w:rsidRPr="00D83B1F">
        <w:t xml:space="preserve"> </w:t>
      </w:r>
      <w:r w:rsidR="006336F9" w:rsidRPr="00D83B1F">
        <w:t xml:space="preserve">du 1er novembre 2021 au 31 mars 2022. </w:t>
      </w:r>
      <w:r w:rsidR="0096465B" w:rsidRPr="00D83B1F">
        <w:t>L</w:t>
      </w:r>
      <w:r w:rsidR="00CE6191" w:rsidRPr="00D83B1F">
        <w:t>'</w:t>
      </w:r>
      <w:r w:rsidR="0096465B" w:rsidRPr="00D83B1F">
        <w:t>avis de vacance pour l</w:t>
      </w:r>
      <w:r w:rsidR="00CE6191" w:rsidRPr="00D83B1F">
        <w:t>'</w:t>
      </w:r>
      <w:r w:rsidR="0096465B" w:rsidRPr="00D83B1F">
        <w:t>emploi de grade P3 de durée déterminée a été publié et l</w:t>
      </w:r>
      <w:r w:rsidR="006336F9" w:rsidRPr="00D83B1F">
        <w:t>e poste devrait être pourvu à la mi-2022.</w:t>
      </w:r>
      <w:r w:rsidR="007A57CC" w:rsidRPr="00D83B1F">
        <w:t xml:space="preserve"> </w:t>
      </w:r>
      <w:r w:rsidR="0096465B" w:rsidRPr="00D83B1F">
        <w:t>Comme en</w:t>
      </w:r>
      <w:r w:rsidR="007A57CC" w:rsidRPr="00D83B1F">
        <w:t xml:space="preserve"> 2021,</w:t>
      </w:r>
      <w:r w:rsidR="00BE4427" w:rsidRPr="00D83B1F">
        <w:t xml:space="preserve"> l</w:t>
      </w:r>
      <w:r w:rsidR="00CE6191" w:rsidRPr="00D83B1F">
        <w:t>'</w:t>
      </w:r>
      <w:r w:rsidR="00BE4427" w:rsidRPr="00D83B1F">
        <w:t>Unité compte donc quatre postes</w:t>
      </w:r>
      <w:r w:rsidRPr="00D83B1F">
        <w:t xml:space="preserve"> </w:t>
      </w:r>
      <w:r w:rsidR="00BE4427" w:rsidRPr="00D83B1F">
        <w:t>de la catégorie professionnelle</w:t>
      </w:r>
      <w:r w:rsidRPr="00D83B1F">
        <w:t xml:space="preserve">, </w:t>
      </w:r>
      <w:r w:rsidR="003E5A8D" w:rsidRPr="00D83B1F">
        <w:t>dont l</w:t>
      </w:r>
      <w:r w:rsidR="00CE6191" w:rsidRPr="00D83B1F">
        <w:t>'</w:t>
      </w:r>
      <w:r w:rsidR="003E5A8D" w:rsidRPr="00D83B1F">
        <w:t>un est</w:t>
      </w:r>
      <w:r w:rsidRPr="00D83B1F">
        <w:t xml:space="preserve"> vacant </w:t>
      </w:r>
      <w:r w:rsidR="003E5A8D" w:rsidRPr="00D83B1F">
        <w:t>dans l</w:t>
      </w:r>
      <w:r w:rsidR="00CE6191" w:rsidRPr="00D83B1F">
        <w:t>'</w:t>
      </w:r>
      <w:r w:rsidR="003E5A8D" w:rsidRPr="00D83B1F">
        <w:t xml:space="preserve">attente </w:t>
      </w:r>
      <w:r w:rsidR="00744672" w:rsidRPr="00D83B1F">
        <w:t>d</w:t>
      </w:r>
      <w:r w:rsidR="00CE6191" w:rsidRPr="00D83B1F">
        <w:t>'</w:t>
      </w:r>
      <w:r w:rsidR="00744672" w:rsidRPr="00D83B1F">
        <w:t>un recrutement</w:t>
      </w:r>
      <w:r w:rsidRPr="00D83B1F">
        <w:t xml:space="preserve"> </w:t>
      </w:r>
      <w:r w:rsidR="003E5A8D" w:rsidRPr="00D83B1F">
        <w:t>au cours de</w:t>
      </w:r>
      <w:r w:rsidR="00D90AD4" w:rsidRPr="00D83B1F">
        <w:t xml:space="preserve"> </w:t>
      </w:r>
      <w:r w:rsidRPr="00D83B1F">
        <w:t>202</w:t>
      </w:r>
      <w:r w:rsidR="007A57CC" w:rsidRPr="00D83B1F">
        <w:t>2</w:t>
      </w:r>
      <w:r w:rsidRPr="00D83B1F">
        <w:t>.</w:t>
      </w:r>
    </w:p>
    <w:p w14:paraId="38A111C1" w14:textId="1197B601" w:rsidR="009C0949" w:rsidRPr="00D83B1F" w:rsidRDefault="009C0949" w:rsidP="0010458B">
      <w:pPr>
        <w:keepNext/>
        <w:keepLines/>
      </w:pPr>
      <w:r w:rsidRPr="00D83B1F">
        <w:lastRenderedPageBreak/>
        <w:t>3</w:t>
      </w:r>
      <w:r w:rsidRPr="00D83B1F">
        <w:tab/>
        <w:t>L</w:t>
      </w:r>
      <w:r w:rsidR="00CE6191" w:rsidRPr="00D83B1F">
        <w:t>'</w:t>
      </w:r>
      <w:r w:rsidRPr="00D83B1F">
        <w:t>Unité de l</w:t>
      </w:r>
      <w:r w:rsidR="00CE6191" w:rsidRPr="00D83B1F">
        <w:t>'</w:t>
      </w:r>
      <w:r w:rsidRPr="00D83B1F">
        <w:t>audit interne confirme qu</w:t>
      </w:r>
      <w:r w:rsidR="00CE6191" w:rsidRPr="00D83B1F">
        <w:t>'</w:t>
      </w:r>
      <w:r w:rsidRPr="00D83B1F">
        <w:t>elle se conforme dans ses activités d</w:t>
      </w:r>
      <w:r w:rsidR="00CE6191" w:rsidRPr="00D83B1F">
        <w:t>'</w:t>
      </w:r>
      <w:r w:rsidRPr="00D83B1F">
        <w:t>audit aux Normes internationales pour la pratique professionnelle de l</w:t>
      </w:r>
      <w:r w:rsidR="00CE6191" w:rsidRPr="00D83B1F">
        <w:t>'</w:t>
      </w:r>
      <w:r w:rsidRPr="00D83B1F">
        <w:t>audit interne et au Code de déontologie établis par l</w:t>
      </w:r>
      <w:r w:rsidR="00CE6191" w:rsidRPr="00D83B1F">
        <w:t>'</w:t>
      </w:r>
      <w:r w:rsidRPr="00D83B1F">
        <w:t>Institut des auditeurs internes (IIA)</w:t>
      </w:r>
      <w:r w:rsidRPr="00D83B1F">
        <w:rPr>
          <w:rStyle w:val="FootnoteReference"/>
        </w:rPr>
        <w:footnoteReference w:id="2"/>
      </w:r>
      <w:r w:rsidRPr="00D83B1F">
        <w:t>, ainsi qu</w:t>
      </w:r>
      <w:r w:rsidR="00CE6191" w:rsidRPr="00D83B1F">
        <w:t>'</w:t>
      </w:r>
      <w:r w:rsidRPr="00D83B1F">
        <w:t>aux dispositions de la Charte d</w:t>
      </w:r>
      <w:r w:rsidR="00CE6191" w:rsidRPr="00D83B1F">
        <w:t>'</w:t>
      </w:r>
      <w:r w:rsidRPr="00D83B1F">
        <w:t>audit interne de l</w:t>
      </w:r>
      <w:r w:rsidR="00CE6191" w:rsidRPr="00D83B1F">
        <w:t>'</w:t>
      </w:r>
      <w:r w:rsidRPr="00D83B1F">
        <w:t>UIT</w:t>
      </w:r>
      <w:r w:rsidRPr="00D83B1F">
        <w:rPr>
          <w:rStyle w:val="FootnoteReference"/>
        </w:rPr>
        <w:footnoteReference w:id="3"/>
      </w:r>
      <w:r w:rsidRPr="00D83B1F">
        <w:t>. En outre, elle confirme qu</w:t>
      </w:r>
      <w:r w:rsidR="00CE6191" w:rsidRPr="00D83B1F">
        <w:t>'</w:t>
      </w:r>
      <w:r w:rsidRPr="00D83B1F">
        <w:t>au cours de la période couverte par le présent rapport, ses membres n</w:t>
      </w:r>
      <w:r w:rsidR="00CE6191" w:rsidRPr="00D83B1F">
        <w:t>'</w:t>
      </w:r>
      <w:r w:rsidRPr="00D83B1F">
        <w:t>ont supervisé aucune des activités ayant fait l</w:t>
      </w:r>
      <w:r w:rsidR="00CE6191" w:rsidRPr="00D83B1F">
        <w:t>'</w:t>
      </w:r>
      <w:r w:rsidRPr="00D83B1F">
        <w:t>objet d</w:t>
      </w:r>
      <w:r w:rsidR="00CE6191" w:rsidRPr="00D83B1F">
        <w:t>'</w:t>
      </w:r>
      <w:r w:rsidRPr="00D83B1F">
        <w:t>un audit, ni n</w:t>
      </w:r>
      <w:r w:rsidR="00CE6191" w:rsidRPr="00D83B1F">
        <w:t>'</w:t>
      </w:r>
      <w:r w:rsidRPr="00D83B1F">
        <w:t>en ont été responsables, et qu</w:t>
      </w:r>
      <w:r w:rsidR="00CE6191" w:rsidRPr="00D83B1F">
        <w:t>'</w:t>
      </w:r>
      <w:r w:rsidRPr="00D83B1F">
        <w:t>ils n</w:t>
      </w:r>
      <w:r w:rsidR="00CE6191" w:rsidRPr="00D83B1F">
        <w:t>'</w:t>
      </w:r>
      <w:r w:rsidRPr="00D83B1F">
        <w:t>ont pas exercé à l</w:t>
      </w:r>
      <w:r w:rsidR="00CE6191" w:rsidRPr="00D83B1F">
        <w:t>'</w:t>
      </w:r>
      <w:r w:rsidRPr="00D83B1F">
        <w:t>UIT de fonctions comptables ou opérationnelles.</w:t>
      </w:r>
    </w:p>
    <w:p w14:paraId="1632EA43" w14:textId="72086A98" w:rsidR="009C0949" w:rsidRPr="00D83B1F" w:rsidRDefault="009C0949" w:rsidP="0010458B">
      <w:pPr>
        <w:pStyle w:val="Headingb"/>
      </w:pPr>
      <w:r w:rsidRPr="00D83B1F">
        <w:t>Orientation et champ des activités d</w:t>
      </w:r>
      <w:r w:rsidR="00CE6191" w:rsidRPr="00D83B1F">
        <w:t>'</w:t>
      </w:r>
      <w:r w:rsidRPr="00D83B1F">
        <w:t>audit interne</w:t>
      </w:r>
    </w:p>
    <w:p w14:paraId="3A51DB51" w14:textId="3E986B55" w:rsidR="009C0949" w:rsidRPr="00D83B1F" w:rsidRDefault="009C0949" w:rsidP="0010458B">
      <w:r w:rsidRPr="00D83B1F">
        <w:t>4</w:t>
      </w:r>
      <w:r w:rsidRPr="00D83B1F">
        <w:tab/>
      </w:r>
      <w:r w:rsidR="00E60FFD" w:rsidRPr="00D83B1F">
        <w:t>Conformément à la Charte d</w:t>
      </w:r>
      <w:r w:rsidR="00CE6191" w:rsidRPr="00D83B1F">
        <w:t>'</w:t>
      </w:r>
      <w:r w:rsidR="00E60FFD" w:rsidRPr="00D83B1F">
        <w:t xml:space="preserve">audit interne pour </w:t>
      </w:r>
      <w:r w:rsidR="007A57CC" w:rsidRPr="00D83B1F">
        <w:t xml:space="preserve">2021, </w:t>
      </w:r>
      <w:r w:rsidR="006C4560" w:rsidRPr="00D83B1F">
        <w:t>le plan annuel d</w:t>
      </w:r>
      <w:r w:rsidR="00CE6191" w:rsidRPr="00D83B1F">
        <w:t>'</w:t>
      </w:r>
      <w:r w:rsidR="006C4560" w:rsidRPr="00D83B1F">
        <w:t xml:space="preserve">audit </w:t>
      </w:r>
      <w:r w:rsidRPr="00D83B1F">
        <w:t>a été examiné par le Comité consultatif indépendant pour les questions de gestion (CCIG) à sa 28ème réunion et approu</w:t>
      </w:r>
      <w:r w:rsidR="00CA1775" w:rsidRPr="00D83B1F">
        <w:t>vé par le Secrétaire général le </w:t>
      </w:r>
      <w:r w:rsidRPr="00D83B1F">
        <w:t xml:space="preserve">29 mars 2021. </w:t>
      </w:r>
      <w:r w:rsidR="00F82801" w:rsidRPr="00D83B1F">
        <w:t>Les délais impartis pour les</w:t>
      </w:r>
      <w:r w:rsidR="00D90AD4" w:rsidRPr="00D83B1F">
        <w:t xml:space="preserve"> </w:t>
      </w:r>
      <w:r w:rsidR="00F750B8" w:rsidRPr="00D83B1F">
        <w:t xml:space="preserve">investigations </w:t>
      </w:r>
      <w:r w:rsidR="00F82801" w:rsidRPr="00D83B1F">
        <w:t>ont été réduits</w:t>
      </w:r>
      <w:r w:rsidR="00D90AD4" w:rsidRPr="00D83B1F">
        <w:t xml:space="preserve"> </w:t>
      </w:r>
      <w:r w:rsidR="00F750B8" w:rsidRPr="00D83B1F">
        <w:t xml:space="preserve">autant que possible </w:t>
      </w:r>
      <w:r w:rsidR="0045560D" w:rsidRPr="00D83B1F">
        <w:t xml:space="preserve">pour 2021, </w:t>
      </w:r>
      <w:r w:rsidR="00F82801" w:rsidRPr="00D83B1F">
        <w:t>de façon à permettre à l</w:t>
      </w:r>
      <w:r w:rsidR="00CE6191" w:rsidRPr="00D83B1F">
        <w:t>'</w:t>
      </w:r>
      <w:r w:rsidR="00F82801" w:rsidRPr="00D83B1F">
        <w:t>Unité de l</w:t>
      </w:r>
      <w:r w:rsidR="00CE6191" w:rsidRPr="00D83B1F">
        <w:t>'</w:t>
      </w:r>
      <w:r w:rsidR="00F82801" w:rsidRPr="00D83B1F">
        <w:t xml:space="preserve">audit interne de mener </w:t>
      </w:r>
      <w:r w:rsidR="00F174B7" w:rsidRPr="00D83B1F">
        <w:t xml:space="preserve">à bien </w:t>
      </w:r>
      <w:r w:rsidR="00F82801" w:rsidRPr="00D83B1F">
        <w:t>sa mission première</w:t>
      </w:r>
      <w:r w:rsidRPr="00D83B1F">
        <w:t>. Les travaux de l</w:t>
      </w:r>
      <w:r w:rsidR="00CE6191" w:rsidRPr="00D83B1F">
        <w:t>'</w:t>
      </w:r>
      <w:r w:rsidRPr="00D83B1F">
        <w:t>Unité de l</w:t>
      </w:r>
      <w:r w:rsidR="00CE6191" w:rsidRPr="00D83B1F">
        <w:t>'</w:t>
      </w:r>
      <w:r w:rsidRPr="00D83B1F">
        <w:t>audit interne sur les enquêtes s</w:t>
      </w:r>
      <w:r w:rsidR="00CE6191" w:rsidRPr="00D83B1F">
        <w:t>'</w:t>
      </w:r>
      <w:r w:rsidRPr="00D83B1F">
        <w:t>appuient sur la Charte d</w:t>
      </w:r>
      <w:r w:rsidR="00CE6191" w:rsidRPr="00D83B1F">
        <w:rPr>
          <w:b/>
        </w:rPr>
        <w:t>'</w:t>
      </w:r>
      <w:r w:rsidRPr="00D83B1F">
        <w:t xml:space="preserve">audit interne, qui stipule que </w:t>
      </w:r>
      <w:r w:rsidRPr="00D83B1F">
        <w:rPr>
          <w:i/>
        </w:rPr>
        <w:t>les auditeurs internes procèdent à des enquêtes en cas d</w:t>
      </w:r>
      <w:r w:rsidR="00CE6191" w:rsidRPr="00D83B1F">
        <w:rPr>
          <w:i/>
        </w:rPr>
        <w:t>'</w:t>
      </w:r>
      <w:r w:rsidRPr="00D83B1F">
        <w:rPr>
          <w:i/>
        </w:rPr>
        <w:t xml:space="preserve">allégation ou de présomption de fraude ou de mauvaise administration </w:t>
      </w:r>
      <w:r w:rsidRPr="00D83B1F">
        <w:t xml:space="preserve">et que </w:t>
      </w:r>
      <w:r w:rsidRPr="00D83B1F">
        <w:rPr>
          <w:i/>
        </w:rPr>
        <w:t>l</w:t>
      </w:r>
      <w:r w:rsidR="00CE6191" w:rsidRPr="00D83B1F">
        <w:rPr>
          <w:i/>
        </w:rPr>
        <w:t>'</w:t>
      </w:r>
      <w:r w:rsidRPr="00D83B1F">
        <w:rPr>
          <w:i/>
        </w:rPr>
        <w:t>Unité de l</w:t>
      </w:r>
      <w:r w:rsidR="00CE6191" w:rsidRPr="00D83B1F">
        <w:rPr>
          <w:b/>
          <w:i/>
        </w:rPr>
        <w:t>'</w:t>
      </w:r>
      <w:r w:rsidRPr="00D83B1F">
        <w:rPr>
          <w:i/>
        </w:rPr>
        <w:t>audit interne peut fournir des services de conseil au sein de l</w:t>
      </w:r>
      <w:r w:rsidR="00CE6191" w:rsidRPr="00D83B1F">
        <w:rPr>
          <w:i/>
        </w:rPr>
        <w:t>'</w:t>
      </w:r>
      <w:r w:rsidRPr="00D83B1F">
        <w:rPr>
          <w:i/>
        </w:rPr>
        <w:t>UIT.</w:t>
      </w:r>
      <w:r w:rsidR="007A57CC" w:rsidRPr="00D83B1F">
        <w:t xml:space="preserve"> </w:t>
      </w:r>
      <w:r w:rsidR="006C4560" w:rsidRPr="00D83B1F">
        <w:t>Le temps consacré à ces travaux d</w:t>
      </w:r>
      <w:r w:rsidR="00CE6191" w:rsidRPr="00D83B1F">
        <w:t>'</w:t>
      </w:r>
      <w:r w:rsidR="006C4560" w:rsidRPr="00D83B1F">
        <w:t>enquête s</w:t>
      </w:r>
      <w:r w:rsidR="00CE6191" w:rsidRPr="00D83B1F">
        <w:t>'</w:t>
      </w:r>
      <w:r w:rsidR="006C4560" w:rsidRPr="00D83B1F">
        <w:t xml:space="preserve">est en effet limité à la </w:t>
      </w:r>
      <w:r w:rsidR="001D2ADA" w:rsidRPr="00D83B1F">
        <w:t>conclusion</w:t>
      </w:r>
      <w:r w:rsidR="006C4560" w:rsidRPr="00D83B1F">
        <w:t xml:space="preserve"> de travaux d</w:t>
      </w:r>
      <w:r w:rsidR="00CE6191" w:rsidRPr="00D83B1F">
        <w:t>'</w:t>
      </w:r>
      <w:r w:rsidR="006C4560" w:rsidRPr="00D83B1F">
        <w:t>enquête antérieurs et/ou à la fourniture d</w:t>
      </w:r>
      <w:r w:rsidR="00CE6191" w:rsidRPr="00D83B1F">
        <w:t>'</w:t>
      </w:r>
      <w:r w:rsidR="006C4560" w:rsidRPr="00D83B1F">
        <w:t xml:space="preserve">une assistance limitée à des consultants </w:t>
      </w:r>
      <w:r w:rsidR="001D2ADA" w:rsidRPr="00D83B1F">
        <w:t xml:space="preserve">extérieurs </w:t>
      </w:r>
      <w:r w:rsidR="000132E1" w:rsidRPr="00D83B1F">
        <w:t xml:space="preserve">recrutés pour les </w:t>
      </w:r>
      <w:r w:rsidR="006C4560" w:rsidRPr="00D83B1F">
        <w:t>enquête</w:t>
      </w:r>
      <w:r w:rsidR="000132E1" w:rsidRPr="00D83B1F">
        <w:t>s</w:t>
      </w:r>
      <w:r w:rsidR="006C4560" w:rsidRPr="00D83B1F">
        <w:t>. Pour</w:t>
      </w:r>
      <w:r w:rsidR="00CE6191" w:rsidRPr="00D83B1F">
        <w:t> </w:t>
      </w:r>
      <w:r w:rsidR="006C4560" w:rsidRPr="00D83B1F">
        <w:t>2022, le titulaire du poste d</w:t>
      </w:r>
      <w:r w:rsidR="00CE6191" w:rsidRPr="00D83B1F">
        <w:t>'</w:t>
      </w:r>
      <w:r w:rsidR="006C4560" w:rsidRPr="00D83B1F">
        <w:t>enquêteur de l</w:t>
      </w:r>
      <w:r w:rsidR="00CE6191" w:rsidRPr="00D83B1F">
        <w:t>'</w:t>
      </w:r>
      <w:r w:rsidR="006C4560" w:rsidRPr="00D83B1F">
        <w:t>UIT (</w:t>
      </w:r>
      <w:r w:rsidR="002E4FD2" w:rsidRPr="00D83B1F">
        <w:t>rendant compte directement au Secrétaire général</w:t>
      </w:r>
      <w:r w:rsidR="006C4560" w:rsidRPr="00D83B1F">
        <w:t xml:space="preserve">) </w:t>
      </w:r>
      <w:r w:rsidR="00877AF7" w:rsidRPr="00D83B1F">
        <w:t>va prendre</w:t>
      </w:r>
      <w:r w:rsidR="00291401" w:rsidRPr="00D83B1F">
        <w:t xml:space="preserve"> ses fonctions</w:t>
      </w:r>
      <w:r w:rsidR="006C4560" w:rsidRPr="00D83B1F">
        <w:t>.</w:t>
      </w:r>
    </w:p>
    <w:p w14:paraId="71577722" w14:textId="035D22C2" w:rsidR="009C0949" w:rsidRPr="00D83B1F" w:rsidRDefault="009C0949" w:rsidP="0010458B">
      <w:r w:rsidRPr="00D83B1F">
        <w:t>5</w:t>
      </w:r>
      <w:r w:rsidRPr="00D83B1F">
        <w:tab/>
        <w:t>L</w:t>
      </w:r>
      <w:r w:rsidR="00CE6191" w:rsidRPr="00D83B1F">
        <w:t>'</w:t>
      </w:r>
      <w:r w:rsidRPr="00D83B1F">
        <w:t>Unité de l</w:t>
      </w:r>
      <w:r w:rsidR="00CE6191" w:rsidRPr="00D83B1F">
        <w:t>'</w:t>
      </w:r>
      <w:r w:rsidRPr="00D83B1F">
        <w:t>audit interne remet systématiquement des exemplaires des rapports d</w:t>
      </w:r>
      <w:r w:rsidR="00CE6191" w:rsidRPr="00D83B1F">
        <w:t>'</w:t>
      </w:r>
      <w:r w:rsidRPr="00D83B1F">
        <w:t>audit interne au Vérificateur extérieur des comptes de l</w:t>
      </w:r>
      <w:r w:rsidR="00CE6191" w:rsidRPr="00D83B1F">
        <w:t>'</w:t>
      </w:r>
      <w:r w:rsidRPr="00D83B1F">
        <w:t>UIT ainsi qu</w:t>
      </w:r>
      <w:r w:rsidR="00CE6191" w:rsidRPr="00D83B1F">
        <w:t>'</w:t>
      </w:r>
      <w:r w:rsidRPr="00D83B1F">
        <w:t>au CCIG. Conformément à la disposition 29.5 du Règlement financier de l</w:t>
      </w:r>
      <w:r w:rsidR="00CE6191" w:rsidRPr="00D83B1F">
        <w:t>'</w:t>
      </w:r>
      <w:r w:rsidRPr="00D83B1F">
        <w:t>UIT, des rapports finals d</w:t>
      </w:r>
      <w:r w:rsidR="00CE6191" w:rsidRPr="00D83B1F">
        <w:t>'</w:t>
      </w:r>
      <w:r w:rsidRPr="00D83B1F">
        <w:t>audit interne peuvent être mis à la disposition des États Membres ou de leurs représentants désignés. Un mécanisme simplifié d</w:t>
      </w:r>
      <w:r w:rsidR="00CE6191" w:rsidRPr="00D83B1F">
        <w:t>'</w:t>
      </w:r>
      <w:r w:rsidRPr="00D83B1F">
        <w:t>accès aux rapports d</w:t>
      </w:r>
      <w:r w:rsidR="00CE6191" w:rsidRPr="00D83B1F">
        <w:t>'</w:t>
      </w:r>
      <w:r w:rsidRPr="00D83B1F">
        <w:t>audit interne est en place depuis octobre 2015. Au cours de la période couverte par le présent rapport, aucune demande d</w:t>
      </w:r>
      <w:r w:rsidR="00CE6191" w:rsidRPr="00D83B1F">
        <w:t>'</w:t>
      </w:r>
      <w:r w:rsidRPr="00D83B1F">
        <w:t>accès à des rapports d</w:t>
      </w:r>
      <w:r w:rsidR="00CE6191" w:rsidRPr="00D83B1F">
        <w:t>'</w:t>
      </w:r>
      <w:r w:rsidRPr="00D83B1F">
        <w:t>audit interne n</w:t>
      </w:r>
      <w:r w:rsidR="00CE6191" w:rsidRPr="00D83B1F">
        <w:t>'</w:t>
      </w:r>
      <w:r w:rsidRPr="00D83B1F">
        <w:t>a été reçue via le nouveau mécanisme en ligne.</w:t>
      </w:r>
    </w:p>
    <w:p w14:paraId="774B3D18" w14:textId="70DB650D" w:rsidR="009C0949" w:rsidRPr="00D83B1F" w:rsidRDefault="009C0949" w:rsidP="0010458B">
      <w:pPr>
        <w:pStyle w:val="Headingb"/>
      </w:pPr>
      <w:r w:rsidRPr="00D83B1F">
        <w:t>Objectifs et conclusions des missions d</w:t>
      </w:r>
      <w:r w:rsidR="00CE6191" w:rsidRPr="00D83B1F">
        <w:t>'</w:t>
      </w:r>
      <w:r w:rsidRPr="00D83B1F">
        <w:t>assurance</w:t>
      </w:r>
    </w:p>
    <w:p w14:paraId="1F8FF04F" w14:textId="13221C03" w:rsidR="009C0949" w:rsidRPr="00D83B1F" w:rsidRDefault="009C0949" w:rsidP="0010458B">
      <w:r w:rsidRPr="00D83B1F">
        <w:t>6</w:t>
      </w:r>
      <w:r w:rsidRPr="00D83B1F">
        <w:tab/>
        <w:t>Les missions d</w:t>
      </w:r>
      <w:r w:rsidR="00CE6191" w:rsidRPr="00D83B1F">
        <w:t>'</w:t>
      </w:r>
      <w:r w:rsidRPr="00D83B1F">
        <w:t xml:space="preserve">assurance </w:t>
      </w:r>
      <w:r w:rsidR="00D757FD" w:rsidRPr="00D83B1F">
        <w:t>ont</w:t>
      </w:r>
      <w:r w:rsidRPr="00D83B1F">
        <w:t xml:space="preserve"> pour objectif d</w:t>
      </w:r>
      <w:r w:rsidR="00CE6191" w:rsidRPr="00D83B1F">
        <w:t>'</w:t>
      </w:r>
      <w:r w:rsidRPr="00D83B1F">
        <w:t>évaluer: i) les aspects liés à la gouvernance des opérations de l</w:t>
      </w:r>
      <w:r w:rsidR="00CE6191" w:rsidRPr="00D83B1F">
        <w:t>'</w:t>
      </w:r>
      <w:r w:rsidRPr="00D83B1F">
        <w:t>Union auditées; ii) les pratiques en matière de gestion des risques; et iii) l</w:t>
      </w:r>
      <w:r w:rsidR="00CE6191" w:rsidRPr="00D83B1F">
        <w:t>'</w:t>
      </w:r>
      <w:r w:rsidRPr="00D83B1F">
        <w:t>efficacité des contrôles (internes). Un niveau de priorité est attribué aux recommandations résultant des travaux d</w:t>
      </w:r>
      <w:r w:rsidR="00CE6191" w:rsidRPr="00D83B1F">
        <w:t>'</w:t>
      </w:r>
      <w:r w:rsidRPr="00D83B1F">
        <w:t>audit, en fonction des incidences et de la probabilité d</w:t>
      </w:r>
      <w:r w:rsidR="00CE6191" w:rsidRPr="00D83B1F">
        <w:t>'</w:t>
      </w:r>
      <w:r w:rsidRPr="00D83B1F">
        <w:t>une déficience (élevée, moyenne, faible).</w:t>
      </w:r>
    </w:p>
    <w:p w14:paraId="092609A1" w14:textId="20D293C7" w:rsidR="009C0949" w:rsidRPr="00D83B1F" w:rsidRDefault="009C0949" w:rsidP="0010458B">
      <w:pPr>
        <w:rPr>
          <w:rFonts w:cstheme="minorHAnsi"/>
          <w:szCs w:val="24"/>
        </w:rPr>
      </w:pPr>
      <w:r w:rsidRPr="00D83B1F">
        <w:t>7</w:t>
      </w:r>
      <w:r w:rsidRPr="00D83B1F">
        <w:tab/>
        <w:t>L</w:t>
      </w:r>
      <w:r w:rsidR="00CE6191" w:rsidRPr="00D83B1F">
        <w:t>'</w:t>
      </w:r>
      <w:r w:rsidRPr="00D83B1F">
        <w:t>Unité de l</w:t>
      </w:r>
      <w:r w:rsidR="00CE6191" w:rsidRPr="00D83B1F">
        <w:t>'</w:t>
      </w:r>
      <w:r w:rsidRPr="00D83B1F">
        <w:t xml:space="preserve">audit interne assure le suivi de la mise en œuvre des mesures recommandées, si nécessaire. </w:t>
      </w:r>
      <w:r w:rsidR="007F5E75" w:rsidRPr="00D83B1F">
        <w:rPr>
          <w:rFonts w:cstheme="minorHAnsi"/>
          <w:szCs w:val="24"/>
        </w:rPr>
        <w:t>Un tableau de bord de la conformité</w:t>
      </w:r>
      <w:r w:rsidRPr="00D83B1F">
        <w:rPr>
          <w:rFonts w:cstheme="minorHAnsi"/>
          <w:szCs w:val="24"/>
        </w:rPr>
        <w:t xml:space="preserve"> </w:t>
      </w:r>
      <w:r w:rsidR="007F5E75" w:rsidRPr="00D83B1F">
        <w:rPr>
          <w:rFonts w:cstheme="minorHAnsi"/>
          <w:szCs w:val="24"/>
        </w:rPr>
        <w:t>à l</w:t>
      </w:r>
      <w:r w:rsidR="00CE6191" w:rsidRPr="00D83B1F">
        <w:rPr>
          <w:rFonts w:cstheme="minorHAnsi"/>
          <w:szCs w:val="24"/>
        </w:rPr>
        <w:t>'</w:t>
      </w:r>
      <w:r w:rsidR="007F5E75" w:rsidRPr="00D83B1F">
        <w:rPr>
          <w:rFonts w:cstheme="minorHAnsi"/>
          <w:szCs w:val="24"/>
        </w:rPr>
        <w:t>échelle de l</w:t>
      </w:r>
      <w:r w:rsidR="00CE6191" w:rsidRPr="00D83B1F">
        <w:rPr>
          <w:rFonts w:cstheme="minorHAnsi"/>
          <w:szCs w:val="24"/>
        </w:rPr>
        <w:t>'</w:t>
      </w:r>
      <w:r w:rsidR="007F5E75" w:rsidRPr="00D83B1F">
        <w:rPr>
          <w:rFonts w:cstheme="minorHAnsi"/>
          <w:szCs w:val="24"/>
        </w:rPr>
        <w:t xml:space="preserve">Union </w:t>
      </w:r>
      <w:r w:rsidR="008F1EB0" w:rsidRPr="00D83B1F">
        <w:rPr>
          <w:rFonts w:cstheme="minorHAnsi"/>
          <w:szCs w:val="24"/>
        </w:rPr>
        <w:t>est en place depuis le</w:t>
      </w:r>
      <w:r w:rsidR="007F5E75" w:rsidRPr="00D83B1F">
        <w:rPr>
          <w:rFonts w:cstheme="minorHAnsi"/>
          <w:szCs w:val="24"/>
        </w:rPr>
        <w:t xml:space="preserve"> début</w:t>
      </w:r>
      <w:r w:rsidR="00D90AD4" w:rsidRPr="00D83B1F">
        <w:rPr>
          <w:rFonts w:cstheme="minorHAnsi"/>
          <w:szCs w:val="24"/>
        </w:rPr>
        <w:t> </w:t>
      </w:r>
      <w:r w:rsidR="007F5E75" w:rsidRPr="00D83B1F">
        <w:rPr>
          <w:rFonts w:cstheme="minorHAnsi"/>
          <w:szCs w:val="24"/>
        </w:rPr>
        <w:t>de</w:t>
      </w:r>
      <w:r w:rsidR="00D90AD4" w:rsidRPr="00D83B1F">
        <w:rPr>
          <w:rFonts w:cstheme="minorHAnsi"/>
          <w:szCs w:val="24"/>
        </w:rPr>
        <w:t xml:space="preserve"> </w:t>
      </w:r>
      <w:r w:rsidR="007F5E75" w:rsidRPr="00D83B1F">
        <w:rPr>
          <w:rFonts w:cstheme="minorHAnsi"/>
          <w:szCs w:val="24"/>
        </w:rPr>
        <w:t xml:space="preserve">2021 </w:t>
      </w:r>
      <w:r w:rsidR="008F1EB0" w:rsidRPr="00D83B1F">
        <w:rPr>
          <w:rFonts w:cstheme="minorHAnsi"/>
          <w:szCs w:val="24"/>
        </w:rPr>
        <w:t>à cette fin</w:t>
      </w:r>
      <w:r w:rsidR="00B17E1E" w:rsidRPr="00D83B1F">
        <w:rPr>
          <w:rFonts w:cstheme="minorHAnsi"/>
          <w:szCs w:val="24"/>
        </w:rPr>
        <w:t>, ainsi que</w:t>
      </w:r>
      <w:r w:rsidR="007F5E75" w:rsidRPr="00D83B1F">
        <w:rPr>
          <w:rFonts w:cstheme="minorHAnsi"/>
          <w:szCs w:val="24"/>
        </w:rPr>
        <w:t xml:space="preserve"> </w:t>
      </w:r>
      <w:r w:rsidR="008F1EB0" w:rsidRPr="00D83B1F">
        <w:rPr>
          <w:rFonts w:cstheme="minorHAnsi"/>
          <w:szCs w:val="24"/>
        </w:rPr>
        <w:t xml:space="preserve">pour </w:t>
      </w:r>
      <w:r w:rsidR="007F5E75" w:rsidRPr="00D83B1F">
        <w:rPr>
          <w:rFonts w:cstheme="minorHAnsi"/>
          <w:szCs w:val="24"/>
        </w:rPr>
        <w:t>faciliter</w:t>
      </w:r>
      <w:r w:rsidR="00D757FD" w:rsidRPr="00D83B1F">
        <w:rPr>
          <w:rFonts w:cstheme="minorHAnsi"/>
          <w:szCs w:val="24"/>
        </w:rPr>
        <w:t xml:space="preserve"> le suivi de la mise en œuvre des recommandations</w:t>
      </w:r>
      <w:r w:rsidRPr="00D83B1F">
        <w:rPr>
          <w:rFonts w:cstheme="minorHAnsi"/>
          <w:szCs w:val="24"/>
        </w:rPr>
        <w:t xml:space="preserve"> </w:t>
      </w:r>
      <w:r w:rsidR="007F5E75" w:rsidRPr="00D83B1F">
        <w:rPr>
          <w:rFonts w:cstheme="minorHAnsi"/>
          <w:szCs w:val="24"/>
        </w:rPr>
        <w:t>par les responsables concernés</w:t>
      </w:r>
      <w:r w:rsidR="00B17E1E" w:rsidRPr="00D83B1F">
        <w:rPr>
          <w:rFonts w:cstheme="minorHAnsi"/>
          <w:szCs w:val="24"/>
        </w:rPr>
        <w:t>.</w:t>
      </w:r>
      <w:r w:rsidR="00C7133F" w:rsidRPr="00D83B1F">
        <w:rPr>
          <w:rFonts w:cstheme="minorHAnsi"/>
          <w:szCs w:val="24"/>
        </w:rPr>
        <w:t xml:space="preserve"> </w:t>
      </w:r>
      <w:r w:rsidR="00B17E1E" w:rsidRPr="00D83B1F">
        <w:rPr>
          <w:rFonts w:cstheme="minorHAnsi"/>
          <w:szCs w:val="24"/>
        </w:rPr>
        <w:t>Toutefois,</w:t>
      </w:r>
      <w:r w:rsidR="00F174B7" w:rsidRPr="00D83B1F">
        <w:rPr>
          <w:rFonts w:cstheme="minorHAnsi"/>
          <w:szCs w:val="24"/>
        </w:rPr>
        <w:t xml:space="preserve"> il ne dispense pas</w:t>
      </w:r>
      <w:r w:rsidR="00D90AD4" w:rsidRPr="00D83B1F">
        <w:rPr>
          <w:rFonts w:cstheme="minorHAnsi"/>
          <w:szCs w:val="24"/>
        </w:rPr>
        <w:t xml:space="preserve"> </w:t>
      </w:r>
      <w:r w:rsidR="00D757FD" w:rsidRPr="00D83B1F">
        <w:rPr>
          <w:rFonts w:cstheme="minorHAnsi"/>
          <w:szCs w:val="24"/>
        </w:rPr>
        <w:t>l</w:t>
      </w:r>
      <w:r w:rsidR="00CE6191" w:rsidRPr="00D83B1F">
        <w:rPr>
          <w:rFonts w:cstheme="minorHAnsi"/>
          <w:szCs w:val="24"/>
        </w:rPr>
        <w:t>'</w:t>
      </w:r>
      <w:r w:rsidR="00D757FD" w:rsidRPr="00D83B1F">
        <w:rPr>
          <w:rFonts w:cstheme="minorHAnsi"/>
          <w:szCs w:val="24"/>
        </w:rPr>
        <w:t>Unité de l</w:t>
      </w:r>
      <w:r w:rsidR="00CE6191" w:rsidRPr="00D83B1F">
        <w:rPr>
          <w:rFonts w:cstheme="minorHAnsi"/>
          <w:szCs w:val="24"/>
        </w:rPr>
        <w:t>'</w:t>
      </w:r>
      <w:r w:rsidR="00D757FD" w:rsidRPr="00D83B1F">
        <w:rPr>
          <w:rFonts w:cstheme="minorHAnsi"/>
          <w:szCs w:val="24"/>
        </w:rPr>
        <w:t>audit interne</w:t>
      </w:r>
      <w:r w:rsidR="00D90AD4" w:rsidRPr="00D83B1F">
        <w:rPr>
          <w:rFonts w:cstheme="minorHAnsi"/>
          <w:szCs w:val="24"/>
        </w:rPr>
        <w:t xml:space="preserve"> </w:t>
      </w:r>
      <w:r w:rsidR="00F174B7" w:rsidRPr="00D83B1F">
        <w:rPr>
          <w:rFonts w:cstheme="minorHAnsi"/>
          <w:szCs w:val="24"/>
        </w:rPr>
        <w:t xml:space="preserve">de la responsabilité qui est la sienne </w:t>
      </w:r>
      <w:r w:rsidR="00F174B7" w:rsidRPr="00D83B1F">
        <w:rPr>
          <w:color w:val="000000"/>
        </w:rPr>
        <w:t>et qui consiste</w:t>
      </w:r>
      <w:r w:rsidR="00D90AD4" w:rsidRPr="00D83B1F">
        <w:rPr>
          <w:color w:val="000000"/>
        </w:rPr>
        <w:t xml:space="preserve"> </w:t>
      </w:r>
      <w:r w:rsidR="00F174B7" w:rsidRPr="00D83B1F">
        <w:rPr>
          <w:rFonts w:cstheme="minorHAnsi"/>
          <w:szCs w:val="24"/>
        </w:rPr>
        <w:t>à</w:t>
      </w:r>
      <w:r w:rsidR="00D90AD4" w:rsidRPr="00D83B1F">
        <w:rPr>
          <w:rFonts w:cstheme="minorHAnsi"/>
          <w:szCs w:val="24"/>
        </w:rPr>
        <w:t xml:space="preserve"> </w:t>
      </w:r>
      <w:r w:rsidR="00F174B7" w:rsidRPr="00D83B1F">
        <w:rPr>
          <w:rFonts w:cstheme="minorHAnsi"/>
          <w:szCs w:val="24"/>
        </w:rPr>
        <w:t>assurer le suivi des</w:t>
      </w:r>
      <w:r w:rsidR="0005615C" w:rsidRPr="00D83B1F">
        <w:rPr>
          <w:rFonts w:cstheme="minorHAnsi"/>
          <w:szCs w:val="24"/>
        </w:rPr>
        <w:t xml:space="preserve"> recommandations qu</w:t>
      </w:r>
      <w:r w:rsidR="00CE6191" w:rsidRPr="00D83B1F">
        <w:rPr>
          <w:rFonts w:cstheme="minorHAnsi"/>
          <w:szCs w:val="24"/>
        </w:rPr>
        <w:t>'</w:t>
      </w:r>
      <w:r w:rsidR="0005615C" w:rsidRPr="00D83B1F">
        <w:rPr>
          <w:rFonts w:cstheme="minorHAnsi"/>
          <w:szCs w:val="24"/>
        </w:rPr>
        <w:t>elle a</w:t>
      </w:r>
      <w:r w:rsidR="00D757FD" w:rsidRPr="00D83B1F">
        <w:rPr>
          <w:rFonts w:cstheme="minorHAnsi"/>
          <w:szCs w:val="24"/>
        </w:rPr>
        <w:t xml:space="preserve"> formulées</w:t>
      </w:r>
      <w:r w:rsidRPr="00D83B1F">
        <w:rPr>
          <w:rFonts w:cstheme="minorHAnsi"/>
          <w:szCs w:val="24"/>
        </w:rPr>
        <w:t xml:space="preserve"> </w:t>
      </w:r>
      <w:r w:rsidR="00D757FD" w:rsidRPr="00D83B1F">
        <w:rPr>
          <w:rFonts w:cstheme="minorHAnsi"/>
          <w:szCs w:val="24"/>
        </w:rPr>
        <w:t>antérieurement</w:t>
      </w:r>
      <w:r w:rsidRPr="00D83B1F">
        <w:rPr>
          <w:rFonts w:cstheme="minorHAnsi"/>
          <w:szCs w:val="24"/>
        </w:rPr>
        <w:t xml:space="preserve">, </w:t>
      </w:r>
      <w:r w:rsidR="00D757FD" w:rsidRPr="00D83B1F">
        <w:rPr>
          <w:rFonts w:cstheme="minorHAnsi"/>
          <w:szCs w:val="24"/>
        </w:rPr>
        <w:t>conformément à la Norme 2500</w:t>
      </w:r>
      <w:r w:rsidRPr="00D83B1F">
        <w:rPr>
          <w:rFonts w:cstheme="minorHAnsi"/>
          <w:szCs w:val="24"/>
        </w:rPr>
        <w:t xml:space="preserve"> </w:t>
      </w:r>
      <w:r w:rsidR="00D757FD" w:rsidRPr="00D83B1F">
        <w:rPr>
          <w:rFonts w:cstheme="minorHAnsi"/>
          <w:szCs w:val="24"/>
        </w:rPr>
        <w:t>de l</w:t>
      </w:r>
      <w:r w:rsidR="00CE6191" w:rsidRPr="00D83B1F">
        <w:rPr>
          <w:rFonts w:cstheme="minorHAnsi"/>
          <w:szCs w:val="24"/>
        </w:rPr>
        <w:t>'</w:t>
      </w:r>
      <w:r w:rsidRPr="00D83B1F">
        <w:rPr>
          <w:rFonts w:cstheme="minorHAnsi"/>
          <w:szCs w:val="24"/>
        </w:rPr>
        <w:t>IIA</w:t>
      </w:r>
      <w:r w:rsidRPr="00D83B1F">
        <w:rPr>
          <w:rStyle w:val="FootnoteReference"/>
        </w:rPr>
        <w:footnoteReference w:id="4"/>
      </w:r>
      <w:r w:rsidRPr="00D83B1F">
        <w:rPr>
          <w:rFonts w:cstheme="minorHAnsi"/>
          <w:szCs w:val="24"/>
        </w:rPr>
        <w:t>.</w:t>
      </w:r>
    </w:p>
    <w:p w14:paraId="497C06B2" w14:textId="26DB25FC" w:rsidR="00C7133F" w:rsidRPr="00D83B1F" w:rsidRDefault="00C7133F">
      <w:pPr>
        <w:tabs>
          <w:tab w:val="clear" w:pos="567"/>
          <w:tab w:val="clear" w:pos="1134"/>
          <w:tab w:val="clear" w:pos="1701"/>
          <w:tab w:val="clear" w:pos="2268"/>
          <w:tab w:val="clear" w:pos="2835"/>
        </w:tabs>
        <w:overflowPunct/>
        <w:autoSpaceDE/>
        <w:autoSpaceDN/>
        <w:adjustRightInd/>
        <w:spacing w:before="0"/>
        <w:textAlignment w:val="auto"/>
      </w:pPr>
      <w:r w:rsidRPr="00D83B1F">
        <w:br w:type="page"/>
      </w:r>
    </w:p>
    <w:p w14:paraId="01E7B144" w14:textId="67AEE3B8" w:rsidR="007A57CC" w:rsidRPr="00D83B1F" w:rsidRDefault="002E4FD2" w:rsidP="0010458B">
      <w:pPr>
        <w:rPr>
          <w:i/>
          <w:iCs/>
        </w:rPr>
      </w:pPr>
      <w:r w:rsidRPr="00D83B1F">
        <w:rPr>
          <w:i/>
          <w:iCs/>
        </w:rPr>
        <w:lastRenderedPageBreak/>
        <w:t>Les missions d</w:t>
      </w:r>
      <w:r w:rsidR="00CE6191" w:rsidRPr="00D83B1F">
        <w:rPr>
          <w:i/>
          <w:iCs/>
        </w:rPr>
        <w:t>'</w:t>
      </w:r>
      <w:r w:rsidRPr="00D83B1F">
        <w:rPr>
          <w:i/>
          <w:iCs/>
        </w:rPr>
        <w:t>assurance suivantes ont été menées</w:t>
      </w:r>
      <w:r w:rsidR="007A57CC" w:rsidRPr="00D83B1F">
        <w:rPr>
          <w:i/>
          <w:iCs/>
        </w:rPr>
        <w:t>:</w:t>
      </w:r>
    </w:p>
    <w:p w14:paraId="30881CA6" w14:textId="5E9CC186" w:rsidR="007A57CC" w:rsidRPr="00D83B1F" w:rsidRDefault="007A57CC" w:rsidP="00C7133F">
      <w:pPr>
        <w:pStyle w:val="Headingb"/>
        <w:rPr>
          <w:i/>
          <w:iCs/>
        </w:rPr>
      </w:pPr>
      <w:r w:rsidRPr="00D83B1F">
        <w:rPr>
          <w:i/>
          <w:iCs/>
        </w:rPr>
        <w:t>A</w:t>
      </w:r>
      <w:r w:rsidRPr="00D83B1F">
        <w:rPr>
          <w:i/>
          <w:iCs/>
        </w:rPr>
        <w:tab/>
      </w:r>
      <w:r w:rsidR="00D34641" w:rsidRPr="00D83B1F">
        <w:rPr>
          <w:i/>
          <w:iCs/>
        </w:rPr>
        <w:t>Inspection portant sur l</w:t>
      </w:r>
      <w:r w:rsidR="006E1C22" w:rsidRPr="00D83B1F">
        <w:rPr>
          <w:i/>
          <w:iCs/>
        </w:rPr>
        <w:t xml:space="preserve">es </w:t>
      </w:r>
      <w:r w:rsidR="00D34641" w:rsidRPr="00D83B1F">
        <w:rPr>
          <w:i/>
          <w:iCs/>
        </w:rPr>
        <w:t>prestations accordées au</w:t>
      </w:r>
      <w:r w:rsidR="006E1C22" w:rsidRPr="00D83B1F">
        <w:rPr>
          <w:i/>
          <w:iCs/>
        </w:rPr>
        <w:t xml:space="preserve"> personnel de l</w:t>
      </w:r>
      <w:r w:rsidR="00CE6191" w:rsidRPr="00D83B1F">
        <w:rPr>
          <w:i/>
          <w:iCs/>
        </w:rPr>
        <w:t>'</w:t>
      </w:r>
      <w:r w:rsidR="006E1C22" w:rsidRPr="00D83B1F">
        <w:rPr>
          <w:i/>
          <w:iCs/>
        </w:rPr>
        <w:t>UIT</w:t>
      </w:r>
    </w:p>
    <w:p w14:paraId="5CD20383" w14:textId="57957D67" w:rsidR="007A57CC" w:rsidRPr="00D83B1F" w:rsidRDefault="007A57CC" w:rsidP="0010458B">
      <w:r w:rsidRPr="00D83B1F">
        <w:t>8</w:t>
      </w:r>
      <w:r w:rsidRPr="00D83B1F">
        <w:tab/>
      </w:r>
      <w:r w:rsidR="00BB6210" w:rsidRPr="00D83B1F">
        <w:t>L</w:t>
      </w:r>
      <w:r w:rsidR="00CE6191" w:rsidRPr="00D83B1F">
        <w:t>'</w:t>
      </w:r>
      <w:r w:rsidR="00BB6210" w:rsidRPr="00D83B1F">
        <w:t>Unité de l</w:t>
      </w:r>
      <w:r w:rsidR="00CE6191" w:rsidRPr="00D83B1F">
        <w:t>'</w:t>
      </w:r>
      <w:r w:rsidR="00BB6210" w:rsidRPr="00D83B1F">
        <w:t xml:space="preserve">audit interne a procédé à une inspection </w:t>
      </w:r>
      <w:r w:rsidR="00D34641" w:rsidRPr="00D83B1F">
        <w:t>portant sur les prestations accordées au personnel</w:t>
      </w:r>
      <w:r w:rsidR="00BB6210" w:rsidRPr="00D83B1F">
        <w:t xml:space="preserve"> de l</w:t>
      </w:r>
      <w:r w:rsidR="00CE6191" w:rsidRPr="00D83B1F">
        <w:t>'</w:t>
      </w:r>
      <w:r w:rsidR="00BB6210" w:rsidRPr="00D83B1F">
        <w:t xml:space="preserve">UIT pendant la période allant de janvier 2012 à décembre 2019, notamment en ce qui concerne les </w:t>
      </w:r>
      <w:r w:rsidR="003627AA" w:rsidRPr="00D83B1F">
        <w:t>indemnités pour frais d</w:t>
      </w:r>
      <w:r w:rsidR="00CE6191" w:rsidRPr="00D83B1F">
        <w:t>'</w:t>
      </w:r>
      <w:r w:rsidR="003627AA" w:rsidRPr="00D83B1F">
        <w:t>études</w:t>
      </w:r>
      <w:r w:rsidR="00BB6210" w:rsidRPr="00D83B1F">
        <w:t xml:space="preserve">, </w:t>
      </w:r>
      <w:r w:rsidR="003627AA" w:rsidRPr="00D83B1F">
        <w:t xml:space="preserve">les allocations-logement </w:t>
      </w:r>
      <w:r w:rsidR="00BB6210" w:rsidRPr="00D83B1F">
        <w:t>et l</w:t>
      </w:r>
      <w:r w:rsidR="003627AA" w:rsidRPr="00D83B1F">
        <w:t xml:space="preserve">es </w:t>
      </w:r>
      <w:r w:rsidR="00BB6210" w:rsidRPr="00D83B1F">
        <w:t>indemnité</w:t>
      </w:r>
      <w:r w:rsidR="003627AA" w:rsidRPr="00D83B1F">
        <w:t>s</w:t>
      </w:r>
      <w:r w:rsidR="00BB6210" w:rsidRPr="00D83B1F">
        <w:t xml:space="preserve"> pour conjoint</w:t>
      </w:r>
      <w:r w:rsidR="003627AA" w:rsidRPr="00D83B1F">
        <w:t xml:space="preserve"> à charge</w:t>
      </w:r>
      <w:r w:rsidR="00BB6210" w:rsidRPr="00D83B1F">
        <w:t>.</w:t>
      </w:r>
    </w:p>
    <w:p w14:paraId="759A3159" w14:textId="05889685" w:rsidR="007A57CC" w:rsidRPr="00D83B1F" w:rsidRDefault="006F1695" w:rsidP="0010458B">
      <w:r w:rsidRPr="00D83B1F">
        <w:t>9</w:t>
      </w:r>
      <w:r w:rsidRPr="00D83B1F">
        <w:tab/>
        <w:t>L</w:t>
      </w:r>
      <w:r w:rsidR="00CE6191" w:rsidRPr="00D83B1F">
        <w:t>'</w:t>
      </w:r>
      <w:r w:rsidRPr="00D83B1F">
        <w:t>Unité de l</w:t>
      </w:r>
      <w:r w:rsidR="00CE6191" w:rsidRPr="00D83B1F">
        <w:t>'</w:t>
      </w:r>
      <w:r w:rsidRPr="00D83B1F">
        <w:t>audit interne a conclu que les questions suivantes devaient faire l</w:t>
      </w:r>
      <w:r w:rsidR="00CE6191" w:rsidRPr="00D83B1F">
        <w:t>'</w:t>
      </w:r>
      <w:r w:rsidRPr="00D83B1F">
        <w:t>objet d</w:t>
      </w:r>
      <w:r w:rsidR="00CE6191" w:rsidRPr="00D83B1F">
        <w:t>'</w:t>
      </w:r>
      <w:r w:rsidRPr="00D83B1F">
        <w:t>une attention prioritaire:</w:t>
      </w:r>
    </w:p>
    <w:p w14:paraId="0F5CED92" w14:textId="6D455BAC" w:rsidR="006F1695" w:rsidRPr="00D83B1F" w:rsidRDefault="006F1695" w:rsidP="0010458B">
      <w:pPr>
        <w:pStyle w:val="enumlev1"/>
      </w:pPr>
      <w:r w:rsidRPr="00D83B1F">
        <w:t>a)</w:t>
      </w:r>
      <w:r w:rsidRPr="00D83B1F">
        <w:tab/>
      </w:r>
      <w:r w:rsidR="002B0C1D" w:rsidRPr="00D83B1F">
        <w:t xml:space="preserve">Les politiques existantes ne sont pas suffisamment détaillées, claires ou informatives pour le personnel. </w:t>
      </w:r>
      <w:r w:rsidR="003A7F05" w:rsidRPr="00D83B1F">
        <w:t>L</w:t>
      </w:r>
      <w:r w:rsidR="00CE6191" w:rsidRPr="00D83B1F">
        <w:t>'</w:t>
      </w:r>
      <w:r w:rsidR="002B0C1D" w:rsidRPr="00D83B1F">
        <w:t xml:space="preserve">UIT </w:t>
      </w:r>
      <w:r w:rsidR="00777CC1" w:rsidRPr="00D83B1F">
        <w:t>n</w:t>
      </w:r>
      <w:r w:rsidR="00CE6191" w:rsidRPr="00D83B1F">
        <w:t>'</w:t>
      </w:r>
      <w:r w:rsidR="00777CC1" w:rsidRPr="00D83B1F">
        <w:t>a pas de politiques qui lui soient propres concernant les</w:t>
      </w:r>
      <w:r w:rsidR="002B0C1D" w:rsidRPr="00D83B1F">
        <w:t xml:space="preserve"> allocations</w:t>
      </w:r>
      <w:r w:rsidR="00C7133F" w:rsidRPr="00D83B1F">
        <w:noBreakHyphen/>
      </w:r>
      <w:r w:rsidR="002B0C1D" w:rsidRPr="00D83B1F">
        <w:t xml:space="preserve">logement. Il a été </w:t>
      </w:r>
      <w:r w:rsidR="002B0C1D" w:rsidRPr="00D83B1F">
        <w:rPr>
          <w:u w:val="single"/>
        </w:rPr>
        <w:t>recommandé</w:t>
      </w:r>
      <w:r w:rsidR="002B0C1D" w:rsidRPr="00D83B1F">
        <w:t xml:space="preserve"> de revoir les formulaires </w:t>
      </w:r>
      <w:r w:rsidR="00ED71A8" w:rsidRPr="00D83B1F">
        <w:t xml:space="preserve">de demande </w:t>
      </w:r>
      <w:r w:rsidR="002B0C1D" w:rsidRPr="00D83B1F">
        <w:t>d</w:t>
      </w:r>
      <w:r w:rsidR="00CE6191" w:rsidRPr="00D83B1F">
        <w:t>'</w:t>
      </w:r>
      <w:r w:rsidR="002B0C1D" w:rsidRPr="00D83B1F">
        <w:t>avance et d</w:t>
      </w:r>
      <w:r w:rsidR="00CE6191" w:rsidRPr="00D83B1F">
        <w:t>'</w:t>
      </w:r>
      <w:r w:rsidR="002B0C1D" w:rsidRPr="00D83B1F">
        <w:t>indemnité</w:t>
      </w:r>
      <w:r w:rsidR="00ED71A8" w:rsidRPr="00D83B1F">
        <w:t>s</w:t>
      </w:r>
      <w:r w:rsidR="002B0C1D" w:rsidRPr="00D83B1F">
        <w:t xml:space="preserve"> pour frais d</w:t>
      </w:r>
      <w:r w:rsidR="00CE6191" w:rsidRPr="00D83B1F">
        <w:t>'</w:t>
      </w:r>
      <w:r w:rsidR="002B0C1D" w:rsidRPr="00D83B1F">
        <w:t>études destinés au personnel afin d</w:t>
      </w:r>
      <w:r w:rsidR="00CE6191" w:rsidRPr="00D83B1F">
        <w:t>'</w:t>
      </w:r>
      <w:r w:rsidR="002B0C1D" w:rsidRPr="00D83B1F">
        <w:t xml:space="preserve">y inclure une liste </w:t>
      </w:r>
      <w:r w:rsidR="00777CC1" w:rsidRPr="00D83B1F">
        <w:t>des</w:t>
      </w:r>
      <w:r w:rsidR="002B0C1D" w:rsidRPr="00D83B1F">
        <w:t xml:space="preserve"> pièces justificatives </w:t>
      </w:r>
      <w:r w:rsidR="00ED71A8" w:rsidRPr="00D83B1F">
        <w:t xml:space="preserve">qui </w:t>
      </w:r>
      <w:r w:rsidR="00777CC1" w:rsidRPr="00D83B1F">
        <w:t xml:space="preserve">doivent </w:t>
      </w:r>
      <w:r w:rsidR="00ED71A8" w:rsidRPr="00D83B1F">
        <w:t>être soumises par le fonctionnaire</w:t>
      </w:r>
      <w:r w:rsidR="002B0C1D" w:rsidRPr="00D83B1F">
        <w:t>.</w:t>
      </w:r>
      <w:r w:rsidR="001C5B42" w:rsidRPr="00D83B1F">
        <w:t xml:space="preserve"> Il a également été recommandé de revoir la politique relative aux </w:t>
      </w:r>
      <w:r w:rsidR="001C5B42" w:rsidRPr="00D83B1F">
        <w:rPr>
          <w:u w:val="single"/>
        </w:rPr>
        <w:t>avances</w:t>
      </w:r>
      <w:r w:rsidR="001C5B42" w:rsidRPr="00D83B1F">
        <w:t xml:space="preserve"> pour frais d</w:t>
      </w:r>
      <w:r w:rsidR="00CE6191" w:rsidRPr="00D83B1F">
        <w:t>'</w:t>
      </w:r>
      <w:r w:rsidR="001C5B42" w:rsidRPr="00D83B1F">
        <w:t xml:space="preserve">études et </w:t>
      </w:r>
      <w:r w:rsidR="006A1A12" w:rsidRPr="00D83B1F">
        <w:t>de prévoir</w:t>
      </w:r>
      <w:r w:rsidR="001C5B42" w:rsidRPr="00D83B1F">
        <w:t xml:space="preserve"> une politique et des </w:t>
      </w:r>
      <w:r w:rsidR="00777CC1" w:rsidRPr="00D83B1F">
        <w:t>instructions relatives aux</w:t>
      </w:r>
      <w:r w:rsidR="001C5B42" w:rsidRPr="00D83B1F">
        <w:t xml:space="preserve"> </w:t>
      </w:r>
      <w:r w:rsidR="006A1A12" w:rsidRPr="00D83B1F">
        <w:t>allocations-logement comportant</w:t>
      </w:r>
      <w:r w:rsidR="001C5B42" w:rsidRPr="00D83B1F">
        <w:t xml:space="preserve"> des informations </w:t>
      </w:r>
      <w:r w:rsidR="00777CC1" w:rsidRPr="00D83B1F">
        <w:t xml:space="preserve">correspondant </w:t>
      </w:r>
      <w:r w:rsidR="001C5B42" w:rsidRPr="00D83B1F">
        <w:t>aux seuils et aux directives de la CFPI</w:t>
      </w:r>
      <w:r w:rsidR="006A1A12" w:rsidRPr="00D83B1F">
        <w:t xml:space="preserve">. En outre, dans un document </w:t>
      </w:r>
      <w:r w:rsidR="007D5E0C" w:rsidRPr="00D83B1F">
        <w:t>directif</w:t>
      </w:r>
      <w:r w:rsidR="006A1A12" w:rsidRPr="00D83B1F">
        <w:t xml:space="preserve"> actualisé concernant les </w:t>
      </w:r>
      <w:r w:rsidR="00CE4223" w:rsidRPr="00D83B1F">
        <w:t xml:space="preserve">indemnités pour </w:t>
      </w:r>
      <w:r w:rsidR="007D5E0C" w:rsidRPr="00D83B1F">
        <w:t xml:space="preserve">personne à </w:t>
      </w:r>
      <w:r w:rsidR="00CE4223" w:rsidRPr="00D83B1F">
        <w:t>charge</w:t>
      </w:r>
      <w:r w:rsidR="006A1A12" w:rsidRPr="00D83B1F">
        <w:t>, il conviendrait de prendre en considération i) le</w:t>
      </w:r>
      <w:r w:rsidR="003C2294" w:rsidRPr="00D83B1F">
        <w:t>s</w:t>
      </w:r>
      <w:r w:rsidR="006A1A12" w:rsidRPr="00D83B1F">
        <w:t xml:space="preserve"> revenu</w:t>
      </w:r>
      <w:r w:rsidR="003C2294" w:rsidRPr="00D83B1F">
        <w:t>s</w:t>
      </w:r>
      <w:r w:rsidR="006A1A12" w:rsidRPr="00D83B1F">
        <w:t xml:space="preserve"> du conjoint, y compris tous les revenus directs et indirects, notamment les pensions, les </w:t>
      </w:r>
      <w:r w:rsidR="003C2294" w:rsidRPr="00D83B1F">
        <w:t>pensions</w:t>
      </w:r>
      <w:r w:rsidR="006A1A12" w:rsidRPr="00D83B1F">
        <w:t xml:space="preserve"> d</w:t>
      </w:r>
      <w:r w:rsidR="00CE6191" w:rsidRPr="00D83B1F">
        <w:t>'</w:t>
      </w:r>
      <w:r w:rsidR="006A1A12" w:rsidRPr="00D83B1F">
        <w:t xml:space="preserve">invalidité, les </w:t>
      </w:r>
      <w:r w:rsidR="003C2294" w:rsidRPr="00D83B1F">
        <w:t>prestations</w:t>
      </w:r>
      <w:r w:rsidR="006A1A12" w:rsidRPr="00D83B1F">
        <w:t xml:space="preserve"> de chômage et les bénéfices </w:t>
      </w:r>
      <w:r w:rsidR="00524E99" w:rsidRPr="00D83B1F">
        <w:t>provenant</w:t>
      </w:r>
      <w:r w:rsidR="006A1A12" w:rsidRPr="00D83B1F">
        <w:t xml:space="preserve"> d</w:t>
      </w:r>
      <w:r w:rsidR="00CE6191" w:rsidRPr="00D83B1F">
        <w:t>'</w:t>
      </w:r>
      <w:r w:rsidR="006A1A12" w:rsidRPr="00D83B1F">
        <w:t>investissements</w:t>
      </w:r>
      <w:r w:rsidR="00A80746" w:rsidRPr="00D83B1F">
        <w:t>,</w:t>
      </w:r>
      <w:r w:rsidR="006A1A12" w:rsidRPr="00D83B1F">
        <w:t xml:space="preserve"> et ii) pour les </w:t>
      </w:r>
      <w:r w:rsidR="00524E99" w:rsidRPr="00D83B1F">
        <w:t>fonctionnaires</w:t>
      </w:r>
      <w:r w:rsidR="006A1A12" w:rsidRPr="00D83B1F">
        <w:t xml:space="preserve"> demand</w:t>
      </w:r>
      <w:r w:rsidR="007D5E0C" w:rsidRPr="00D83B1F">
        <w:t>a</w:t>
      </w:r>
      <w:r w:rsidR="006A1A12" w:rsidRPr="00D83B1F">
        <w:t xml:space="preserve">nt des </w:t>
      </w:r>
      <w:r w:rsidR="00524E99" w:rsidRPr="00D83B1F">
        <w:t xml:space="preserve">indemnités pour conjoint à charge </w:t>
      </w:r>
      <w:r w:rsidR="007D5E0C" w:rsidRPr="00D83B1F">
        <w:t xml:space="preserve">dont </w:t>
      </w:r>
      <w:r w:rsidR="006A1A12" w:rsidRPr="00D83B1F">
        <w:t xml:space="preserve">le conjoint </w:t>
      </w:r>
      <w:r w:rsidR="00524E99" w:rsidRPr="00D83B1F">
        <w:t>n</w:t>
      </w:r>
      <w:r w:rsidR="00CE6191" w:rsidRPr="00D83B1F">
        <w:t>'</w:t>
      </w:r>
      <w:r w:rsidR="00524E99" w:rsidRPr="00D83B1F">
        <w:t xml:space="preserve">a aucun </w:t>
      </w:r>
      <w:r w:rsidR="006A1A12" w:rsidRPr="00D83B1F">
        <w:t xml:space="preserve">revenu, </w:t>
      </w:r>
      <w:r w:rsidR="00A16868" w:rsidRPr="00D83B1F">
        <w:t xml:space="preserve">une </w:t>
      </w:r>
      <w:r w:rsidR="006A1A12" w:rsidRPr="00D83B1F">
        <w:t>obligation de fournir, en plus d</w:t>
      </w:r>
      <w:r w:rsidR="00CE6191" w:rsidRPr="00D83B1F">
        <w:t>'</w:t>
      </w:r>
      <w:r w:rsidR="006A1A12" w:rsidRPr="00D83B1F">
        <w:t xml:space="preserve">un formulaire de déclaration signé, </w:t>
      </w:r>
      <w:r w:rsidR="00A16868" w:rsidRPr="00D83B1F">
        <w:t>la</w:t>
      </w:r>
      <w:r w:rsidR="006A1A12" w:rsidRPr="00D83B1F">
        <w:t xml:space="preserve"> preuve d</w:t>
      </w:r>
      <w:r w:rsidR="00CE6191" w:rsidRPr="00D83B1F">
        <w:t>'</w:t>
      </w:r>
      <w:r w:rsidR="00895DE9" w:rsidRPr="00D83B1F">
        <w:t>un</w:t>
      </w:r>
      <w:r w:rsidR="006A1A12" w:rsidRPr="00D83B1F">
        <w:t xml:space="preserve"> revenu nul </w:t>
      </w:r>
      <w:r w:rsidR="006D5D48" w:rsidRPr="00D83B1F">
        <w:t xml:space="preserve">fournie par le </w:t>
      </w:r>
      <w:r w:rsidR="006A1A12" w:rsidRPr="00D83B1F">
        <w:t>système fiscal national applicable</w:t>
      </w:r>
      <w:r w:rsidRPr="00D83B1F">
        <w:t>.</w:t>
      </w:r>
    </w:p>
    <w:p w14:paraId="7B12A040" w14:textId="60BBFCC9" w:rsidR="006F1695" w:rsidRPr="00D83B1F" w:rsidRDefault="006F1695" w:rsidP="0010458B">
      <w:pPr>
        <w:pStyle w:val="enumlev1"/>
      </w:pPr>
      <w:r w:rsidRPr="00D83B1F">
        <w:t>b)</w:t>
      </w:r>
      <w:r w:rsidRPr="00D83B1F">
        <w:tab/>
      </w:r>
      <w:r w:rsidR="005379F2" w:rsidRPr="00D83B1F">
        <w:t xml:space="preserve">Les </w:t>
      </w:r>
      <w:r w:rsidR="00647D4D" w:rsidRPr="00D83B1F">
        <w:t xml:space="preserve">responsabilités des </w:t>
      </w:r>
      <w:r w:rsidR="005379F2" w:rsidRPr="00D83B1F">
        <w:t xml:space="preserve">fonctionnaires du Département HRMD </w:t>
      </w:r>
      <w:r w:rsidR="00647D4D" w:rsidRPr="00D83B1F">
        <w:t xml:space="preserve">ne sont pas claires, </w:t>
      </w:r>
      <w:r w:rsidR="00C45188" w:rsidRPr="00D83B1F">
        <w:t>certaines</w:t>
      </w:r>
      <w:r w:rsidR="00647D4D" w:rsidRPr="00D83B1F">
        <w:t xml:space="preserve"> tâches</w:t>
      </w:r>
      <w:r w:rsidR="00C45188" w:rsidRPr="00D83B1F">
        <w:t xml:space="preserve"> étant ainsi</w:t>
      </w:r>
      <w:r w:rsidR="00647D4D" w:rsidRPr="00D83B1F">
        <w:t xml:space="preserve"> négligées </w:t>
      </w:r>
      <w:r w:rsidR="005E459D" w:rsidRPr="00D83B1F">
        <w:t>avec des responsabilités mal identifiées</w:t>
      </w:r>
      <w:r w:rsidR="00647D4D" w:rsidRPr="00D83B1F">
        <w:t xml:space="preserve">. </w:t>
      </w:r>
      <w:r w:rsidR="00DA31F1" w:rsidRPr="00D83B1F">
        <w:t xml:space="preserve">Il a été </w:t>
      </w:r>
      <w:r w:rsidR="00DA31F1" w:rsidRPr="00D83B1F">
        <w:rPr>
          <w:u w:val="single"/>
        </w:rPr>
        <w:t>recommandé</w:t>
      </w:r>
      <w:r w:rsidR="00DA31F1" w:rsidRPr="00D83B1F">
        <w:t xml:space="preserve"> de revoir et d</w:t>
      </w:r>
      <w:r w:rsidR="00CE6191" w:rsidRPr="00D83B1F">
        <w:t>'</w:t>
      </w:r>
      <w:r w:rsidR="00DA31F1" w:rsidRPr="00D83B1F">
        <w:t xml:space="preserve">affiner la structure et la division du travail ainsi que de clarifier les procédures et les rôles et responsabilités des </w:t>
      </w:r>
      <w:r w:rsidR="006D5D48" w:rsidRPr="00D83B1F">
        <w:t xml:space="preserve">différentes </w:t>
      </w:r>
      <w:r w:rsidR="00846A5B" w:rsidRPr="00D83B1F">
        <w:t>équipes du Département HRMD</w:t>
      </w:r>
      <w:r w:rsidR="00DA31F1" w:rsidRPr="00D83B1F">
        <w:t>.</w:t>
      </w:r>
    </w:p>
    <w:p w14:paraId="149AA985" w14:textId="6D8B6107" w:rsidR="006F1695" w:rsidRPr="00D83B1F" w:rsidRDefault="006F1695" w:rsidP="0010458B">
      <w:pPr>
        <w:pStyle w:val="enumlev1"/>
      </w:pPr>
      <w:r w:rsidRPr="00D83B1F">
        <w:t>c)</w:t>
      </w:r>
      <w:r w:rsidRPr="00D83B1F">
        <w:tab/>
      </w:r>
      <w:r w:rsidR="00502CEF" w:rsidRPr="00D83B1F">
        <w:t xml:space="preserve">Les </w:t>
      </w:r>
      <w:r w:rsidR="005D5508" w:rsidRPr="00D83B1F">
        <w:t xml:space="preserve">éléments suspects ou les </w:t>
      </w:r>
      <w:r w:rsidR="00502CEF" w:rsidRPr="00D83B1F">
        <w:t xml:space="preserve">déclarations frauduleuses/inexactes dans les demandes </w:t>
      </w:r>
      <w:r w:rsidR="00931A1B" w:rsidRPr="00D83B1F">
        <w:t>de prestations</w:t>
      </w:r>
      <w:r w:rsidR="00502CEF" w:rsidRPr="00D83B1F">
        <w:t xml:space="preserve"> soumises par le personnel </w:t>
      </w:r>
      <w:r w:rsidR="00475050" w:rsidRPr="00D83B1F">
        <w:t>n</w:t>
      </w:r>
      <w:r w:rsidR="00CE6191" w:rsidRPr="00D83B1F">
        <w:t>'</w:t>
      </w:r>
      <w:r w:rsidR="00475050" w:rsidRPr="00D83B1F">
        <w:t xml:space="preserve">étant </w:t>
      </w:r>
      <w:r w:rsidR="00502CEF" w:rsidRPr="00D83B1F">
        <w:t xml:space="preserve">pas toujours identifiés, </w:t>
      </w:r>
      <w:r w:rsidR="00475050" w:rsidRPr="00D83B1F">
        <w:t>les fraudes ne sont pas forcément repérées et correctement traitées</w:t>
      </w:r>
      <w:r w:rsidR="009563B2" w:rsidRPr="00D83B1F">
        <w:t xml:space="preserve">. Il a été </w:t>
      </w:r>
      <w:r w:rsidR="009563B2" w:rsidRPr="00D83B1F">
        <w:rPr>
          <w:u w:val="single"/>
        </w:rPr>
        <w:t>recommandé</w:t>
      </w:r>
      <w:r w:rsidR="009563B2" w:rsidRPr="00D83B1F">
        <w:t xml:space="preserve"> de recourir à la rotation des tâches afin d</w:t>
      </w:r>
      <w:r w:rsidR="00CE6191" w:rsidRPr="00D83B1F">
        <w:t>'</w:t>
      </w:r>
      <w:r w:rsidR="009563B2" w:rsidRPr="00D83B1F">
        <w:t>éviter qu</w:t>
      </w:r>
      <w:r w:rsidR="00CE6191" w:rsidRPr="00D83B1F">
        <w:t>'</w:t>
      </w:r>
      <w:r w:rsidR="009563B2" w:rsidRPr="00D83B1F">
        <w:t xml:space="preserve">un </w:t>
      </w:r>
      <w:r w:rsidR="006D5D48" w:rsidRPr="00D83B1F">
        <w:t xml:space="preserve">seul et même fonctionnaire </w:t>
      </w:r>
      <w:r w:rsidR="006435AF" w:rsidRPr="00D83B1F">
        <w:t xml:space="preserve">exerce un contrôle complet sur une </w:t>
      </w:r>
      <w:r w:rsidR="009563B2" w:rsidRPr="00D83B1F">
        <w:t>fonction et d</w:t>
      </w:r>
      <w:r w:rsidR="00CE6191" w:rsidRPr="00D83B1F">
        <w:t>'</w:t>
      </w:r>
      <w:r w:rsidR="009563B2" w:rsidRPr="00D83B1F">
        <w:t xml:space="preserve">organiser régulièrement des </w:t>
      </w:r>
      <w:r w:rsidR="001D4839" w:rsidRPr="00D83B1F">
        <w:t xml:space="preserve">activités de </w:t>
      </w:r>
      <w:r w:rsidR="009563B2" w:rsidRPr="00D83B1F">
        <w:t xml:space="preserve">formation </w:t>
      </w:r>
      <w:r w:rsidR="006435AF" w:rsidRPr="00D83B1F">
        <w:t>sur la</w:t>
      </w:r>
      <w:r w:rsidR="009563B2" w:rsidRPr="00D83B1F">
        <w:t xml:space="preserve"> sensibilisation à la fraude </w:t>
      </w:r>
      <w:r w:rsidR="001D4839" w:rsidRPr="00D83B1F">
        <w:t>et d</w:t>
      </w:r>
      <w:r w:rsidR="001C69BD" w:rsidRPr="00D83B1F">
        <w:t>e</w:t>
      </w:r>
      <w:r w:rsidR="009563B2" w:rsidRPr="00D83B1F">
        <w:t xml:space="preserve"> partage des connaissances</w:t>
      </w:r>
      <w:r w:rsidR="00761EA1" w:rsidRPr="00D83B1F">
        <w:t xml:space="preserve"> </w:t>
      </w:r>
      <w:r w:rsidR="00F5604B" w:rsidRPr="00D83B1F">
        <w:t>à l</w:t>
      </w:r>
      <w:r w:rsidR="00CE6191" w:rsidRPr="00D83B1F">
        <w:t>'</w:t>
      </w:r>
      <w:r w:rsidR="00F5604B" w:rsidRPr="00D83B1F">
        <w:t>intention d</w:t>
      </w:r>
      <w:r w:rsidR="009563B2" w:rsidRPr="00D83B1F">
        <w:t>e</w:t>
      </w:r>
      <w:r w:rsidR="001C69BD" w:rsidRPr="00D83B1F">
        <w:t>s</w:t>
      </w:r>
      <w:r w:rsidR="009563B2" w:rsidRPr="00D83B1F">
        <w:t xml:space="preserve"> </w:t>
      </w:r>
      <w:r w:rsidR="00BD4F20" w:rsidRPr="00D83B1F">
        <w:t>fonctionnaires du Département HRMD</w:t>
      </w:r>
      <w:r w:rsidR="009563B2" w:rsidRPr="00D83B1F">
        <w:t xml:space="preserve"> </w:t>
      </w:r>
      <w:r w:rsidR="00BD4F20" w:rsidRPr="00D83B1F">
        <w:t>intervenant</w:t>
      </w:r>
      <w:r w:rsidR="009563B2" w:rsidRPr="00D83B1F">
        <w:t xml:space="preserve"> dans le traitement des droits</w:t>
      </w:r>
      <w:r w:rsidR="009563B2" w:rsidRPr="00D83B1F">
        <w:rPr>
          <w:b/>
          <w:bCs/>
        </w:rPr>
        <w:t>.</w:t>
      </w:r>
    </w:p>
    <w:p w14:paraId="0C6606F2" w14:textId="1CF70BE9" w:rsidR="006F1695" w:rsidRPr="00D83B1F" w:rsidRDefault="006F1695" w:rsidP="00C7133F">
      <w:pPr>
        <w:pStyle w:val="enumlev1"/>
      </w:pPr>
      <w:r w:rsidRPr="00D83B1F">
        <w:t>d)</w:t>
      </w:r>
      <w:r w:rsidRPr="00D83B1F">
        <w:tab/>
      </w:r>
      <w:r w:rsidR="007A2EB7" w:rsidRPr="00D83B1F">
        <w:t xml:space="preserve">La vérification/le traitement des droits et </w:t>
      </w:r>
      <w:r w:rsidR="004A483F" w:rsidRPr="00D83B1F">
        <w:t>du bien-fondé de leur attribution</w:t>
      </w:r>
      <w:r w:rsidR="007A2EB7" w:rsidRPr="00D83B1F">
        <w:t xml:space="preserve"> </w:t>
      </w:r>
      <w:r w:rsidR="004A483F" w:rsidRPr="00D83B1F">
        <w:t xml:space="preserve">ne </w:t>
      </w:r>
      <w:r w:rsidR="006D5D48" w:rsidRPr="00D83B1F">
        <w:t>sont</w:t>
      </w:r>
      <w:r w:rsidR="004A483F" w:rsidRPr="00D83B1F">
        <w:t xml:space="preserve"> pas </w:t>
      </w:r>
      <w:r w:rsidR="006D5D48" w:rsidRPr="00D83B1F">
        <w:t xml:space="preserve">effectués </w:t>
      </w:r>
      <w:r w:rsidR="004A483F" w:rsidRPr="00D83B1F">
        <w:t>de manière correcte</w:t>
      </w:r>
      <w:r w:rsidR="007A2EB7" w:rsidRPr="00D83B1F">
        <w:t>, ce qui entraîne des contrôles internes inappropriés et inefficaces.</w:t>
      </w:r>
      <w:r w:rsidR="00CC4246" w:rsidRPr="00D83B1F">
        <w:t xml:space="preserve"> </w:t>
      </w:r>
      <w:r w:rsidR="007A2EB7" w:rsidRPr="00D83B1F">
        <w:t xml:space="preserve">Il a été </w:t>
      </w:r>
      <w:r w:rsidR="007A2EB7" w:rsidRPr="00D83B1F">
        <w:rPr>
          <w:u w:val="single"/>
        </w:rPr>
        <w:t>recommandé</w:t>
      </w:r>
      <w:r w:rsidR="007A2EB7" w:rsidRPr="00D83B1F">
        <w:t xml:space="preserve"> </w:t>
      </w:r>
      <w:r w:rsidR="00CC4246" w:rsidRPr="00D83B1F">
        <w:t>d</w:t>
      </w:r>
      <w:r w:rsidR="00CE6191" w:rsidRPr="00D83B1F">
        <w:t>'</w:t>
      </w:r>
      <w:r w:rsidR="00CC4246" w:rsidRPr="00D83B1F">
        <w:t xml:space="preserve">examiner les </w:t>
      </w:r>
      <w:r w:rsidR="00475050" w:rsidRPr="00D83B1F">
        <w:t>indemnités</w:t>
      </w:r>
      <w:r w:rsidR="00CC4246" w:rsidRPr="00D83B1F">
        <w:t xml:space="preserve"> pour frais d</w:t>
      </w:r>
      <w:r w:rsidR="00CE6191" w:rsidRPr="00D83B1F">
        <w:t>'</w:t>
      </w:r>
      <w:r w:rsidR="00CC4246" w:rsidRPr="00D83B1F">
        <w:t xml:space="preserve">études </w:t>
      </w:r>
      <w:r w:rsidR="00475050" w:rsidRPr="00D83B1F">
        <w:t>versées</w:t>
      </w:r>
      <w:r w:rsidR="007A2EB7" w:rsidRPr="00D83B1F">
        <w:t xml:space="preserve"> </w:t>
      </w:r>
      <w:r w:rsidR="00CC4246" w:rsidRPr="00D83B1F">
        <w:t>ces</w:t>
      </w:r>
      <w:r w:rsidR="007A2EB7" w:rsidRPr="00D83B1F">
        <w:t xml:space="preserve"> </w:t>
      </w:r>
      <w:r w:rsidR="00CC4246" w:rsidRPr="00D83B1F">
        <w:t>cinq</w:t>
      </w:r>
      <w:r w:rsidR="007A2EB7" w:rsidRPr="00D83B1F">
        <w:t xml:space="preserve"> à </w:t>
      </w:r>
      <w:r w:rsidR="00CC4246" w:rsidRPr="00D83B1F">
        <w:t>dix</w:t>
      </w:r>
      <w:r w:rsidR="007A2EB7" w:rsidRPr="00D83B1F">
        <w:t xml:space="preserve"> dernières années (avant les changements </w:t>
      </w:r>
      <w:r w:rsidR="00CC4246" w:rsidRPr="00D83B1F">
        <w:t>en</w:t>
      </w:r>
      <w:r w:rsidR="007A2EB7" w:rsidRPr="00D83B1F">
        <w:t xml:space="preserve"> 2017) et </w:t>
      </w:r>
      <w:r w:rsidR="00CC4246" w:rsidRPr="00D83B1F">
        <w:t>de prendre en considération</w:t>
      </w:r>
      <w:r w:rsidR="00B209C7" w:rsidRPr="00D83B1F">
        <w:t xml:space="preserve"> en vue d</w:t>
      </w:r>
      <w:r w:rsidR="00CE6191" w:rsidRPr="00D83B1F">
        <w:t>'</w:t>
      </w:r>
      <w:r w:rsidR="00B209C7" w:rsidRPr="00D83B1F">
        <w:t>une rectification</w:t>
      </w:r>
      <w:r w:rsidR="007A2EB7" w:rsidRPr="00D83B1F">
        <w:t xml:space="preserve"> toute autre erreur que celles identifiées lors de cette inspection concernant les </w:t>
      </w:r>
      <w:r w:rsidR="00B209C7" w:rsidRPr="00D83B1F">
        <w:t xml:space="preserve">dépenses ouvrant droit à remboursement. </w:t>
      </w:r>
      <w:r w:rsidR="007A2EB7" w:rsidRPr="00D83B1F">
        <w:t xml:space="preserve">En outre, il a été </w:t>
      </w:r>
      <w:r w:rsidR="007A2EB7" w:rsidRPr="00D83B1F">
        <w:rPr>
          <w:u w:val="single"/>
        </w:rPr>
        <w:t>recommandé</w:t>
      </w:r>
      <w:r w:rsidR="007A2EB7" w:rsidRPr="00D83B1F">
        <w:t xml:space="preserve"> que les demandes </w:t>
      </w:r>
      <w:r w:rsidR="00507111" w:rsidRPr="00D83B1F">
        <w:t xml:space="preserve">pour personnes à charge </w:t>
      </w:r>
      <w:r w:rsidR="007A2EB7" w:rsidRPr="00D83B1F">
        <w:t xml:space="preserve">soient faites </w:t>
      </w:r>
      <w:r w:rsidR="00507111" w:rsidRPr="00D83B1F">
        <w:t xml:space="preserve">chaque année </w:t>
      </w:r>
      <w:r w:rsidR="007A2EB7" w:rsidRPr="00D83B1F">
        <w:t xml:space="preserve">(ou plus fréquemment si nécessaire) et de manière cohérente, et que les indemnités </w:t>
      </w:r>
      <w:r w:rsidR="00507111" w:rsidRPr="00D83B1F">
        <w:t xml:space="preserve">pour personnes à charge </w:t>
      </w:r>
      <w:r w:rsidR="007A2EB7" w:rsidRPr="00D83B1F">
        <w:t xml:space="preserve">soient </w:t>
      </w:r>
      <w:r w:rsidR="00507111" w:rsidRPr="00D83B1F">
        <w:t>versées</w:t>
      </w:r>
      <w:r w:rsidR="007A2EB7" w:rsidRPr="00D83B1F">
        <w:t xml:space="preserve"> </w:t>
      </w:r>
      <w:r w:rsidR="006D5D48" w:rsidRPr="00D83B1F">
        <w:t xml:space="preserve">uniquement lorsque </w:t>
      </w:r>
      <w:r w:rsidR="007A2EB7" w:rsidRPr="00D83B1F">
        <w:t>d</w:t>
      </w:r>
      <w:r w:rsidR="00347EC7" w:rsidRPr="00D83B1F">
        <w:t xml:space="preserve">es </w:t>
      </w:r>
      <w:r w:rsidR="007A2EB7" w:rsidRPr="00D83B1F">
        <w:t xml:space="preserve">informations confirmées, justifiées et </w:t>
      </w:r>
      <w:r w:rsidR="003A2B74" w:rsidRPr="00D83B1F">
        <w:t>actualisées</w:t>
      </w:r>
      <w:r w:rsidR="00347EC7" w:rsidRPr="00D83B1F">
        <w:t xml:space="preserve"> sont</w:t>
      </w:r>
      <w:r w:rsidR="007A2EB7" w:rsidRPr="00D83B1F">
        <w:t xml:space="preserve"> fournies par </w:t>
      </w:r>
      <w:r w:rsidR="003A2B74" w:rsidRPr="00D83B1F">
        <w:t>le fonctionnaire</w:t>
      </w:r>
      <w:r w:rsidR="007A2EB7" w:rsidRPr="00D83B1F">
        <w:t>.</w:t>
      </w:r>
      <w:r w:rsidR="00F44A69" w:rsidRPr="00D83B1F">
        <w:t xml:space="preserve"> </w:t>
      </w:r>
      <w:r w:rsidR="007A2EB7" w:rsidRPr="00D83B1F">
        <w:t xml:space="preserve">Enfin, il a été </w:t>
      </w:r>
      <w:r w:rsidR="007A2EB7" w:rsidRPr="00D83B1F">
        <w:rPr>
          <w:u w:val="single"/>
        </w:rPr>
        <w:t>recommandé</w:t>
      </w:r>
      <w:r w:rsidR="007A2EB7" w:rsidRPr="00D83B1F">
        <w:t xml:space="preserve"> </w:t>
      </w:r>
      <w:r w:rsidR="00B83047" w:rsidRPr="00D83B1F">
        <w:t>d</w:t>
      </w:r>
      <w:r w:rsidR="00CE6191" w:rsidRPr="00D83B1F">
        <w:t>'</w:t>
      </w:r>
      <w:r w:rsidR="00B83047" w:rsidRPr="00D83B1F">
        <w:t>instaurer l</w:t>
      </w:r>
      <w:r w:rsidR="00CE6191" w:rsidRPr="00D83B1F">
        <w:t>'</w:t>
      </w:r>
      <w:r w:rsidR="00B83047" w:rsidRPr="00D83B1F">
        <w:t>obligation de conserver</w:t>
      </w:r>
      <w:r w:rsidR="00AC5620" w:rsidRPr="00D83B1F">
        <w:t>,</w:t>
      </w:r>
      <w:r w:rsidR="007A2EB7" w:rsidRPr="00D83B1F">
        <w:t xml:space="preserve"> </w:t>
      </w:r>
      <w:r w:rsidR="00B83047" w:rsidRPr="00D83B1F">
        <w:t>dans un système de classement complet et accessible</w:t>
      </w:r>
      <w:r w:rsidR="00AC5620" w:rsidRPr="00D83B1F">
        <w:t>,</w:t>
      </w:r>
      <w:r w:rsidR="00B83047" w:rsidRPr="00D83B1F">
        <w:t xml:space="preserve"> </w:t>
      </w:r>
      <w:r w:rsidR="007A2EB7" w:rsidRPr="00D83B1F">
        <w:t xml:space="preserve">toutes les pièces </w:t>
      </w:r>
      <w:r w:rsidR="007A2EB7" w:rsidRPr="00D83B1F">
        <w:lastRenderedPageBreak/>
        <w:t>justificatives, les documents de travail de calcul et tou</w:t>
      </w:r>
      <w:r w:rsidR="00B83047" w:rsidRPr="00D83B1F">
        <w:t>s les</w:t>
      </w:r>
      <w:r w:rsidR="007A2EB7" w:rsidRPr="00D83B1F">
        <w:t xml:space="preserve"> autre</w:t>
      </w:r>
      <w:r w:rsidR="00B83047" w:rsidRPr="00D83B1F">
        <w:t>s</w:t>
      </w:r>
      <w:r w:rsidR="007A2EB7" w:rsidRPr="00D83B1F">
        <w:t xml:space="preserve"> document</w:t>
      </w:r>
      <w:r w:rsidR="00B83047" w:rsidRPr="00D83B1F">
        <w:t>s</w:t>
      </w:r>
      <w:r w:rsidR="007A2EB7" w:rsidRPr="00D83B1F">
        <w:t xml:space="preserve"> utilisé</w:t>
      </w:r>
      <w:r w:rsidR="00B83047" w:rsidRPr="00D83B1F">
        <w:t>s</w:t>
      </w:r>
      <w:r w:rsidR="007A2EB7" w:rsidRPr="00D83B1F">
        <w:t xml:space="preserve"> par </w:t>
      </w:r>
      <w:r w:rsidR="00FC3721" w:rsidRPr="00D83B1F">
        <w:t>le Département HRMD</w:t>
      </w:r>
      <w:r w:rsidR="007A2EB7" w:rsidRPr="00D83B1F">
        <w:t xml:space="preserve"> pour </w:t>
      </w:r>
      <w:r w:rsidR="00AC5620" w:rsidRPr="00D83B1F">
        <w:t>déterminer si un fonctionnaire remplit les conditions requises pour percevoir des indemnités ou prestation</w:t>
      </w:r>
      <w:r w:rsidR="00DE6445" w:rsidRPr="00D83B1F">
        <w:t>s</w:t>
      </w:r>
      <w:r w:rsidR="007A2EB7" w:rsidRPr="00D83B1F">
        <w:t xml:space="preserve"> et calculer les montants</w:t>
      </w:r>
      <w:r w:rsidR="00AC5620" w:rsidRPr="00D83B1F">
        <w:t xml:space="preserve"> correspondants</w:t>
      </w:r>
      <w:r w:rsidRPr="00D83B1F">
        <w:t>.</w:t>
      </w:r>
    </w:p>
    <w:p w14:paraId="41252B29" w14:textId="0CFFDE36" w:rsidR="006F1695" w:rsidRPr="00D83B1F" w:rsidRDefault="006F1695" w:rsidP="0010458B">
      <w:r w:rsidRPr="00D83B1F">
        <w:t>10</w:t>
      </w:r>
      <w:r w:rsidRPr="00D83B1F">
        <w:tab/>
      </w:r>
      <w:r w:rsidR="00E558EB" w:rsidRPr="00D83B1F">
        <w:t xml:space="preserve">Le Département HRMD </w:t>
      </w:r>
      <w:r w:rsidR="00F04BB2" w:rsidRPr="00D83B1F">
        <w:t xml:space="preserve">a </w:t>
      </w:r>
      <w:r w:rsidR="008D54AB" w:rsidRPr="00D83B1F">
        <w:t xml:space="preserve">accepté </w:t>
      </w:r>
      <w:r w:rsidR="007D3973" w:rsidRPr="00D83B1F">
        <w:t>bon nombre des recommandations</w:t>
      </w:r>
      <w:r w:rsidR="00AC5620" w:rsidRPr="00D83B1F">
        <w:t xml:space="preserve"> et indiqué</w:t>
      </w:r>
      <w:r w:rsidR="00243BC6" w:rsidRPr="00D83B1F">
        <w:t xml:space="preserve"> son désaccord </w:t>
      </w:r>
      <w:r w:rsidR="00AC5620" w:rsidRPr="00D83B1F">
        <w:t xml:space="preserve">concernant </w:t>
      </w:r>
      <w:r w:rsidR="00243BC6" w:rsidRPr="00D83B1F">
        <w:t>certaines</w:t>
      </w:r>
      <w:r w:rsidR="00F04BB2" w:rsidRPr="00D83B1F">
        <w:t xml:space="preserve">, étant donné que les </w:t>
      </w:r>
      <w:r w:rsidR="00243BC6" w:rsidRPr="00D83B1F">
        <w:t>mesures</w:t>
      </w:r>
      <w:r w:rsidR="00F04BB2" w:rsidRPr="00D83B1F">
        <w:t xml:space="preserve"> proposées étaient déjà des pratiques de gestion </w:t>
      </w:r>
      <w:r w:rsidR="00843345" w:rsidRPr="00D83B1F">
        <w:t>en vigueur</w:t>
      </w:r>
      <w:r w:rsidR="00F04BB2" w:rsidRPr="00D83B1F">
        <w:t xml:space="preserve">. </w:t>
      </w:r>
      <w:r w:rsidR="00843345" w:rsidRPr="00D83B1F">
        <w:t>L</w:t>
      </w:r>
      <w:r w:rsidR="00CE6191" w:rsidRPr="00D83B1F">
        <w:t>'</w:t>
      </w:r>
      <w:r w:rsidR="00843345" w:rsidRPr="00D83B1F">
        <w:t>Unité de l</w:t>
      </w:r>
      <w:r w:rsidR="00CE6191" w:rsidRPr="00D83B1F">
        <w:t>'</w:t>
      </w:r>
      <w:r w:rsidR="00843345" w:rsidRPr="00D83B1F">
        <w:t xml:space="preserve">audit interne </w:t>
      </w:r>
      <w:r w:rsidR="00F04BB2" w:rsidRPr="00D83B1F">
        <w:t xml:space="preserve">ne pense pas </w:t>
      </w:r>
      <w:r w:rsidR="00F949B4" w:rsidRPr="00D83B1F">
        <w:t>qu</w:t>
      </w:r>
      <w:r w:rsidR="00CE6191" w:rsidRPr="00D83B1F">
        <w:t>'</w:t>
      </w:r>
      <w:r w:rsidR="004A483F" w:rsidRPr="00D83B1F">
        <w:t xml:space="preserve">il </w:t>
      </w:r>
      <w:r w:rsidR="00BC3538" w:rsidRPr="00D83B1F">
        <w:t>soit</w:t>
      </w:r>
      <w:r w:rsidR="004A483F" w:rsidRPr="00D83B1F">
        <w:t xml:space="preserve"> avéré que </w:t>
      </w:r>
      <w:r w:rsidR="00F04BB2" w:rsidRPr="00D83B1F">
        <w:t xml:space="preserve">ces pratiques de gestion </w:t>
      </w:r>
      <w:r w:rsidR="00843345" w:rsidRPr="00D83B1F">
        <w:t xml:space="preserve">en vigueur </w:t>
      </w:r>
      <w:r w:rsidR="00027B00" w:rsidRPr="00D83B1F">
        <w:t>contribue</w:t>
      </w:r>
      <w:r w:rsidR="00FA266E" w:rsidRPr="00D83B1F">
        <w:t>nt</w:t>
      </w:r>
      <w:r w:rsidR="00027B00" w:rsidRPr="00D83B1F">
        <w:t xml:space="preserve"> à </w:t>
      </w:r>
      <w:r w:rsidR="00F04BB2" w:rsidRPr="00D83B1F">
        <w:t xml:space="preserve">fournir </w:t>
      </w:r>
      <w:r w:rsidR="00124E88" w:rsidRPr="00D83B1F">
        <w:t>des assurances au Secrétaire général s</w:t>
      </w:r>
      <w:r w:rsidR="00CE6191" w:rsidRPr="00D83B1F">
        <w:t>'</w:t>
      </w:r>
      <w:r w:rsidR="00124E88" w:rsidRPr="00D83B1F">
        <w:t>agissant de</w:t>
      </w:r>
      <w:r w:rsidR="00F04BB2" w:rsidRPr="00D83B1F">
        <w:t xml:space="preserve"> la gouvernance, </w:t>
      </w:r>
      <w:r w:rsidR="00124E88" w:rsidRPr="00D83B1F">
        <w:t xml:space="preserve">de </w:t>
      </w:r>
      <w:r w:rsidR="00F04BB2" w:rsidRPr="00D83B1F">
        <w:t xml:space="preserve">la gestion des risques et </w:t>
      </w:r>
      <w:r w:rsidR="00124E88" w:rsidRPr="00D83B1F">
        <w:t xml:space="preserve">de </w:t>
      </w:r>
      <w:r w:rsidR="00F04BB2" w:rsidRPr="00D83B1F">
        <w:t>l</w:t>
      </w:r>
      <w:r w:rsidR="00CE6191" w:rsidRPr="00D83B1F">
        <w:t>'</w:t>
      </w:r>
      <w:r w:rsidR="00F04BB2" w:rsidRPr="00D83B1F">
        <w:t xml:space="preserve">efficacité des contrôles </w:t>
      </w:r>
      <w:r w:rsidR="00124E88" w:rsidRPr="00D83B1F">
        <w:t>concernant le</w:t>
      </w:r>
      <w:r w:rsidR="00F04BB2" w:rsidRPr="00D83B1F">
        <w:t xml:space="preserve"> traitement des </w:t>
      </w:r>
      <w:r w:rsidR="00E56FC4" w:rsidRPr="00D83B1F">
        <w:t>prestations accordées au</w:t>
      </w:r>
      <w:r w:rsidR="00F52BA8" w:rsidRPr="00D83B1F">
        <w:t xml:space="preserve"> personnel</w:t>
      </w:r>
      <w:r w:rsidRPr="00D83B1F">
        <w:t>.</w:t>
      </w:r>
    </w:p>
    <w:p w14:paraId="1245867E" w14:textId="46FB66D6" w:rsidR="00EF2339" w:rsidRPr="00D83B1F" w:rsidRDefault="006F1695" w:rsidP="002F3538">
      <w:pPr>
        <w:pStyle w:val="Headingb"/>
        <w:rPr>
          <w:i/>
          <w:iCs/>
        </w:rPr>
      </w:pPr>
      <w:r w:rsidRPr="00D83B1F">
        <w:rPr>
          <w:i/>
          <w:iCs/>
        </w:rPr>
        <w:t>B</w:t>
      </w:r>
      <w:r w:rsidRPr="00D83B1F">
        <w:rPr>
          <w:i/>
          <w:iCs/>
        </w:rPr>
        <w:tab/>
      </w:r>
      <w:r w:rsidR="005A5286" w:rsidRPr="00D83B1F">
        <w:rPr>
          <w:i/>
          <w:iCs/>
        </w:rPr>
        <w:t>Audit</w:t>
      </w:r>
      <w:r w:rsidR="00EF2339" w:rsidRPr="00D83B1F">
        <w:rPr>
          <w:i/>
          <w:iCs/>
        </w:rPr>
        <w:t xml:space="preserve"> des </w:t>
      </w:r>
      <w:bookmarkStart w:id="10" w:name="_Hlk98148400"/>
      <w:r w:rsidR="00EF2339" w:rsidRPr="00D83B1F">
        <w:rPr>
          <w:i/>
          <w:iCs/>
        </w:rPr>
        <w:t xml:space="preserve">programmes, projets et activités supplémentaires financés </w:t>
      </w:r>
      <w:bookmarkEnd w:id="10"/>
      <w:r w:rsidR="00EF2339" w:rsidRPr="00D83B1F">
        <w:rPr>
          <w:i/>
          <w:iCs/>
        </w:rPr>
        <w:t>par des contributions volontaires et des fonds d</w:t>
      </w:r>
      <w:r w:rsidR="00CE6191" w:rsidRPr="00D83B1F">
        <w:rPr>
          <w:i/>
          <w:iCs/>
        </w:rPr>
        <w:t>'</w:t>
      </w:r>
      <w:r w:rsidR="00EF2339" w:rsidRPr="00D83B1F">
        <w:rPr>
          <w:i/>
          <w:iCs/>
        </w:rPr>
        <w:t>affectation spéciale</w:t>
      </w:r>
    </w:p>
    <w:p w14:paraId="18D38396" w14:textId="118FA23F" w:rsidR="007A57CC" w:rsidRPr="00D83B1F" w:rsidRDefault="006F1695" w:rsidP="0010458B">
      <w:r w:rsidRPr="00D83B1F">
        <w:t>11</w:t>
      </w:r>
      <w:r w:rsidRPr="00D83B1F">
        <w:tab/>
      </w:r>
      <w:r w:rsidR="00D57446" w:rsidRPr="00D83B1F">
        <w:t>L</w:t>
      </w:r>
      <w:r w:rsidR="00CE6191" w:rsidRPr="00D83B1F">
        <w:t>'</w:t>
      </w:r>
      <w:r w:rsidR="00D57446" w:rsidRPr="00D83B1F">
        <w:t>Unité de l</w:t>
      </w:r>
      <w:r w:rsidR="00CE6191" w:rsidRPr="00D83B1F">
        <w:t>'</w:t>
      </w:r>
      <w:r w:rsidR="00D57446" w:rsidRPr="00D83B1F">
        <w:t xml:space="preserve">audit interne a </w:t>
      </w:r>
      <w:r w:rsidR="005A5286" w:rsidRPr="00D83B1F">
        <w:t xml:space="preserve">procédé à un audit </w:t>
      </w:r>
      <w:r w:rsidR="00D57446" w:rsidRPr="00D83B1F">
        <w:t xml:space="preserve">des programmes, projets et </w:t>
      </w:r>
      <w:r w:rsidR="00166BB3" w:rsidRPr="00D83B1F">
        <w:t>activités supplémentaires</w:t>
      </w:r>
      <w:r w:rsidR="00D57446" w:rsidRPr="00D83B1F">
        <w:t xml:space="preserve"> financé</w:t>
      </w:r>
      <w:r w:rsidR="00166BB3" w:rsidRPr="00D83B1F">
        <w:t>s</w:t>
      </w:r>
      <w:r w:rsidR="00D57446" w:rsidRPr="00D83B1F">
        <w:t xml:space="preserve"> par </w:t>
      </w:r>
      <w:r w:rsidR="00166BB3" w:rsidRPr="00D83B1F">
        <w:t>d</w:t>
      </w:r>
      <w:r w:rsidR="00D57446" w:rsidRPr="00D83B1F">
        <w:t xml:space="preserve">es </w:t>
      </w:r>
      <w:r w:rsidR="00166BB3" w:rsidRPr="00D83B1F">
        <w:t xml:space="preserve">contributions volontaires </w:t>
      </w:r>
      <w:r w:rsidR="005A5286" w:rsidRPr="00D83B1F">
        <w:t>et</w:t>
      </w:r>
      <w:r w:rsidR="00166BB3" w:rsidRPr="00D83B1F">
        <w:t xml:space="preserve"> des fonds d</w:t>
      </w:r>
      <w:r w:rsidR="00CE6191" w:rsidRPr="00D83B1F">
        <w:t>'</w:t>
      </w:r>
      <w:r w:rsidR="00166BB3" w:rsidRPr="00D83B1F">
        <w:t xml:space="preserve">affectation spéciale </w:t>
      </w:r>
      <w:r w:rsidR="00D57446" w:rsidRPr="00D83B1F">
        <w:t>pour la période allant de janvier 2016 à décembre 2020.</w:t>
      </w:r>
      <w:r w:rsidR="00166BB3" w:rsidRPr="00D83B1F">
        <w:t xml:space="preserve"> L</w:t>
      </w:r>
      <w:r w:rsidR="00CE6191" w:rsidRPr="00D83B1F">
        <w:t>'</w:t>
      </w:r>
      <w:r w:rsidR="00166BB3" w:rsidRPr="00D83B1F">
        <w:t>audit n</w:t>
      </w:r>
      <w:r w:rsidR="00CE6191" w:rsidRPr="00D83B1F">
        <w:t>'</w:t>
      </w:r>
      <w:r w:rsidR="00166BB3" w:rsidRPr="00D83B1F">
        <w:t xml:space="preserve">a pas porté sur les projets du BDT (déjà </w:t>
      </w:r>
      <w:r w:rsidR="009A02B9" w:rsidRPr="00D83B1F">
        <w:t>vérifiés</w:t>
      </w:r>
      <w:r w:rsidR="00166BB3" w:rsidRPr="00D83B1F">
        <w:t xml:space="preserve"> en 2019/2020) </w:t>
      </w:r>
      <w:r w:rsidR="009A02B9" w:rsidRPr="00D83B1F">
        <w:t>ni</w:t>
      </w:r>
      <w:r w:rsidR="00166BB3" w:rsidRPr="00D83B1F">
        <w:t xml:space="preserve"> sur ITU Telecom World</w:t>
      </w:r>
      <w:r w:rsidRPr="00D83B1F">
        <w:t>.</w:t>
      </w:r>
    </w:p>
    <w:p w14:paraId="14E5B372" w14:textId="3DEB76A3" w:rsidR="007A57CC" w:rsidRPr="00D83B1F" w:rsidRDefault="006F1695" w:rsidP="0010458B">
      <w:r w:rsidRPr="00D83B1F">
        <w:t>12</w:t>
      </w:r>
      <w:r w:rsidRPr="00D83B1F">
        <w:tab/>
        <w:t>L</w:t>
      </w:r>
      <w:r w:rsidR="00CE6191" w:rsidRPr="00D83B1F">
        <w:t>'</w:t>
      </w:r>
      <w:r w:rsidRPr="00D83B1F">
        <w:t>Unité de l</w:t>
      </w:r>
      <w:r w:rsidR="00CE6191" w:rsidRPr="00D83B1F">
        <w:t>'</w:t>
      </w:r>
      <w:r w:rsidRPr="00D83B1F">
        <w:t>audit interne a conclu que les questions ci-après devaient faire l</w:t>
      </w:r>
      <w:r w:rsidR="00CE6191" w:rsidRPr="00D83B1F">
        <w:t>'</w:t>
      </w:r>
      <w:r w:rsidRPr="00D83B1F">
        <w:t>objet d</w:t>
      </w:r>
      <w:r w:rsidR="00CE6191" w:rsidRPr="00D83B1F">
        <w:t>'</w:t>
      </w:r>
      <w:r w:rsidRPr="00D83B1F">
        <w:t>une attention hautement prioritaire (point a) ci-dessous) ou prioritaire (point b) ci-dessous):</w:t>
      </w:r>
    </w:p>
    <w:p w14:paraId="70CA7C0C" w14:textId="03C219BF" w:rsidR="006F1695" w:rsidRPr="00D83B1F" w:rsidRDefault="006F1695" w:rsidP="0010458B">
      <w:pPr>
        <w:pStyle w:val="enumlev1"/>
      </w:pPr>
      <w:r w:rsidRPr="00D83B1F">
        <w:t>a)</w:t>
      </w:r>
      <w:r w:rsidRPr="00D83B1F">
        <w:tab/>
      </w:r>
      <w:r w:rsidR="00984947" w:rsidRPr="00D83B1F">
        <w:t>I</w:t>
      </w:r>
      <w:r w:rsidR="00746CF0" w:rsidRPr="00D83B1F">
        <w:t xml:space="preserve">l est important de </w:t>
      </w:r>
      <w:r w:rsidR="007F1305" w:rsidRPr="00D83B1F">
        <w:t xml:space="preserve">nouer des liens </w:t>
      </w:r>
      <w:r w:rsidR="00746CF0" w:rsidRPr="00D83B1F">
        <w:t xml:space="preserve">avec de nouveaux donateurs et partenaires pour contribuer à la réalisation des objectifs </w:t>
      </w:r>
      <w:r w:rsidR="007F1305" w:rsidRPr="00D83B1F">
        <w:t>des programmes, projets et activités supplémentaires</w:t>
      </w:r>
      <w:r w:rsidR="00746CF0" w:rsidRPr="00D83B1F">
        <w:t xml:space="preserve">, </w:t>
      </w:r>
      <w:r w:rsidR="00984947" w:rsidRPr="00D83B1F">
        <w:t xml:space="preserve">mais </w:t>
      </w:r>
      <w:r w:rsidR="00254343" w:rsidRPr="00D83B1F">
        <w:t xml:space="preserve">il existe un </w:t>
      </w:r>
      <w:r w:rsidR="00746CF0" w:rsidRPr="00D83B1F">
        <w:t>risque que l</w:t>
      </w:r>
      <w:r w:rsidR="00CE6191" w:rsidRPr="00D83B1F">
        <w:t>'</w:t>
      </w:r>
      <w:r w:rsidR="00746CF0" w:rsidRPr="00D83B1F">
        <w:t xml:space="preserve">UIT soit exposée à de nouveaux donateurs du secteur privé dont les intérêts peuvent ne pas </w:t>
      </w:r>
      <w:r w:rsidR="00984947" w:rsidRPr="00D83B1F">
        <w:t>correspondre à</w:t>
      </w:r>
      <w:r w:rsidR="00746CF0" w:rsidRPr="00D83B1F">
        <w:t xml:space="preserve"> ceux de l</w:t>
      </w:r>
      <w:r w:rsidR="00CE6191" w:rsidRPr="00D83B1F">
        <w:t>'</w:t>
      </w:r>
      <w:r w:rsidR="00746CF0" w:rsidRPr="00D83B1F">
        <w:t xml:space="preserve">UIT. </w:t>
      </w:r>
      <w:r w:rsidR="00A524FE" w:rsidRPr="00D83B1F">
        <w:t>Par conséquent, i</w:t>
      </w:r>
      <w:r w:rsidR="00746CF0" w:rsidRPr="00D83B1F">
        <w:t xml:space="preserve">l est essentiel que des </w:t>
      </w:r>
      <w:r w:rsidR="00757730" w:rsidRPr="00D83B1F">
        <w:t>vérifications fondées sur la</w:t>
      </w:r>
      <w:r w:rsidR="00746CF0" w:rsidRPr="00D83B1F">
        <w:t xml:space="preserve"> diligence </w:t>
      </w:r>
      <w:r w:rsidR="00A524FE" w:rsidRPr="00D83B1F">
        <w:t>due</w:t>
      </w:r>
      <w:r w:rsidR="00746CF0" w:rsidRPr="00D83B1F">
        <w:t xml:space="preserve"> soient </w:t>
      </w:r>
      <w:r w:rsidR="00A524FE" w:rsidRPr="00D83B1F">
        <w:t>réalisé</w:t>
      </w:r>
      <w:r w:rsidR="00757730" w:rsidRPr="00D83B1F">
        <w:t>e</w:t>
      </w:r>
      <w:r w:rsidR="00A524FE" w:rsidRPr="00D83B1F">
        <w:t>s</w:t>
      </w:r>
      <w:r w:rsidR="00746CF0" w:rsidRPr="00D83B1F">
        <w:t xml:space="preserve"> et documenté</w:t>
      </w:r>
      <w:r w:rsidR="00757730" w:rsidRPr="00D83B1F">
        <w:t>e</w:t>
      </w:r>
      <w:r w:rsidR="00746CF0" w:rsidRPr="00D83B1F">
        <w:t xml:space="preserve">s </w:t>
      </w:r>
      <w:r w:rsidR="002F3538" w:rsidRPr="00D83B1F">
        <w:t xml:space="preserve">avant </w:t>
      </w:r>
      <w:r w:rsidR="00254343" w:rsidRPr="00D83B1F">
        <w:t>que</w:t>
      </w:r>
      <w:r w:rsidR="00746CF0" w:rsidRPr="00D83B1F">
        <w:t xml:space="preserve"> </w:t>
      </w:r>
      <w:r w:rsidR="00757730" w:rsidRPr="00D83B1F">
        <w:t>des</w:t>
      </w:r>
      <w:r w:rsidR="00746CF0" w:rsidRPr="00D83B1F">
        <w:t xml:space="preserve"> contribution</w:t>
      </w:r>
      <w:r w:rsidR="00757730" w:rsidRPr="00D83B1F">
        <w:t>s</w:t>
      </w:r>
      <w:r w:rsidR="00746CF0" w:rsidRPr="00D83B1F">
        <w:t xml:space="preserve"> de nouveaux donateurs</w:t>
      </w:r>
      <w:r w:rsidR="00254343" w:rsidRPr="00D83B1F">
        <w:t xml:space="preserve"> soient acceptées</w:t>
      </w:r>
      <w:r w:rsidR="00746CF0" w:rsidRPr="00D83B1F">
        <w:t xml:space="preserve">. Il a donc été </w:t>
      </w:r>
      <w:r w:rsidR="00746CF0" w:rsidRPr="00D83B1F">
        <w:rPr>
          <w:u w:val="single"/>
        </w:rPr>
        <w:t>recommandé</w:t>
      </w:r>
      <w:r w:rsidR="00746CF0" w:rsidRPr="00D83B1F">
        <w:t xml:space="preserve"> que </w:t>
      </w:r>
      <w:r w:rsidR="00757730" w:rsidRPr="00D83B1F">
        <w:t>le processus formel de</w:t>
      </w:r>
      <w:r w:rsidR="00746CF0" w:rsidRPr="00D83B1F">
        <w:t xml:space="preserve"> diligence </w:t>
      </w:r>
      <w:r w:rsidR="00A524FE" w:rsidRPr="00D83B1F">
        <w:t>due</w:t>
      </w:r>
      <w:r w:rsidR="00746CF0" w:rsidRPr="00D83B1F">
        <w:t xml:space="preserve"> pour les nouveaux donateurs/partenaires </w:t>
      </w:r>
      <w:r w:rsidR="00254343" w:rsidRPr="00D83B1F">
        <w:t>fasse l</w:t>
      </w:r>
      <w:r w:rsidR="00CE6191" w:rsidRPr="00D83B1F">
        <w:t>'</w:t>
      </w:r>
      <w:r w:rsidR="00254343" w:rsidRPr="00D83B1F">
        <w:t>objet d</w:t>
      </w:r>
      <w:r w:rsidR="00CE6191" w:rsidRPr="00D83B1F">
        <w:t>'</w:t>
      </w:r>
      <w:r w:rsidR="00254343" w:rsidRPr="00D83B1F">
        <w:t>une coordination</w:t>
      </w:r>
      <w:r w:rsidR="00746CF0" w:rsidRPr="00D83B1F">
        <w:t xml:space="preserve"> entre les </w:t>
      </w:r>
      <w:r w:rsidR="00254343" w:rsidRPr="00D83B1F">
        <w:t xml:space="preserve">différents </w:t>
      </w:r>
      <w:r w:rsidR="00746CF0" w:rsidRPr="00D83B1F">
        <w:t xml:space="preserve">responsables. La direction du Département de la planification stratégique et des relations avec les </w:t>
      </w:r>
      <w:r w:rsidR="00DF0081" w:rsidRPr="00D83B1F">
        <w:t>M</w:t>
      </w:r>
      <w:r w:rsidR="00746CF0" w:rsidRPr="00D83B1F">
        <w:t xml:space="preserve">embres a </w:t>
      </w:r>
      <w:r w:rsidR="00DF0081" w:rsidRPr="00D83B1F">
        <w:t xml:space="preserve">expressément </w:t>
      </w:r>
      <w:r w:rsidR="009654DC" w:rsidRPr="00D83B1F">
        <w:t>indiqué</w:t>
      </w:r>
      <w:r w:rsidR="00DF0081" w:rsidRPr="00D83B1F">
        <w:t xml:space="preserve"> </w:t>
      </w:r>
      <w:r w:rsidR="00746CF0" w:rsidRPr="00D83B1F">
        <w:t>qu</w:t>
      </w:r>
      <w:r w:rsidR="00CE6191" w:rsidRPr="00D83B1F">
        <w:t>'</w:t>
      </w:r>
      <w:r w:rsidR="00746CF0" w:rsidRPr="00D83B1F">
        <w:t>elle pou</w:t>
      </w:r>
      <w:r w:rsidR="009654DC" w:rsidRPr="00D83B1F">
        <w:t>v</w:t>
      </w:r>
      <w:r w:rsidR="00746CF0" w:rsidRPr="00D83B1F">
        <w:t xml:space="preserve">ait assumer un rôle de </w:t>
      </w:r>
      <w:r w:rsidR="001E4CA7" w:rsidRPr="00D83B1F">
        <w:t xml:space="preserve">coordination </w:t>
      </w:r>
      <w:r w:rsidR="00254343" w:rsidRPr="00D83B1F">
        <w:t>à l</w:t>
      </w:r>
      <w:r w:rsidR="00CE6191" w:rsidRPr="00D83B1F">
        <w:t>'</w:t>
      </w:r>
      <w:r w:rsidR="00254343" w:rsidRPr="00D83B1F">
        <w:t>échelle</w:t>
      </w:r>
      <w:r w:rsidR="001E4CA7" w:rsidRPr="00D83B1F">
        <w:t xml:space="preserve"> de l</w:t>
      </w:r>
      <w:r w:rsidR="00CE6191" w:rsidRPr="00D83B1F">
        <w:t>'</w:t>
      </w:r>
      <w:r w:rsidR="001E4CA7" w:rsidRPr="00D83B1F">
        <w:t>UIT en ce qui concerne la diligence due</w:t>
      </w:r>
      <w:r w:rsidR="00746CF0" w:rsidRPr="00D83B1F">
        <w:t xml:space="preserve"> et </w:t>
      </w:r>
      <w:r w:rsidR="001E4CA7" w:rsidRPr="00D83B1F">
        <w:t>qu</w:t>
      </w:r>
      <w:r w:rsidR="00CE6191" w:rsidRPr="00D83B1F">
        <w:t>'</w:t>
      </w:r>
      <w:r w:rsidR="001E4CA7" w:rsidRPr="00D83B1F">
        <w:t>elle a</w:t>
      </w:r>
      <w:r w:rsidR="00746CF0" w:rsidRPr="00D83B1F">
        <w:t xml:space="preserve"> déjà commencé à travailler sur ce point.</w:t>
      </w:r>
    </w:p>
    <w:p w14:paraId="2305D006" w14:textId="470AB15C" w:rsidR="006F1695" w:rsidRPr="00D83B1F" w:rsidRDefault="006F1695" w:rsidP="0010458B">
      <w:pPr>
        <w:pStyle w:val="enumlev1"/>
      </w:pPr>
      <w:r w:rsidRPr="00D83B1F">
        <w:t>b)</w:t>
      </w:r>
      <w:r w:rsidRPr="00D83B1F">
        <w:tab/>
      </w:r>
      <w:r w:rsidR="001E4CA7" w:rsidRPr="00D83B1F">
        <w:t xml:space="preserve">En ce qui concerne la distinction entre les contributions volontaires et </w:t>
      </w:r>
      <w:r w:rsidR="00375401" w:rsidRPr="00D83B1F">
        <w:t>les fonds d</w:t>
      </w:r>
      <w:r w:rsidR="00CE6191" w:rsidRPr="00D83B1F">
        <w:t>'</w:t>
      </w:r>
      <w:r w:rsidR="00375401" w:rsidRPr="00D83B1F">
        <w:t>affectation spéciale</w:t>
      </w:r>
      <w:r w:rsidR="001E4CA7" w:rsidRPr="00D83B1F">
        <w:t xml:space="preserve">, et la définition des activités, </w:t>
      </w:r>
      <w:r w:rsidR="00375401" w:rsidRPr="00D83B1F">
        <w:t xml:space="preserve">ces deux </w:t>
      </w:r>
      <w:r w:rsidR="00254343" w:rsidRPr="00D83B1F">
        <w:t xml:space="preserve">modes de financement </w:t>
      </w:r>
      <w:r w:rsidR="001E4CA7" w:rsidRPr="00D83B1F">
        <w:t xml:space="preserve">ont été utilisés de diverses manières, </w:t>
      </w:r>
      <w:r w:rsidR="00254343" w:rsidRPr="00D83B1F">
        <w:t>pour</w:t>
      </w:r>
      <w:r w:rsidR="009250F9" w:rsidRPr="00D83B1F">
        <w:t xml:space="preserve"> financer</w:t>
      </w:r>
      <w:r w:rsidR="001E4CA7" w:rsidRPr="00D83B1F">
        <w:t xml:space="preserve"> des activités inscrites au budget ordinaire ou des activités extrabudgétaires, ou </w:t>
      </w:r>
      <w:r w:rsidR="00254343" w:rsidRPr="00D83B1F">
        <w:t xml:space="preserve">pour offrir </w:t>
      </w:r>
      <w:r w:rsidR="001E4CA7" w:rsidRPr="00D83B1F">
        <w:t xml:space="preserve">un mécanisme </w:t>
      </w:r>
      <w:r w:rsidR="009250F9" w:rsidRPr="00D83B1F">
        <w:t xml:space="preserve">de </w:t>
      </w:r>
      <w:r w:rsidR="001E4CA7" w:rsidRPr="00D83B1F">
        <w:t>comptab</w:t>
      </w:r>
      <w:r w:rsidR="009250F9" w:rsidRPr="00D83B1F">
        <w:t>ilité</w:t>
      </w:r>
      <w:r w:rsidR="001E4CA7" w:rsidRPr="00D83B1F">
        <w:t xml:space="preserve"> souple permettant </w:t>
      </w:r>
      <w:r w:rsidR="009250F9" w:rsidRPr="00D83B1F">
        <w:t>l</w:t>
      </w:r>
      <w:r w:rsidR="00CE6191" w:rsidRPr="00D83B1F">
        <w:t>'</w:t>
      </w:r>
      <w:r w:rsidR="009250F9" w:rsidRPr="00D83B1F">
        <w:t xml:space="preserve">utilisation </w:t>
      </w:r>
      <w:r w:rsidR="001E4CA7" w:rsidRPr="00D83B1F">
        <w:t xml:space="preserve">les fonds </w:t>
      </w:r>
      <w:r w:rsidR="009250F9" w:rsidRPr="00D83B1F">
        <w:t>quels que soient l</w:t>
      </w:r>
      <w:r w:rsidR="001E4CA7" w:rsidRPr="00D83B1F">
        <w:t xml:space="preserve">es objectifs du programme, </w:t>
      </w:r>
      <w:r w:rsidR="009250F9" w:rsidRPr="00D83B1F">
        <w:t>l</w:t>
      </w:r>
      <w:r w:rsidR="001E4CA7" w:rsidRPr="00D83B1F">
        <w:t xml:space="preserve">es activités ou </w:t>
      </w:r>
      <w:r w:rsidR="00BA526C" w:rsidRPr="00D83B1F">
        <w:t>l</w:t>
      </w:r>
      <w:r w:rsidR="001E4CA7" w:rsidRPr="00D83B1F">
        <w:t xml:space="preserve">es budgets alloués. </w:t>
      </w:r>
      <w:r w:rsidR="00DE6445" w:rsidRPr="00D83B1F">
        <w:t>Par ailleurs,</w:t>
      </w:r>
      <w:r w:rsidR="00833B42" w:rsidRPr="00D83B1F">
        <w:t xml:space="preserve"> la </w:t>
      </w:r>
      <w:r w:rsidR="001E4CA7" w:rsidRPr="00D83B1F">
        <w:t xml:space="preserve">définition et </w:t>
      </w:r>
      <w:r w:rsidR="00833B42" w:rsidRPr="00D83B1F">
        <w:t xml:space="preserve">à </w:t>
      </w:r>
      <w:r w:rsidR="001E4CA7" w:rsidRPr="00D83B1F">
        <w:t>la compréhension des rôles et des responsabilités</w:t>
      </w:r>
      <w:r w:rsidR="00DE6445" w:rsidRPr="00D83B1F">
        <w:t xml:space="preserve"> ne sont pas assez clairs</w:t>
      </w:r>
      <w:r w:rsidR="001E4CA7" w:rsidRPr="00D83B1F">
        <w:t xml:space="preserve"> et </w:t>
      </w:r>
      <w:r w:rsidR="00B44395" w:rsidRPr="00D83B1F">
        <w:t>une</w:t>
      </w:r>
      <w:r w:rsidR="001E4CA7" w:rsidRPr="00D83B1F">
        <w:t xml:space="preserve"> structure organisationnelle </w:t>
      </w:r>
      <w:r w:rsidR="00B44395" w:rsidRPr="00D83B1F">
        <w:t>insuffisante ainsi qu</w:t>
      </w:r>
      <w:r w:rsidR="00CE6191" w:rsidRPr="00D83B1F">
        <w:t>'</w:t>
      </w:r>
      <w:r w:rsidR="00B44395" w:rsidRPr="00D83B1F">
        <w:t>un manque de clarté</w:t>
      </w:r>
      <w:r w:rsidR="001E4CA7" w:rsidRPr="00D83B1F">
        <w:t xml:space="preserve"> </w:t>
      </w:r>
      <w:r w:rsidR="00B44395" w:rsidRPr="00D83B1F">
        <w:t>dans les</w:t>
      </w:r>
      <w:r w:rsidR="001E4CA7" w:rsidRPr="00D83B1F">
        <w:t xml:space="preserve"> rôles et responsabilités risque</w:t>
      </w:r>
      <w:r w:rsidR="00B44395" w:rsidRPr="00D83B1F">
        <w:t>nt</w:t>
      </w:r>
      <w:r w:rsidR="001E4CA7" w:rsidRPr="00D83B1F">
        <w:t xml:space="preserve"> d</w:t>
      </w:r>
      <w:r w:rsidR="00CE6191" w:rsidRPr="00D83B1F">
        <w:t>'</w:t>
      </w:r>
      <w:r w:rsidR="001E4CA7" w:rsidRPr="00D83B1F">
        <w:t>empêcher l</w:t>
      </w:r>
      <w:r w:rsidR="00CE6191" w:rsidRPr="00D83B1F">
        <w:t>'</w:t>
      </w:r>
      <w:r w:rsidR="001E4CA7" w:rsidRPr="00D83B1F">
        <w:t>UIT d</w:t>
      </w:r>
      <w:r w:rsidR="00CE6191" w:rsidRPr="00D83B1F">
        <w:t>'</w:t>
      </w:r>
      <w:r w:rsidR="001E4CA7" w:rsidRPr="00D83B1F">
        <w:t xml:space="preserve">atteindre ses objectifs dans le cadre </w:t>
      </w:r>
      <w:r w:rsidR="00B44395" w:rsidRPr="00D83B1F">
        <w:t>des programmes, projets et activités supplémentaires</w:t>
      </w:r>
      <w:r w:rsidR="001E4CA7" w:rsidRPr="00D83B1F">
        <w:t xml:space="preserve">. Il a été </w:t>
      </w:r>
      <w:r w:rsidR="001E4CA7" w:rsidRPr="00D83B1F">
        <w:rPr>
          <w:u w:val="single"/>
        </w:rPr>
        <w:t>recommandé</w:t>
      </w:r>
      <w:r w:rsidR="001E4CA7" w:rsidRPr="00D83B1F">
        <w:t xml:space="preserve"> d</w:t>
      </w:r>
      <w:r w:rsidR="00CE6191" w:rsidRPr="00D83B1F">
        <w:t>'</w:t>
      </w:r>
      <w:r w:rsidR="001E4CA7" w:rsidRPr="00D83B1F">
        <w:t xml:space="preserve">adopter </w:t>
      </w:r>
      <w:r w:rsidR="00E478A3" w:rsidRPr="00D83B1F">
        <w:t xml:space="preserve">des </w:t>
      </w:r>
      <w:r w:rsidR="0078302B" w:rsidRPr="00D83B1F">
        <w:t>instructions</w:t>
      </w:r>
      <w:r w:rsidR="00E478A3" w:rsidRPr="00D83B1F">
        <w:t xml:space="preserve"> détaillées </w:t>
      </w:r>
      <w:r w:rsidR="0078302B" w:rsidRPr="00D83B1F">
        <w:t xml:space="preserve">quant à la politique appliquée </w:t>
      </w:r>
      <w:r w:rsidR="001E4CA7" w:rsidRPr="00D83B1F">
        <w:t xml:space="preserve">concernant </w:t>
      </w:r>
      <w:r w:rsidR="00871121" w:rsidRPr="00D83B1F">
        <w:t>les contributions volontaires et les fonds d</w:t>
      </w:r>
      <w:r w:rsidR="00CE6191" w:rsidRPr="00D83B1F">
        <w:t>'</w:t>
      </w:r>
      <w:r w:rsidR="00871121" w:rsidRPr="00D83B1F">
        <w:t xml:space="preserve">affectation spéciale </w:t>
      </w:r>
      <w:r w:rsidR="001E4CA7" w:rsidRPr="00D83B1F">
        <w:t xml:space="preserve">et de clarifier les rôles et les responsabilités liés à la gestion </w:t>
      </w:r>
      <w:r w:rsidR="0078302B" w:rsidRPr="00D83B1F">
        <w:t xml:space="preserve">administrative </w:t>
      </w:r>
      <w:r w:rsidR="001E4CA7" w:rsidRPr="00D83B1F">
        <w:t>et opérationnel</w:t>
      </w:r>
      <w:r w:rsidR="0078302B" w:rsidRPr="00D83B1F">
        <w:t>le et aux contrôles</w:t>
      </w:r>
      <w:r w:rsidRPr="00D83B1F">
        <w:t>.</w:t>
      </w:r>
    </w:p>
    <w:p w14:paraId="310A2CCE" w14:textId="028A8B2D" w:rsidR="006F1695" w:rsidRPr="00D83B1F" w:rsidRDefault="00871121" w:rsidP="0010458B">
      <w:r w:rsidRPr="00D83B1F">
        <w:t xml:space="preserve">En outre, sans une méthodologie adaptée concernant les projets, les résultats </w:t>
      </w:r>
      <w:r w:rsidR="00874B1B" w:rsidRPr="00D83B1F">
        <w:t xml:space="preserve">attendus </w:t>
      </w:r>
      <w:r w:rsidR="00E20F54" w:rsidRPr="00D83B1F">
        <w:t xml:space="preserve">des projets </w:t>
      </w:r>
      <w:r w:rsidRPr="00D83B1F">
        <w:t xml:space="preserve">risquent de ne pas être </w:t>
      </w:r>
      <w:r w:rsidR="00E20F54" w:rsidRPr="00D83B1F">
        <w:t>obtenus</w:t>
      </w:r>
      <w:r w:rsidRPr="00D83B1F">
        <w:t>. De plus, le fait de ne pas traiter les vulnérabilités dans la conception d</w:t>
      </w:r>
      <w:r w:rsidR="00F45421" w:rsidRPr="00D83B1F">
        <w:t>u</w:t>
      </w:r>
      <w:r w:rsidRPr="00D83B1F">
        <w:t xml:space="preserve"> projet et les </w:t>
      </w:r>
      <w:r w:rsidR="00F45421" w:rsidRPr="00D83B1F">
        <w:t>difficultés</w:t>
      </w:r>
      <w:r w:rsidRPr="00D83B1F">
        <w:t xml:space="preserve"> de mise en œuvre qui en découlent peuvent nuire à la réalisation des objectifs du projet. Il a été </w:t>
      </w:r>
      <w:r w:rsidRPr="00D83B1F">
        <w:rPr>
          <w:u w:val="single"/>
        </w:rPr>
        <w:t>recommandé</w:t>
      </w:r>
      <w:r w:rsidRPr="00D83B1F">
        <w:t xml:space="preserve"> d</w:t>
      </w:r>
      <w:r w:rsidR="00CE6191" w:rsidRPr="00D83B1F">
        <w:t>'</w:t>
      </w:r>
      <w:r w:rsidRPr="00D83B1F">
        <w:t>élaborer et d</w:t>
      </w:r>
      <w:r w:rsidR="00CE6191" w:rsidRPr="00D83B1F">
        <w:t>'</w:t>
      </w:r>
      <w:r w:rsidRPr="00D83B1F">
        <w:t xml:space="preserve">adopter des lignes directrices </w:t>
      </w:r>
      <w:r w:rsidR="00F45421" w:rsidRPr="00D83B1F">
        <w:t xml:space="preserve">appropriées </w:t>
      </w:r>
      <w:r w:rsidRPr="00D83B1F">
        <w:t>en matière de gestion de projet. L</w:t>
      </w:r>
      <w:r w:rsidR="00CE6191" w:rsidRPr="00D83B1F">
        <w:t>'</w:t>
      </w:r>
      <w:r w:rsidR="00FF0E5A" w:rsidRPr="00D83B1F">
        <w:t>Unité de l</w:t>
      </w:r>
      <w:r w:rsidR="00CE6191" w:rsidRPr="00D83B1F">
        <w:t>'</w:t>
      </w:r>
      <w:r w:rsidR="00FF0E5A" w:rsidRPr="00D83B1F">
        <w:t>audit interne</w:t>
      </w:r>
      <w:r w:rsidRPr="00D83B1F">
        <w:t xml:space="preserve"> a également </w:t>
      </w:r>
      <w:r w:rsidRPr="00D83B1F">
        <w:lastRenderedPageBreak/>
        <w:t xml:space="preserve">constaté </w:t>
      </w:r>
      <w:r w:rsidR="00FF0E5A" w:rsidRPr="00D83B1F">
        <w:t>que</w:t>
      </w:r>
      <w:r w:rsidR="00CE6191" w:rsidRPr="00D83B1F">
        <w:t xml:space="preserve"> </w:t>
      </w:r>
      <w:r w:rsidRPr="00D83B1F">
        <w:t xml:space="preserve">les modèles </w:t>
      </w:r>
      <w:r w:rsidR="00FF0E5A" w:rsidRPr="00D83B1F">
        <w:t xml:space="preserve">types </w:t>
      </w:r>
      <w:r w:rsidRPr="00D83B1F">
        <w:t xml:space="preserve">pour les </w:t>
      </w:r>
      <w:r w:rsidR="00FF0E5A" w:rsidRPr="00D83B1F">
        <w:t>contributions volontaires, les fonds d</w:t>
      </w:r>
      <w:r w:rsidR="00CE6191" w:rsidRPr="00D83B1F">
        <w:t>'</w:t>
      </w:r>
      <w:r w:rsidR="00FF0E5A" w:rsidRPr="00D83B1F">
        <w:t xml:space="preserve">affectation spéciale </w:t>
      </w:r>
      <w:r w:rsidRPr="00D83B1F">
        <w:t xml:space="preserve">ou les parrainages </w:t>
      </w:r>
      <w:r w:rsidR="00874B1B" w:rsidRPr="00D83B1F">
        <w:t>n</w:t>
      </w:r>
      <w:r w:rsidR="00CE6191" w:rsidRPr="00D83B1F">
        <w:t>'</w:t>
      </w:r>
      <w:r w:rsidR="00874B1B" w:rsidRPr="00D83B1F">
        <w:t>ont</w:t>
      </w:r>
      <w:r w:rsidRPr="00D83B1F">
        <w:t xml:space="preserve"> pas </w:t>
      </w:r>
      <w:r w:rsidR="00874B1B" w:rsidRPr="00D83B1F">
        <w:t xml:space="preserve">toujours été </w:t>
      </w:r>
      <w:r w:rsidRPr="00D83B1F">
        <w:t>utilisés et qu</w:t>
      </w:r>
      <w:r w:rsidR="00CE6191" w:rsidRPr="00D83B1F">
        <w:t>'</w:t>
      </w:r>
      <w:r w:rsidRPr="00D83B1F">
        <w:t>il existe un risque concern</w:t>
      </w:r>
      <w:r w:rsidR="00AD03B5" w:rsidRPr="00D83B1F">
        <w:t>ant</w:t>
      </w:r>
      <w:r w:rsidRPr="00D83B1F">
        <w:t xml:space="preserve"> la sélection et la gestion des consultants. </w:t>
      </w:r>
      <w:r w:rsidR="00E52AE5" w:rsidRPr="00D83B1F">
        <w:t>S</w:t>
      </w:r>
      <w:r w:rsidR="00CE6191" w:rsidRPr="00D83B1F">
        <w:t>'</w:t>
      </w:r>
      <w:r w:rsidR="00E52AE5" w:rsidRPr="00D83B1F">
        <w:t>agissant de</w:t>
      </w:r>
      <w:r w:rsidRPr="00D83B1F">
        <w:t xml:space="preserve"> l</w:t>
      </w:r>
      <w:r w:rsidR="00CE6191" w:rsidRPr="00D83B1F">
        <w:t>'</w:t>
      </w:r>
      <w:r w:rsidRPr="00D83B1F">
        <w:t xml:space="preserve">évaluation des risques </w:t>
      </w:r>
      <w:r w:rsidR="00E52AE5" w:rsidRPr="00D83B1F">
        <w:t>relatifs aux</w:t>
      </w:r>
      <w:r w:rsidRPr="00D83B1F">
        <w:t xml:space="preserve"> </w:t>
      </w:r>
      <w:r w:rsidR="00E52AE5" w:rsidRPr="00D83B1F">
        <w:t>programmes, projets et activités supplémentaires</w:t>
      </w:r>
      <w:r w:rsidRPr="00D83B1F">
        <w:t xml:space="preserve">, il </w:t>
      </w:r>
      <w:r w:rsidR="00E52AE5" w:rsidRPr="00D83B1F">
        <w:t>n</w:t>
      </w:r>
      <w:r w:rsidR="00CE6191" w:rsidRPr="00D83B1F">
        <w:t>'</w:t>
      </w:r>
      <w:r w:rsidR="00E52AE5" w:rsidRPr="00D83B1F">
        <w:t>existe pas</w:t>
      </w:r>
      <w:r w:rsidRPr="00D83B1F">
        <w:t xml:space="preserve"> d</w:t>
      </w:r>
      <w:r w:rsidR="00CE6191" w:rsidRPr="00D83B1F">
        <w:t>'</w:t>
      </w:r>
      <w:r w:rsidRPr="00D83B1F">
        <w:t>identification</w:t>
      </w:r>
      <w:r w:rsidR="00E52AE5" w:rsidRPr="00D83B1F">
        <w:t xml:space="preserve">, </w:t>
      </w:r>
      <w:r w:rsidRPr="00D83B1F">
        <w:t>d</w:t>
      </w:r>
      <w:r w:rsidR="00CE6191" w:rsidRPr="00D83B1F">
        <w:t>'</w:t>
      </w:r>
      <w:r w:rsidRPr="00D83B1F">
        <w:t>évaluation</w:t>
      </w:r>
      <w:r w:rsidR="00E52AE5" w:rsidRPr="00D83B1F">
        <w:t xml:space="preserve"> ou </w:t>
      </w:r>
      <w:r w:rsidRPr="00D83B1F">
        <w:t>de suivi des risques spécifiques ou "</w:t>
      </w:r>
      <w:r w:rsidR="001759E2" w:rsidRPr="00D83B1F">
        <w:t>en temps réel</w:t>
      </w:r>
      <w:r w:rsidRPr="00D83B1F">
        <w:t xml:space="preserve">". Les évaluations des risques </w:t>
      </w:r>
      <w:r w:rsidR="00874B1B" w:rsidRPr="00D83B1F">
        <w:t>sont</w:t>
      </w:r>
      <w:r w:rsidRPr="00D83B1F">
        <w:t xml:space="preserve"> génériques dans certains accords de projet. L</w:t>
      </w:r>
      <w:r w:rsidR="00CE6191" w:rsidRPr="00D83B1F">
        <w:t>'</w:t>
      </w:r>
      <w:r w:rsidRPr="00D83B1F">
        <w:t xml:space="preserve">absence de processus de gestion des risques </w:t>
      </w:r>
      <w:r w:rsidR="001759E2" w:rsidRPr="00D83B1F">
        <w:t>risque de nuire à</w:t>
      </w:r>
      <w:r w:rsidRPr="00D83B1F">
        <w:t xml:space="preserve"> la mise en œuvre des </w:t>
      </w:r>
      <w:r w:rsidR="001759E2" w:rsidRPr="00D83B1F">
        <w:t>programmes, projets et activités supplémentaires.</w:t>
      </w:r>
      <w:r w:rsidR="0076130C" w:rsidRPr="00D83B1F">
        <w:t xml:space="preserve"> En outre, pour certains programmes, projets et activités supplémentaires examinés, il a été difficile de trouver des informations </w:t>
      </w:r>
      <w:r w:rsidR="004B1AD6" w:rsidRPr="00D83B1F">
        <w:t>générales</w:t>
      </w:r>
      <w:r w:rsidR="0076130C" w:rsidRPr="00D83B1F">
        <w:t xml:space="preserve"> et </w:t>
      </w:r>
      <w:r w:rsidR="004B1AD6" w:rsidRPr="00D83B1F">
        <w:t>l</w:t>
      </w:r>
      <w:r w:rsidR="00CE6191" w:rsidRPr="00D83B1F">
        <w:t>'</w:t>
      </w:r>
      <w:r w:rsidR="004B1AD6" w:rsidRPr="00D83B1F">
        <w:t>Unité de l</w:t>
      </w:r>
      <w:r w:rsidR="00CE6191" w:rsidRPr="00D83B1F">
        <w:t>'</w:t>
      </w:r>
      <w:r w:rsidR="004B1AD6" w:rsidRPr="00D83B1F">
        <w:t>audit interne</w:t>
      </w:r>
      <w:r w:rsidR="0076130C" w:rsidRPr="00D83B1F">
        <w:t xml:space="preserve"> a constaté que les outils d</w:t>
      </w:r>
      <w:r w:rsidR="00CE6191" w:rsidRPr="00D83B1F">
        <w:t>'</w:t>
      </w:r>
      <w:r w:rsidR="0076130C" w:rsidRPr="00D83B1F">
        <w:t xml:space="preserve">information et de communication liés aux </w:t>
      </w:r>
      <w:r w:rsidR="00834C54" w:rsidRPr="00D83B1F">
        <w:t xml:space="preserve">programmes, projets et activités supplémentaires </w:t>
      </w:r>
      <w:r w:rsidR="0076130C" w:rsidRPr="00D83B1F">
        <w:t>faisant l</w:t>
      </w:r>
      <w:r w:rsidR="00CE6191" w:rsidRPr="00D83B1F">
        <w:t>'</w:t>
      </w:r>
      <w:r w:rsidR="0076130C" w:rsidRPr="00D83B1F">
        <w:t>objet de l</w:t>
      </w:r>
      <w:r w:rsidR="00CE6191" w:rsidRPr="00D83B1F">
        <w:t>'</w:t>
      </w:r>
      <w:r w:rsidR="0076130C" w:rsidRPr="00D83B1F">
        <w:t xml:space="preserve">audit </w:t>
      </w:r>
      <w:r w:rsidR="00D02FEE" w:rsidRPr="00D83B1F">
        <w:t>étaient</w:t>
      </w:r>
      <w:r w:rsidR="0076130C" w:rsidRPr="00D83B1F">
        <w:t xml:space="preserve"> inefficaces et ne </w:t>
      </w:r>
      <w:r w:rsidR="00D02FEE" w:rsidRPr="00D83B1F">
        <w:t>pouvaient</w:t>
      </w:r>
      <w:r w:rsidR="0076130C" w:rsidRPr="00D83B1F">
        <w:t xml:space="preserve"> être considérés comme </w:t>
      </w:r>
      <w:r w:rsidR="00874B1B" w:rsidRPr="00D83B1F">
        <w:t xml:space="preserve">permettant </w:t>
      </w:r>
      <w:r w:rsidR="0076130C" w:rsidRPr="00D83B1F">
        <w:t xml:space="preserve">de soutenir pleinement les objectifs des </w:t>
      </w:r>
      <w:r w:rsidR="00E2721B" w:rsidRPr="00D83B1F">
        <w:t xml:space="preserve">programmes, projets et activités supplémentaires. Il a été </w:t>
      </w:r>
      <w:r w:rsidR="00E2721B" w:rsidRPr="00D83B1F">
        <w:rPr>
          <w:u w:val="single"/>
        </w:rPr>
        <w:t>recommandé</w:t>
      </w:r>
      <w:r w:rsidR="00E2721B" w:rsidRPr="00D83B1F">
        <w:t xml:space="preserve"> d</w:t>
      </w:r>
      <w:r w:rsidR="00CE6191" w:rsidRPr="00D83B1F">
        <w:t>'</w:t>
      </w:r>
      <w:r w:rsidR="00E2721B" w:rsidRPr="00D83B1F">
        <w:t xml:space="preserve">identifier et de mettre en œuvre des outils de documentation et de communication </w:t>
      </w:r>
      <w:r w:rsidR="00FC6AFB" w:rsidRPr="00D83B1F">
        <w:t xml:space="preserve">appropriés </w:t>
      </w:r>
      <w:r w:rsidR="00E2721B" w:rsidRPr="00D83B1F">
        <w:t>permettant de mieux soutenir l</w:t>
      </w:r>
      <w:r w:rsidR="00CE6191" w:rsidRPr="00D83B1F">
        <w:t>'</w:t>
      </w:r>
      <w:r w:rsidR="00E2721B" w:rsidRPr="00D83B1F">
        <w:t xml:space="preserve">accès </w:t>
      </w:r>
      <w:r w:rsidR="00487577" w:rsidRPr="00D83B1F">
        <w:t>à l</w:t>
      </w:r>
      <w:r w:rsidR="00CE6191" w:rsidRPr="00D83B1F">
        <w:t>'</w:t>
      </w:r>
      <w:r w:rsidR="00487577" w:rsidRPr="00D83B1F">
        <w:t xml:space="preserve">information </w:t>
      </w:r>
      <w:r w:rsidR="00E2721B" w:rsidRPr="00D83B1F">
        <w:t>et le flux d</w:t>
      </w:r>
      <w:r w:rsidR="00CE6191" w:rsidRPr="00D83B1F">
        <w:t>'</w:t>
      </w:r>
      <w:r w:rsidR="00E2721B" w:rsidRPr="00D83B1F">
        <w:t xml:space="preserve">information </w:t>
      </w:r>
      <w:r w:rsidR="00D87949" w:rsidRPr="00D83B1F">
        <w:t>concernant les</w:t>
      </w:r>
      <w:r w:rsidR="00487577" w:rsidRPr="00D83B1F">
        <w:t xml:space="preserve"> programmes, projets et activités supplémentaires </w:t>
      </w:r>
      <w:r w:rsidR="00E2721B" w:rsidRPr="00D83B1F">
        <w:t xml:space="preserve">(y compris un </w:t>
      </w:r>
      <w:r w:rsidR="00487577" w:rsidRPr="00D83B1F">
        <w:t xml:space="preserve">répertoire institutionnel </w:t>
      </w:r>
      <w:r w:rsidR="00E2721B" w:rsidRPr="00D83B1F">
        <w:t xml:space="preserve">central </w:t>
      </w:r>
      <w:r w:rsidR="00874B1B" w:rsidRPr="00D83B1F">
        <w:t xml:space="preserve">rassemblant les </w:t>
      </w:r>
      <w:r w:rsidR="00E2721B" w:rsidRPr="00D83B1F">
        <w:t xml:space="preserve">documents et </w:t>
      </w:r>
      <w:r w:rsidR="00874B1B" w:rsidRPr="00D83B1F">
        <w:t xml:space="preserve">les </w:t>
      </w:r>
      <w:r w:rsidR="00E2721B" w:rsidRPr="00D83B1F">
        <w:t xml:space="preserve">informations </w:t>
      </w:r>
      <w:r w:rsidR="0006472C" w:rsidRPr="00D83B1F">
        <w:t>concernant</w:t>
      </w:r>
      <w:r w:rsidR="00E2721B" w:rsidRPr="00D83B1F">
        <w:t xml:space="preserve"> </w:t>
      </w:r>
      <w:r w:rsidR="0006472C" w:rsidRPr="00D83B1F">
        <w:t>les programmes, projets et activités supplémentaires</w:t>
      </w:r>
      <w:r w:rsidR="00E2721B" w:rsidRPr="00D83B1F">
        <w:t>).</w:t>
      </w:r>
    </w:p>
    <w:p w14:paraId="6E659E45" w14:textId="6034EF66" w:rsidR="006F1695" w:rsidRPr="00D83B1F" w:rsidRDefault="0006472C" w:rsidP="0010458B">
      <w:r w:rsidRPr="00D83B1F">
        <w:t>Enfin, l</w:t>
      </w:r>
      <w:r w:rsidR="00CE6191" w:rsidRPr="00D83B1F">
        <w:t>'</w:t>
      </w:r>
      <w:r w:rsidRPr="00D83B1F">
        <w:t>Unité de l</w:t>
      </w:r>
      <w:r w:rsidR="00CE6191" w:rsidRPr="00D83B1F">
        <w:t>'</w:t>
      </w:r>
      <w:r w:rsidRPr="00D83B1F">
        <w:t xml:space="preserve">audit interne a </w:t>
      </w:r>
      <w:r w:rsidR="007B2371" w:rsidRPr="00D83B1F">
        <w:t>noté</w:t>
      </w:r>
      <w:r w:rsidRPr="00D83B1F">
        <w:t xml:space="preserve"> que les contrôles internes </w:t>
      </w:r>
      <w:r w:rsidR="00CC7C11" w:rsidRPr="00D83B1F">
        <w:t>relatifs à</w:t>
      </w:r>
      <w:r w:rsidRPr="00D83B1F">
        <w:t xml:space="preserve"> la gestion financ</w:t>
      </w:r>
      <w:r w:rsidR="00290954" w:rsidRPr="00D83B1F">
        <w:t>ièr</w:t>
      </w:r>
      <w:r w:rsidRPr="00D83B1F">
        <w:t>e et</w:t>
      </w:r>
      <w:r w:rsidR="00290954" w:rsidRPr="00D83B1F">
        <w:t xml:space="preserve"> la gestion</w:t>
      </w:r>
      <w:r w:rsidRPr="00D83B1F">
        <w:t xml:space="preserve"> des actifs, </w:t>
      </w:r>
      <w:r w:rsidR="00CC7C11" w:rsidRPr="00D83B1F">
        <w:t>aux</w:t>
      </w:r>
      <w:r w:rsidRPr="00D83B1F">
        <w:t xml:space="preserve"> </w:t>
      </w:r>
      <w:r w:rsidR="00290954" w:rsidRPr="00D83B1F">
        <w:t xml:space="preserve">déplacements </w:t>
      </w:r>
      <w:r w:rsidRPr="00D83B1F">
        <w:t xml:space="preserve">des experts et </w:t>
      </w:r>
      <w:r w:rsidR="00CC7C11" w:rsidRPr="00D83B1F">
        <w:t>aux</w:t>
      </w:r>
      <w:r w:rsidRPr="00D83B1F">
        <w:t xml:space="preserve"> bourses </w:t>
      </w:r>
      <w:r w:rsidR="00290954" w:rsidRPr="00D83B1F">
        <w:t xml:space="preserve">pour </w:t>
      </w:r>
      <w:r w:rsidR="00CC7C11" w:rsidRPr="00D83B1F">
        <w:t>les programmes, projets et activités supplémentaires</w:t>
      </w:r>
      <w:r w:rsidRPr="00D83B1F">
        <w:t xml:space="preserve"> faisant l</w:t>
      </w:r>
      <w:r w:rsidR="00CE6191" w:rsidRPr="00D83B1F">
        <w:t>'</w:t>
      </w:r>
      <w:r w:rsidRPr="00D83B1F">
        <w:t>objet de l</w:t>
      </w:r>
      <w:r w:rsidR="00CE6191" w:rsidRPr="00D83B1F">
        <w:t>'</w:t>
      </w:r>
      <w:r w:rsidRPr="00D83B1F">
        <w:t xml:space="preserve">audit </w:t>
      </w:r>
      <w:r w:rsidR="00CC7C11" w:rsidRPr="00D83B1F">
        <w:t>étaient</w:t>
      </w:r>
      <w:r w:rsidRPr="00D83B1F">
        <w:t xml:space="preserve"> partiellement efficaces. Les contrôles internes </w:t>
      </w:r>
      <w:r w:rsidR="00CC7C11" w:rsidRPr="00D83B1F">
        <w:t>concernant les</w:t>
      </w:r>
      <w:r w:rsidRPr="00D83B1F">
        <w:t xml:space="preserve"> consultants sont inefficaces. </w:t>
      </w:r>
      <w:r w:rsidR="009C6F97" w:rsidRPr="00D83B1F">
        <w:t>De même que</w:t>
      </w:r>
      <w:r w:rsidR="00CC7C11" w:rsidRPr="00D83B1F">
        <w:t xml:space="preserve"> l</w:t>
      </w:r>
      <w:r w:rsidR="00CE6191" w:rsidRPr="00D83B1F">
        <w:t>'</w:t>
      </w:r>
      <w:r w:rsidR="00CC7C11" w:rsidRPr="00D83B1F">
        <w:t>Unité de l</w:t>
      </w:r>
      <w:r w:rsidR="00CE6191" w:rsidRPr="00D83B1F">
        <w:t>'</w:t>
      </w:r>
      <w:r w:rsidR="00CC7C11" w:rsidRPr="00D83B1F">
        <w:t xml:space="preserve">audit interne avait déjà </w:t>
      </w:r>
      <w:r w:rsidR="009C6F97" w:rsidRPr="00D83B1F">
        <w:t xml:space="preserve">préconisé, dans une recommandation qualifiée et hautement prioritaire formulée </w:t>
      </w:r>
      <w:r w:rsidR="00434510" w:rsidRPr="00D83B1F">
        <w:t>lors d</w:t>
      </w:r>
      <w:r w:rsidR="00CE6191" w:rsidRPr="00D83B1F">
        <w:t>'</w:t>
      </w:r>
      <w:r w:rsidR="00434510" w:rsidRPr="00D83B1F">
        <w:t>une activité d</w:t>
      </w:r>
      <w:r w:rsidR="00CE6191" w:rsidRPr="00D83B1F">
        <w:t>'</w:t>
      </w:r>
      <w:r w:rsidR="00434510" w:rsidRPr="00D83B1F">
        <w:t>audit précédente</w:t>
      </w:r>
      <w:r w:rsidRPr="00D83B1F">
        <w:t xml:space="preserve">, de renforcer les contrôles relatifs aux </w:t>
      </w:r>
      <w:r w:rsidR="00434510" w:rsidRPr="00D83B1F">
        <w:t xml:space="preserve">contrats </w:t>
      </w:r>
      <w:r w:rsidRPr="00D83B1F">
        <w:t xml:space="preserve">SSA, </w:t>
      </w:r>
      <w:r w:rsidR="00434510" w:rsidRPr="00D83B1F">
        <w:t>elle</w:t>
      </w:r>
      <w:r w:rsidRPr="00D83B1F">
        <w:t xml:space="preserve"> a réitéré la recommandation </w:t>
      </w:r>
      <w:r w:rsidR="002F4F8B" w:rsidRPr="00D83B1F">
        <w:t>visant à</w:t>
      </w:r>
      <w:r w:rsidRPr="00D83B1F">
        <w:t xml:space="preserve"> </w:t>
      </w:r>
      <w:r w:rsidR="009C6F97" w:rsidRPr="00D83B1F">
        <w:t>examiner le</w:t>
      </w:r>
      <w:r w:rsidRPr="00D83B1F">
        <w:t xml:space="preserve"> besoin urgent et essentiel </w:t>
      </w:r>
      <w:r w:rsidR="009C6F97" w:rsidRPr="00D83B1F">
        <w:t>de disposer</w:t>
      </w:r>
      <w:r w:rsidR="00E12896" w:rsidRPr="00D83B1F">
        <w:t xml:space="preserve"> de</w:t>
      </w:r>
      <w:r w:rsidRPr="00D83B1F">
        <w:t xml:space="preserve"> procédures et </w:t>
      </w:r>
      <w:r w:rsidR="00E12896" w:rsidRPr="00D83B1F">
        <w:t>de</w:t>
      </w:r>
      <w:r w:rsidRPr="00D83B1F">
        <w:t xml:space="preserve"> pratiques </w:t>
      </w:r>
      <w:r w:rsidR="009C6F97" w:rsidRPr="00D83B1F">
        <w:t>permettant</w:t>
      </w:r>
      <w:r w:rsidR="00DC1875" w:rsidRPr="00D83B1F">
        <w:t xml:space="preserve"> à</w:t>
      </w:r>
      <w:r w:rsidRPr="00D83B1F">
        <w:t xml:space="preserve"> l</w:t>
      </w:r>
      <w:r w:rsidR="00CE6191" w:rsidRPr="00D83B1F">
        <w:t>'</w:t>
      </w:r>
      <w:r w:rsidRPr="00D83B1F">
        <w:t xml:space="preserve">Union </w:t>
      </w:r>
      <w:r w:rsidR="00DC1875" w:rsidRPr="00D83B1F">
        <w:t>de</w:t>
      </w:r>
      <w:r w:rsidRPr="00D83B1F">
        <w:t xml:space="preserve"> </w:t>
      </w:r>
      <w:r w:rsidR="00DC1875" w:rsidRPr="00D83B1F">
        <w:t>traiter</w:t>
      </w:r>
      <w:r w:rsidRPr="00D83B1F">
        <w:t xml:space="preserve"> de manière adéquate le recrutement</w:t>
      </w:r>
      <w:r w:rsidR="008D54AB" w:rsidRPr="00D83B1F">
        <w:t xml:space="preserve"> de personnes au bénéfice de contrats SSA</w:t>
      </w:r>
      <w:r w:rsidRPr="00D83B1F">
        <w:t xml:space="preserve"> et la gestion </w:t>
      </w:r>
      <w:r w:rsidR="00DC1875" w:rsidRPr="00D83B1F">
        <w:t>de</w:t>
      </w:r>
      <w:r w:rsidR="008D54AB" w:rsidRPr="00D83B1F">
        <w:t xml:space="preserve"> ce</w:t>
      </w:r>
      <w:r w:rsidR="00DC1875" w:rsidRPr="00D83B1F">
        <w:t>s contrats</w:t>
      </w:r>
      <w:r w:rsidRPr="00D83B1F">
        <w:t xml:space="preserve">. Il a également été recommandé de renforcer les contrôles dans les différents domaines susmentionnés et </w:t>
      </w:r>
      <w:r w:rsidR="00B71008" w:rsidRPr="00D83B1F">
        <w:t>d</w:t>
      </w:r>
      <w:r w:rsidR="00CE6191" w:rsidRPr="00D83B1F">
        <w:t>'</w:t>
      </w:r>
      <w:r w:rsidR="006A7262" w:rsidRPr="00D83B1F">
        <w:t>apurer</w:t>
      </w:r>
      <w:r w:rsidR="00B71008" w:rsidRPr="00D83B1F">
        <w:t xml:space="preserve"> </w:t>
      </w:r>
      <w:r w:rsidRPr="00D83B1F">
        <w:t>les fonds restants relatifs aux projets clôturés.</w:t>
      </w:r>
    </w:p>
    <w:p w14:paraId="6DDA70D9" w14:textId="1E02A0F2" w:rsidR="007A57CC" w:rsidRPr="00D83B1F" w:rsidRDefault="006F1695" w:rsidP="0010458B">
      <w:r w:rsidRPr="00D83B1F">
        <w:t>13</w:t>
      </w:r>
      <w:r w:rsidRPr="00D83B1F">
        <w:tab/>
      </w:r>
      <w:r w:rsidR="00B71008" w:rsidRPr="00D83B1F">
        <w:t>La direction a accepté les recommandations et a indiqué qu</w:t>
      </w:r>
      <w:r w:rsidR="00CE6191" w:rsidRPr="00D83B1F">
        <w:t>'</w:t>
      </w:r>
      <w:r w:rsidR="00B71008" w:rsidRPr="00D83B1F">
        <w:t>elle s</w:t>
      </w:r>
      <w:r w:rsidR="00CE6191" w:rsidRPr="00D83B1F">
        <w:t>'</w:t>
      </w:r>
      <w:r w:rsidR="00B71008" w:rsidRPr="00D83B1F">
        <w:t>engageait à les mettre en œuvre rapidement</w:t>
      </w:r>
      <w:r w:rsidRPr="00D83B1F">
        <w:t>.</w:t>
      </w:r>
    </w:p>
    <w:p w14:paraId="39DCA3B9" w14:textId="7FBFCAF7" w:rsidR="009C0949" w:rsidRPr="00D83B1F" w:rsidRDefault="009C0949" w:rsidP="00AD06DC">
      <w:pPr>
        <w:pStyle w:val="Headingb"/>
        <w:keepNext w:val="0"/>
        <w:keepLines w:val="0"/>
        <w:spacing w:before="120"/>
      </w:pPr>
      <w:r w:rsidRPr="00D83B1F">
        <w:t>Services de conseil de l</w:t>
      </w:r>
      <w:r w:rsidR="00CE6191" w:rsidRPr="00D83B1F">
        <w:t>'</w:t>
      </w:r>
      <w:r w:rsidRPr="00D83B1F">
        <w:t>Unité de l</w:t>
      </w:r>
      <w:r w:rsidR="00CE6191" w:rsidRPr="00D83B1F">
        <w:t>'</w:t>
      </w:r>
      <w:r w:rsidRPr="00D83B1F">
        <w:t>audit interne</w:t>
      </w:r>
    </w:p>
    <w:p w14:paraId="1AFBD523" w14:textId="58398FDA" w:rsidR="009C0949" w:rsidRPr="00D83B1F" w:rsidRDefault="00FE0749" w:rsidP="00AD06DC">
      <w:pPr>
        <w:pStyle w:val="Headingb"/>
        <w:rPr>
          <w:i/>
          <w:iCs/>
        </w:rPr>
      </w:pPr>
      <w:r w:rsidRPr="00D83B1F">
        <w:rPr>
          <w:i/>
          <w:iCs/>
        </w:rPr>
        <w:t>Vérification juricomptable</w:t>
      </w:r>
    </w:p>
    <w:p w14:paraId="24DCE5D9" w14:textId="1549AD7B" w:rsidR="001D5092" w:rsidRPr="00D83B1F" w:rsidRDefault="009C0949" w:rsidP="00AD06DC">
      <w:pPr>
        <w:rPr>
          <w:rFonts w:cs="Calibri"/>
          <w:szCs w:val="24"/>
        </w:rPr>
      </w:pPr>
      <w:r w:rsidRPr="00D83B1F">
        <w:rPr>
          <w:rFonts w:cstheme="minorHAnsi"/>
          <w:color w:val="000000"/>
          <w:szCs w:val="24"/>
        </w:rPr>
        <w:t>1</w:t>
      </w:r>
      <w:r w:rsidR="001D5092" w:rsidRPr="00D83B1F">
        <w:rPr>
          <w:rFonts w:cstheme="minorHAnsi"/>
          <w:color w:val="000000"/>
          <w:szCs w:val="24"/>
        </w:rPr>
        <w:t>4</w:t>
      </w:r>
      <w:r w:rsidRPr="00D83B1F">
        <w:rPr>
          <w:rFonts w:cstheme="minorHAnsi"/>
          <w:color w:val="000000"/>
          <w:szCs w:val="24"/>
        </w:rPr>
        <w:tab/>
        <w:t xml:space="preserve">À sa session de 2019, le Conseil a adopté la </w:t>
      </w:r>
      <w:hyperlink r:id="rId9" w:history="1">
        <w:r w:rsidR="009E0AFE" w:rsidRPr="00D83B1F">
          <w:rPr>
            <w:rStyle w:val="Hyperlink"/>
            <w:rFonts w:cstheme="minorHAnsi"/>
            <w:szCs w:val="24"/>
          </w:rPr>
          <w:t>Décision 613</w:t>
        </w:r>
      </w:hyperlink>
      <w:r w:rsidRPr="00D83B1F">
        <w:rPr>
          <w:rFonts w:cstheme="minorHAnsi"/>
          <w:color w:val="000000"/>
          <w:szCs w:val="24"/>
        </w:rPr>
        <w:t>, par laquelle le Secrétaire général est chargé de procéder à une vérification juricomptable</w:t>
      </w:r>
      <w:r w:rsidRPr="00D83B1F">
        <w:rPr>
          <w:rFonts w:cs="Calibri"/>
          <w:szCs w:val="24"/>
        </w:rPr>
        <w:t>.</w:t>
      </w:r>
      <w:r w:rsidR="00D90AD4" w:rsidRPr="00D83B1F">
        <w:rPr>
          <w:rFonts w:cs="Calibri"/>
          <w:szCs w:val="24"/>
        </w:rPr>
        <w:t xml:space="preserve"> </w:t>
      </w:r>
      <w:r w:rsidR="0037525D" w:rsidRPr="00D83B1F">
        <w:rPr>
          <w:rFonts w:cs="Calibri"/>
          <w:szCs w:val="24"/>
        </w:rPr>
        <w:t>Une entreprise extérieure spécialisée dans les enquêtes sur la criminalité financière a été recrutée en janvier 2021 et a procédé à la vérification juricomptable, l</w:t>
      </w:r>
      <w:r w:rsidR="00CE6191" w:rsidRPr="00D83B1F">
        <w:rPr>
          <w:rFonts w:cs="Calibri"/>
          <w:szCs w:val="24"/>
        </w:rPr>
        <w:t>'</w:t>
      </w:r>
      <w:r w:rsidR="0037525D" w:rsidRPr="00D83B1F">
        <w:rPr>
          <w:rFonts w:cs="Calibri"/>
          <w:szCs w:val="24"/>
        </w:rPr>
        <w:t>Unité de l</w:t>
      </w:r>
      <w:r w:rsidR="00CE6191" w:rsidRPr="00D83B1F">
        <w:rPr>
          <w:rFonts w:cs="Calibri"/>
          <w:szCs w:val="24"/>
        </w:rPr>
        <w:t>'</w:t>
      </w:r>
      <w:r w:rsidR="0037525D" w:rsidRPr="00D83B1F">
        <w:rPr>
          <w:rFonts w:cs="Calibri"/>
          <w:szCs w:val="24"/>
        </w:rPr>
        <w:t xml:space="preserve">audit interne assumant les fonctions de coordonnateur du Secrétariat. Le </w:t>
      </w:r>
      <w:r w:rsidR="000232BF" w:rsidRPr="00D83B1F">
        <w:rPr>
          <w:rFonts w:cs="Calibri"/>
          <w:szCs w:val="24"/>
        </w:rPr>
        <w:t>cabinet de conseil PwC</w:t>
      </w:r>
      <w:r w:rsidR="0037525D" w:rsidRPr="00D83B1F">
        <w:rPr>
          <w:rFonts w:cs="Calibri"/>
          <w:szCs w:val="24"/>
        </w:rPr>
        <w:t xml:space="preserve"> a présenté son </w:t>
      </w:r>
      <w:r w:rsidR="000232BF" w:rsidRPr="00D83B1F">
        <w:rPr>
          <w:rFonts w:cs="Calibri"/>
          <w:szCs w:val="24"/>
        </w:rPr>
        <w:t xml:space="preserve">rapport de vérification juricomptable </w:t>
      </w:r>
      <w:r w:rsidR="00005133" w:rsidRPr="00D83B1F">
        <w:rPr>
          <w:rFonts w:cs="Calibri"/>
          <w:szCs w:val="24"/>
        </w:rPr>
        <w:t>à la consultation virtuelle des Conseillers de 2021</w:t>
      </w:r>
      <w:r w:rsidR="0037525D" w:rsidRPr="00D83B1F">
        <w:rPr>
          <w:rFonts w:cs="Calibri"/>
          <w:szCs w:val="24"/>
        </w:rPr>
        <w:t xml:space="preserve"> et a déclaré qu</w:t>
      </w:r>
      <w:r w:rsidR="00CE6191" w:rsidRPr="00D83B1F">
        <w:rPr>
          <w:rFonts w:cs="Calibri"/>
          <w:szCs w:val="24"/>
        </w:rPr>
        <w:t>'</w:t>
      </w:r>
      <w:r w:rsidR="0037525D" w:rsidRPr="00D83B1F">
        <w:rPr>
          <w:rFonts w:cs="Calibri"/>
          <w:szCs w:val="24"/>
        </w:rPr>
        <w:t xml:space="preserve">un rapport final serait disponible en septembre 2021 et compléterait les conclusions </w:t>
      </w:r>
      <w:r w:rsidR="00005133" w:rsidRPr="00D83B1F">
        <w:rPr>
          <w:rFonts w:cs="Calibri"/>
          <w:szCs w:val="24"/>
        </w:rPr>
        <w:t xml:space="preserve">figurant dans le </w:t>
      </w:r>
      <w:r w:rsidR="0037525D" w:rsidRPr="00D83B1F">
        <w:rPr>
          <w:rFonts w:cs="Calibri"/>
          <w:szCs w:val="24"/>
        </w:rPr>
        <w:t>rapport sur l</w:t>
      </w:r>
      <w:r w:rsidR="00CE6191" w:rsidRPr="00D83B1F">
        <w:rPr>
          <w:rFonts w:cs="Calibri"/>
          <w:szCs w:val="24"/>
        </w:rPr>
        <w:t>'</w:t>
      </w:r>
      <w:r w:rsidR="0037525D" w:rsidRPr="00D83B1F">
        <w:rPr>
          <w:rFonts w:cs="Calibri"/>
          <w:szCs w:val="24"/>
        </w:rPr>
        <w:t xml:space="preserve">examen initial. Le rapport final </w:t>
      </w:r>
      <w:r w:rsidR="00896D44" w:rsidRPr="00D83B1F">
        <w:rPr>
          <w:rFonts w:cs="Calibri"/>
          <w:szCs w:val="24"/>
        </w:rPr>
        <w:t xml:space="preserve">de vérification juricomptable établi par </w:t>
      </w:r>
      <w:r w:rsidR="0037525D" w:rsidRPr="00D83B1F">
        <w:rPr>
          <w:rFonts w:cs="Calibri"/>
          <w:szCs w:val="24"/>
        </w:rPr>
        <w:t>PwC a été présenté lors de la 14</w:t>
      </w:r>
      <w:r w:rsidR="00AD06DC" w:rsidRPr="00D83B1F">
        <w:rPr>
          <w:rFonts w:cs="Calibri"/>
          <w:szCs w:val="24"/>
        </w:rPr>
        <w:t>ème</w:t>
      </w:r>
      <w:r w:rsidR="0037525D" w:rsidRPr="00D83B1F">
        <w:rPr>
          <w:rFonts w:cs="Calibri"/>
          <w:szCs w:val="24"/>
        </w:rPr>
        <w:t xml:space="preserve"> réunion du </w:t>
      </w:r>
      <w:r w:rsidR="00896D44" w:rsidRPr="00D83B1F">
        <w:rPr>
          <w:rFonts w:cs="Calibri"/>
          <w:szCs w:val="24"/>
        </w:rPr>
        <w:t>Groupe de travail du Conseil sur les ressources financières et les ressources humaines (GTC</w:t>
      </w:r>
      <w:r w:rsidR="00AD06DC" w:rsidRPr="00D83B1F">
        <w:rPr>
          <w:rFonts w:cs="Calibri"/>
          <w:szCs w:val="24"/>
        </w:rPr>
        <w:noBreakHyphen/>
      </w:r>
      <w:r w:rsidR="00896D44" w:rsidRPr="00D83B1F">
        <w:rPr>
          <w:rFonts w:cs="Calibri"/>
          <w:szCs w:val="24"/>
        </w:rPr>
        <w:t>FHR)</w:t>
      </w:r>
      <w:r w:rsidR="0037525D" w:rsidRPr="00D83B1F">
        <w:rPr>
          <w:rFonts w:cs="Calibri"/>
          <w:szCs w:val="24"/>
        </w:rPr>
        <w:t>, qui s</w:t>
      </w:r>
      <w:r w:rsidR="00CE6191" w:rsidRPr="00D83B1F">
        <w:rPr>
          <w:rFonts w:cs="Calibri"/>
          <w:szCs w:val="24"/>
        </w:rPr>
        <w:t>'</w:t>
      </w:r>
      <w:r w:rsidR="0037525D" w:rsidRPr="00D83B1F">
        <w:rPr>
          <w:rFonts w:cs="Calibri"/>
          <w:szCs w:val="24"/>
        </w:rPr>
        <w:t xml:space="preserve">est tenue </w:t>
      </w:r>
      <w:r w:rsidR="00896D44" w:rsidRPr="00D83B1F">
        <w:rPr>
          <w:rFonts w:cs="Calibri"/>
          <w:szCs w:val="24"/>
        </w:rPr>
        <w:t xml:space="preserve">de manière virtuelle </w:t>
      </w:r>
      <w:r w:rsidR="0037525D" w:rsidRPr="00D83B1F">
        <w:rPr>
          <w:rFonts w:cs="Calibri"/>
          <w:szCs w:val="24"/>
        </w:rPr>
        <w:t xml:space="preserve">les 20 et 21 septembre 2021. Il a été conclu que le Secrétariat </w:t>
      </w:r>
      <w:r w:rsidR="0062066F" w:rsidRPr="00D83B1F">
        <w:rPr>
          <w:rFonts w:cs="Calibri"/>
          <w:szCs w:val="24"/>
        </w:rPr>
        <w:t xml:space="preserve">fournirait des </w:t>
      </w:r>
      <w:r w:rsidR="00965CB1" w:rsidRPr="00D83B1F">
        <w:rPr>
          <w:rFonts w:cs="Calibri"/>
          <w:szCs w:val="24"/>
        </w:rPr>
        <w:t>informations</w:t>
      </w:r>
      <w:r w:rsidR="0062066F" w:rsidRPr="00D83B1F">
        <w:rPr>
          <w:rFonts w:cs="Calibri"/>
          <w:szCs w:val="24"/>
        </w:rPr>
        <w:t xml:space="preserve"> actualisé</w:t>
      </w:r>
      <w:r w:rsidR="00965CB1" w:rsidRPr="00D83B1F">
        <w:rPr>
          <w:rFonts w:cs="Calibri"/>
          <w:szCs w:val="24"/>
        </w:rPr>
        <w:t>e</w:t>
      </w:r>
      <w:r w:rsidR="0062066F" w:rsidRPr="00D83B1F">
        <w:rPr>
          <w:rFonts w:cs="Calibri"/>
          <w:szCs w:val="24"/>
        </w:rPr>
        <w:t>s à</w:t>
      </w:r>
      <w:r w:rsidR="0037525D" w:rsidRPr="00D83B1F">
        <w:rPr>
          <w:rFonts w:cs="Calibri"/>
          <w:szCs w:val="24"/>
        </w:rPr>
        <w:t xml:space="preserve"> la </w:t>
      </w:r>
      <w:r w:rsidR="0062066F" w:rsidRPr="00D83B1F">
        <w:rPr>
          <w:rFonts w:cs="Calibri"/>
          <w:szCs w:val="24"/>
        </w:rPr>
        <w:t>prochaine réunion du GTC-FHR</w:t>
      </w:r>
      <w:r w:rsidR="0037525D" w:rsidRPr="00D83B1F">
        <w:rPr>
          <w:rFonts w:cs="Calibri"/>
          <w:szCs w:val="24"/>
        </w:rPr>
        <w:t xml:space="preserve"> </w:t>
      </w:r>
      <w:r w:rsidR="0062066F" w:rsidRPr="00D83B1F">
        <w:rPr>
          <w:rFonts w:cs="Calibri"/>
          <w:szCs w:val="24"/>
        </w:rPr>
        <w:t xml:space="preserve">en ce qui </w:t>
      </w:r>
      <w:r w:rsidR="00AD06DC" w:rsidRPr="00D83B1F">
        <w:rPr>
          <w:rFonts w:cs="Calibri"/>
          <w:szCs w:val="24"/>
        </w:rPr>
        <w:br w:type="page"/>
      </w:r>
      <w:r w:rsidR="0062066F" w:rsidRPr="00D83B1F">
        <w:rPr>
          <w:rFonts w:cs="Calibri"/>
          <w:szCs w:val="24"/>
        </w:rPr>
        <w:lastRenderedPageBreak/>
        <w:t>concerne le</w:t>
      </w:r>
      <w:r w:rsidR="0037525D" w:rsidRPr="00D83B1F">
        <w:rPr>
          <w:rFonts w:cs="Calibri"/>
          <w:szCs w:val="24"/>
        </w:rPr>
        <w:t xml:space="preserve"> suivi des </w:t>
      </w:r>
      <w:r w:rsidR="00837777" w:rsidRPr="00D83B1F">
        <w:rPr>
          <w:rFonts w:cs="Calibri"/>
          <w:szCs w:val="24"/>
        </w:rPr>
        <w:t>mesures</w:t>
      </w:r>
      <w:r w:rsidR="0037525D" w:rsidRPr="00D83B1F">
        <w:rPr>
          <w:rFonts w:cs="Calibri"/>
          <w:szCs w:val="24"/>
        </w:rPr>
        <w:t xml:space="preserve">. </w:t>
      </w:r>
      <w:r w:rsidR="00837777" w:rsidRPr="00D83B1F">
        <w:rPr>
          <w:rFonts w:cs="Calibri"/>
          <w:szCs w:val="24"/>
        </w:rPr>
        <w:t>L</w:t>
      </w:r>
      <w:r w:rsidR="00CE6191" w:rsidRPr="00D83B1F">
        <w:rPr>
          <w:rFonts w:cs="Calibri"/>
          <w:szCs w:val="24"/>
        </w:rPr>
        <w:t>'</w:t>
      </w:r>
      <w:r w:rsidR="00837777" w:rsidRPr="00D83B1F">
        <w:rPr>
          <w:rFonts w:cs="Calibri"/>
          <w:szCs w:val="24"/>
        </w:rPr>
        <w:t>Unité de l</w:t>
      </w:r>
      <w:r w:rsidR="00CE6191" w:rsidRPr="00D83B1F">
        <w:rPr>
          <w:rFonts w:cs="Calibri"/>
          <w:szCs w:val="24"/>
        </w:rPr>
        <w:t>'</w:t>
      </w:r>
      <w:r w:rsidR="00837777" w:rsidRPr="00D83B1F">
        <w:rPr>
          <w:rFonts w:cs="Calibri"/>
          <w:szCs w:val="24"/>
        </w:rPr>
        <w:t>audit interne</w:t>
      </w:r>
      <w:r w:rsidR="0037525D" w:rsidRPr="00D83B1F">
        <w:rPr>
          <w:rFonts w:cs="Calibri"/>
          <w:szCs w:val="24"/>
        </w:rPr>
        <w:t xml:space="preserve"> a coordonné et </w:t>
      </w:r>
      <w:r w:rsidR="00837777" w:rsidRPr="00D83B1F">
        <w:rPr>
          <w:rFonts w:cs="Calibri"/>
          <w:szCs w:val="24"/>
        </w:rPr>
        <w:t xml:space="preserve">élaboré </w:t>
      </w:r>
      <w:r w:rsidR="0037525D" w:rsidRPr="00D83B1F">
        <w:rPr>
          <w:rFonts w:cs="Calibri"/>
          <w:szCs w:val="24"/>
        </w:rPr>
        <w:t xml:space="preserve">le document </w:t>
      </w:r>
      <w:r w:rsidR="008D54AB" w:rsidRPr="00D83B1F">
        <w:rPr>
          <w:rFonts w:cs="Calibri"/>
          <w:szCs w:val="24"/>
        </w:rPr>
        <w:t>récapitulatif</w:t>
      </w:r>
      <w:r w:rsidR="0037525D" w:rsidRPr="00D83B1F">
        <w:rPr>
          <w:rFonts w:cs="Calibri"/>
          <w:szCs w:val="24"/>
        </w:rPr>
        <w:t xml:space="preserve"> du Secrétariat (</w:t>
      </w:r>
      <w:hyperlink r:id="rId10" w:history="1">
        <w:r w:rsidR="0037525D" w:rsidRPr="00D83B1F">
          <w:rPr>
            <w:rStyle w:val="Hyperlink"/>
            <w:rFonts w:cs="Calibri"/>
            <w:szCs w:val="24"/>
          </w:rPr>
          <w:t>CWG-FHR-15/3</w:t>
        </w:r>
      </w:hyperlink>
      <w:r w:rsidR="0037525D" w:rsidRPr="00D83B1F">
        <w:rPr>
          <w:rFonts w:cs="Calibri"/>
          <w:szCs w:val="24"/>
        </w:rPr>
        <w:t xml:space="preserve">) </w:t>
      </w:r>
      <w:r w:rsidR="008D54AB" w:rsidRPr="00D83B1F">
        <w:rPr>
          <w:rFonts w:cs="Calibri"/>
          <w:szCs w:val="24"/>
        </w:rPr>
        <w:t xml:space="preserve">présentant </w:t>
      </w:r>
      <w:r w:rsidR="0037525D" w:rsidRPr="00D83B1F">
        <w:rPr>
          <w:rFonts w:cs="Calibri"/>
          <w:szCs w:val="24"/>
          <w:u w:val="single"/>
        </w:rPr>
        <w:t>l</w:t>
      </w:r>
      <w:r w:rsidR="00CE6191" w:rsidRPr="00D83B1F">
        <w:rPr>
          <w:rFonts w:cs="Calibri"/>
          <w:szCs w:val="24"/>
          <w:u w:val="single"/>
        </w:rPr>
        <w:t>'</w:t>
      </w:r>
      <w:r w:rsidR="0037525D" w:rsidRPr="00D83B1F">
        <w:rPr>
          <w:rFonts w:cs="Calibri"/>
          <w:szCs w:val="24"/>
          <w:u w:val="single"/>
        </w:rPr>
        <w:t>état d</w:t>
      </w:r>
      <w:r w:rsidR="00CE6191" w:rsidRPr="00D83B1F">
        <w:rPr>
          <w:rFonts w:cs="Calibri"/>
          <w:szCs w:val="24"/>
          <w:u w:val="single"/>
        </w:rPr>
        <w:t>'</w:t>
      </w:r>
      <w:r w:rsidR="0037525D" w:rsidRPr="00D83B1F">
        <w:rPr>
          <w:rFonts w:cs="Calibri"/>
          <w:szCs w:val="24"/>
          <w:u w:val="single"/>
        </w:rPr>
        <w:t>avancement de la mise en œuvre</w:t>
      </w:r>
      <w:r w:rsidR="0037525D" w:rsidRPr="00D83B1F">
        <w:rPr>
          <w:rFonts w:cs="Calibri"/>
          <w:szCs w:val="24"/>
        </w:rPr>
        <w:t xml:space="preserve"> des </w:t>
      </w:r>
      <w:r w:rsidR="003E2C97" w:rsidRPr="00D83B1F">
        <w:rPr>
          <w:rFonts w:cs="Calibri"/>
          <w:szCs w:val="24"/>
        </w:rPr>
        <w:t>mesures</w:t>
      </w:r>
      <w:r w:rsidR="0037525D" w:rsidRPr="00D83B1F">
        <w:rPr>
          <w:rFonts w:cs="Calibri"/>
          <w:szCs w:val="24"/>
        </w:rPr>
        <w:t xml:space="preserve"> proposées par PwC, pour la 15</w:t>
      </w:r>
      <w:r w:rsidR="00AD06DC" w:rsidRPr="00D83B1F">
        <w:rPr>
          <w:rFonts w:cs="Calibri"/>
          <w:szCs w:val="24"/>
        </w:rPr>
        <w:t>ème</w:t>
      </w:r>
      <w:r w:rsidR="0037525D" w:rsidRPr="00D83B1F">
        <w:rPr>
          <w:rFonts w:cs="Calibri"/>
          <w:szCs w:val="24"/>
        </w:rPr>
        <w:t xml:space="preserve"> réunion du </w:t>
      </w:r>
      <w:r w:rsidR="003E2C97" w:rsidRPr="00D83B1F">
        <w:rPr>
          <w:rFonts w:cs="Calibri"/>
          <w:szCs w:val="24"/>
        </w:rPr>
        <w:t>GTC-FHR</w:t>
      </w:r>
      <w:r w:rsidR="00965CB1" w:rsidRPr="00D83B1F">
        <w:rPr>
          <w:rFonts w:cs="Calibri"/>
          <w:szCs w:val="24"/>
        </w:rPr>
        <w:t>,</w:t>
      </w:r>
      <w:r w:rsidR="003E2C97" w:rsidRPr="00D83B1F">
        <w:rPr>
          <w:rFonts w:cs="Calibri"/>
          <w:szCs w:val="24"/>
        </w:rPr>
        <w:t xml:space="preserve"> </w:t>
      </w:r>
      <w:r w:rsidR="0037525D" w:rsidRPr="00D83B1F">
        <w:rPr>
          <w:rFonts w:cs="Calibri"/>
          <w:szCs w:val="24"/>
        </w:rPr>
        <w:t>qui s</w:t>
      </w:r>
      <w:r w:rsidR="00CE6191" w:rsidRPr="00D83B1F">
        <w:rPr>
          <w:rFonts w:cs="Calibri"/>
          <w:szCs w:val="24"/>
        </w:rPr>
        <w:t>'</w:t>
      </w:r>
      <w:r w:rsidR="0037525D" w:rsidRPr="00D83B1F">
        <w:rPr>
          <w:rFonts w:cs="Calibri"/>
          <w:szCs w:val="24"/>
        </w:rPr>
        <w:t xml:space="preserve">est tenue </w:t>
      </w:r>
      <w:r w:rsidR="003E2C97" w:rsidRPr="00D83B1F">
        <w:rPr>
          <w:rFonts w:cs="Calibri"/>
          <w:szCs w:val="24"/>
        </w:rPr>
        <w:t xml:space="preserve">de manière virtuelle </w:t>
      </w:r>
      <w:r w:rsidR="0037525D" w:rsidRPr="00D83B1F">
        <w:rPr>
          <w:rFonts w:cs="Calibri"/>
          <w:szCs w:val="24"/>
        </w:rPr>
        <w:t>les 11 et 12 janvier 2022.</w:t>
      </w:r>
    </w:p>
    <w:p w14:paraId="247A0E34" w14:textId="179CD96F" w:rsidR="009C0949" w:rsidRPr="00D83B1F" w:rsidRDefault="009C0949" w:rsidP="0010458B">
      <w:pPr>
        <w:pStyle w:val="Headingb"/>
      </w:pPr>
      <w:r w:rsidRPr="00D83B1F">
        <w:t>Suite donnée aux recommandations formulées par l</w:t>
      </w:r>
      <w:r w:rsidR="00CE6191" w:rsidRPr="00D83B1F">
        <w:t>'</w:t>
      </w:r>
      <w:r w:rsidRPr="00D83B1F">
        <w:t>Unité de l</w:t>
      </w:r>
      <w:r w:rsidR="00CE6191" w:rsidRPr="00D83B1F">
        <w:t>'</w:t>
      </w:r>
      <w:r w:rsidRPr="00D83B1F">
        <w:t>audit interne</w:t>
      </w:r>
    </w:p>
    <w:p w14:paraId="316B294B" w14:textId="3AA15CD3" w:rsidR="009C0949" w:rsidRPr="00D83B1F" w:rsidRDefault="009C0949" w:rsidP="00CE6191">
      <w:pPr>
        <w:spacing w:after="240"/>
      </w:pPr>
      <w:r w:rsidRPr="00D83B1F">
        <w:t>1</w:t>
      </w:r>
      <w:r w:rsidR="001D5092" w:rsidRPr="00D83B1F">
        <w:t>5</w:t>
      </w:r>
      <w:r w:rsidRPr="00D83B1F">
        <w:tab/>
        <w:t>Durant la période couverte par le rapport, l</w:t>
      </w:r>
      <w:r w:rsidR="00CE6191" w:rsidRPr="00D83B1F">
        <w:t>'</w:t>
      </w:r>
      <w:r w:rsidRPr="00D83B1F">
        <w:t>Unité de l</w:t>
      </w:r>
      <w:r w:rsidR="00CE6191" w:rsidRPr="00D83B1F">
        <w:t>'</w:t>
      </w:r>
      <w:r w:rsidRPr="00D83B1F">
        <w:t>audit interne a continué de donner suite aux recommandations formulées dans les rapports d</w:t>
      </w:r>
      <w:r w:rsidR="00CE6191" w:rsidRPr="00D83B1F">
        <w:t>'</w:t>
      </w:r>
      <w:r w:rsidRPr="00D83B1F">
        <w:t>audit précédents. Il a été noté que des progrès avaient été accomplis au cours des 12 derniers mois et les statistiques relatives à la mise en œuvre se présentent comme suit (au </w:t>
      </w:r>
      <w:r w:rsidR="009E0AFE" w:rsidRPr="00D83B1F">
        <w:t xml:space="preserve">31 </w:t>
      </w:r>
      <w:r w:rsidR="001D5092" w:rsidRPr="00D83B1F">
        <w:t>janvier 2022</w:t>
      </w:r>
      <w:r w:rsidRPr="00D83B1F">
        <w:t>):</w:t>
      </w:r>
    </w:p>
    <w:tbl>
      <w:tblPr>
        <w:tblW w:w="11064" w:type="dxa"/>
        <w:jc w:val="center"/>
        <w:tblLook w:val="04A0" w:firstRow="1" w:lastRow="0" w:firstColumn="1" w:lastColumn="0" w:noHBand="0" w:noVBand="1"/>
      </w:tblPr>
      <w:tblGrid>
        <w:gridCol w:w="2391"/>
        <w:gridCol w:w="713"/>
        <w:gridCol w:w="663"/>
        <w:gridCol w:w="711"/>
        <w:gridCol w:w="712"/>
        <w:gridCol w:w="712"/>
        <w:gridCol w:w="712"/>
        <w:gridCol w:w="880"/>
        <w:gridCol w:w="663"/>
        <w:gridCol w:w="770"/>
        <w:gridCol w:w="712"/>
        <w:gridCol w:w="712"/>
        <w:gridCol w:w="713"/>
      </w:tblGrid>
      <w:tr w:rsidR="001D5092" w:rsidRPr="00D83B1F" w14:paraId="32046996" w14:textId="77777777" w:rsidTr="001D5092">
        <w:trPr>
          <w:trHeight w:val="315"/>
          <w:jc w:val="center"/>
        </w:trPr>
        <w:tc>
          <w:tcPr>
            <w:tcW w:w="2391" w:type="dxa"/>
            <w:tcBorders>
              <w:top w:val="single" w:sz="8" w:space="0" w:color="auto"/>
              <w:left w:val="single" w:sz="8" w:space="0" w:color="auto"/>
              <w:bottom w:val="nil"/>
              <w:right w:val="nil"/>
            </w:tcBorders>
            <w:shd w:val="clear" w:color="auto" w:fill="000000"/>
            <w:noWrap/>
            <w:vAlign w:val="bottom"/>
            <w:hideMark/>
          </w:tcPr>
          <w:p w14:paraId="771BE18F" w14:textId="77777777" w:rsidR="001D5092" w:rsidRPr="00D83B1F" w:rsidRDefault="001D5092" w:rsidP="00CE6191">
            <w:pPr>
              <w:pStyle w:val="Tablehead"/>
            </w:pPr>
            <w:r w:rsidRPr="00D83B1F">
              <w:t>Année</w:t>
            </w:r>
          </w:p>
        </w:tc>
        <w:tc>
          <w:tcPr>
            <w:tcW w:w="713" w:type="dxa"/>
            <w:tcBorders>
              <w:top w:val="single" w:sz="8" w:space="0" w:color="auto"/>
              <w:left w:val="nil"/>
              <w:bottom w:val="nil"/>
              <w:right w:val="nil"/>
            </w:tcBorders>
            <w:shd w:val="clear" w:color="auto" w:fill="000000"/>
            <w:noWrap/>
            <w:vAlign w:val="bottom"/>
            <w:hideMark/>
          </w:tcPr>
          <w:p w14:paraId="03A91773" w14:textId="77777777" w:rsidR="001D5092" w:rsidRPr="00D83B1F" w:rsidRDefault="001D5092" w:rsidP="00AD06DC">
            <w:pPr>
              <w:pStyle w:val="Tablehead"/>
            </w:pPr>
            <w:r w:rsidRPr="00D83B1F">
              <w:t>2011</w:t>
            </w:r>
          </w:p>
        </w:tc>
        <w:tc>
          <w:tcPr>
            <w:tcW w:w="628" w:type="dxa"/>
            <w:tcBorders>
              <w:top w:val="single" w:sz="8" w:space="0" w:color="auto"/>
              <w:left w:val="nil"/>
              <w:bottom w:val="nil"/>
              <w:right w:val="nil"/>
            </w:tcBorders>
            <w:shd w:val="clear" w:color="auto" w:fill="000000"/>
            <w:noWrap/>
            <w:vAlign w:val="bottom"/>
            <w:hideMark/>
          </w:tcPr>
          <w:p w14:paraId="08F54ADB" w14:textId="77777777" w:rsidR="001D5092" w:rsidRPr="00D83B1F" w:rsidRDefault="001D5092" w:rsidP="00AD06DC">
            <w:pPr>
              <w:pStyle w:val="Tablehead"/>
            </w:pPr>
            <w:r w:rsidRPr="00D83B1F">
              <w:t>2012</w:t>
            </w:r>
          </w:p>
        </w:tc>
        <w:tc>
          <w:tcPr>
            <w:tcW w:w="711" w:type="dxa"/>
            <w:tcBorders>
              <w:top w:val="single" w:sz="8" w:space="0" w:color="auto"/>
              <w:left w:val="nil"/>
              <w:bottom w:val="nil"/>
              <w:right w:val="nil"/>
            </w:tcBorders>
            <w:shd w:val="clear" w:color="auto" w:fill="000000"/>
            <w:noWrap/>
            <w:vAlign w:val="bottom"/>
            <w:hideMark/>
          </w:tcPr>
          <w:p w14:paraId="45457040" w14:textId="77777777" w:rsidR="001D5092" w:rsidRPr="00D83B1F" w:rsidRDefault="001D5092" w:rsidP="00AD06DC">
            <w:pPr>
              <w:pStyle w:val="Tablehead"/>
            </w:pPr>
            <w:r w:rsidRPr="00D83B1F">
              <w:t>2013</w:t>
            </w:r>
          </w:p>
        </w:tc>
        <w:tc>
          <w:tcPr>
            <w:tcW w:w="712" w:type="dxa"/>
            <w:tcBorders>
              <w:top w:val="single" w:sz="8" w:space="0" w:color="auto"/>
              <w:left w:val="nil"/>
              <w:bottom w:val="nil"/>
              <w:right w:val="nil"/>
            </w:tcBorders>
            <w:shd w:val="clear" w:color="auto" w:fill="000000"/>
            <w:noWrap/>
            <w:vAlign w:val="bottom"/>
            <w:hideMark/>
          </w:tcPr>
          <w:p w14:paraId="13F0260A" w14:textId="77777777" w:rsidR="001D5092" w:rsidRPr="00D83B1F" w:rsidRDefault="001D5092" w:rsidP="00AD06DC">
            <w:pPr>
              <w:pStyle w:val="Tablehead"/>
            </w:pPr>
            <w:r w:rsidRPr="00D83B1F">
              <w:t>2014</w:t>
            </w:r>
          </w:p>
        </w:tc>
        <w:tc>
          <w:tcPr>
            <w:tcW w:w="712" w:type="dxa"/>
            <w:tcBorders>
              <w:top w:val="single" w:sz="8" w:space="0" w:color="auto"/>
              <w:left w:val="nil"/>
              <w:bottom w:val="nil"/>
              <w:right w:val="nil"/>
            </w:tcBorders>
            <w:shd w:val="clear" w:color="auto" w:fill="000000"/>
            <w:noWrap/>
            <w:vAlign w:val="bottom"/>
            <w:hideMark/>
          </w:tcPr>
          <w:p w14:paraId="7EEFF87D" w14:textId="77777777" w:rsidR="001D5092" w:rsidRPr="00D83B1F" w:rsidRDefault="001D5092" w:rsidP="00AD06DC">
            <w:pPr>
              <w:pStyle w:val="Tablehead"/>
            </w:pPr>
            <w:r w:rsidRPr="00D83B1F">
              <w:t>2015</w:t>
            </w:r>
          </w:p>
        </w:tc>
        <w:tc>
          <w:tcPr>
            <w:tcW w:w="712" w:type="dxa"/>
            <w:tcBorders>
              <w:top w:val="single" w:sz="8" w:space="0" w:color="auto"/>
              <w:left w:val="nil"/>
              <w:bottom w:val="nil"/>
              <w:right w:val="nil"/>
            </w:tcBorders>
            <w:shd w:val="clear" w:color="auto" w:fill="000000"/>
            <w:noWrap/>
            <w:vAlign w:val="bottom"/>
            <w:hideMark/>
          </w:tcPr>
          <w:p w14:paraId="571CCFB7" w14:textId="77777777" w:rsidR="001D5092" w:rsidRPr="00D83B1F" w:rsidRDefault="001D5092" w:rsidP="00AD06DC">
            <w:pPr>
              <w:pStyle w:val="Tablehead"/>
            </w:pPr>
            <w:r w:rsidRPr="00D83B1F">
              <w:t>2016</w:t>
            </w:r>
          </w:p>
        </w:tc>
        <w:tc>
          <w:tcPr>
            <w:tcW w:w="880" w:type="dxa"/>
            <w:tcBorders>
              <w:top w:val="single" w:sz="8" w:space="0" w:color="auto"/>
              <w:left w:val="nil"/>
              <w:bottom w:val="nil"/>
              <w:right w:val="nil"/>
            </w:tcBorders>
            <w:shd w:val="clear" w:color="auto" w:fill="000000"/>
            <w:noWrap/>
            <w:vAlign w:val="bottom"/>
            <w:hideMark/>
          </w:tcPr>
          <w:p w14:paraId="07598683" w14:textId="77777777" w:rsidR="001D5092" w:rsidRPr="00D83B1F" w:rsidRDefault="001D5092" w:rsidP="00AD06DC">
            <w:pPr>
              <w:pStyle w:val="Tablehead"/>
            </w:pPr>
            <w:r w:rsidRPr="00D83B1F">
              <w:t>2017</w:t>
            </w:r>
          </w:p>
        </w:tc>
        <w:tc>
          <w:tcPr>
            <w:tcW w:w="622" w:type="dxa"/>
            <w:tcBorders>
              <w:top w:val="single" w:sz="8" w:space="0" w:color="auto"/>
              <w:left w:val="nil"/>
              <w:bottom w:val="single" w:sz="8" w:space="0" w:color="auto"/>
              <w:right w:val="nil"/>
            </w:tcBorders>
            <w:shd w:val="clear" w:color="auto" w:fill="000000"/>
            <w:hideMark/>
          </w:tcPr>
          <w:p w14:paraId="1089F9B4" w14:textId="77777777" w:rsidR="001D5092" w:rsidRPr="00D83B1F" w:rsidRDefault="001D5092" w:rsidP="00AD06DC">
            <w:pPr>
              <w:pStyle w:val="Tablehead"/>
            </w:pPr>
            <w:r w:rsidRPr="00D83B1F">
              <w:t>2018</w:t>
            </w:r>
          </w:p>
        </w:tc>
        <w:tc>
          <w:tcPr>
            <w:tcW w:w="846" w:type="dxa"/>
            <w:tcBorders>
              <w:top w:val="single" w:sz="8" w:space="0" w:color="auto"/>
              <w:left w:val="nil"/>
              <w:bottom w:val="single" w:sz="8" w:space="0" w:color="auto"/>
              <w:right w:val="nil"/>
            </w:tcBorders>
            <w:shd w:val="clear" w:color="auto" w:fill="000000"/>
            <w:hideMark/>
          </w:tcPr>
          <w:p w14:paraId="183D2504" w14:textId="226FBF1C" w:rsidR="001D5092" w:rsidRPr="00D83B1F" w:rsidRDefault="001D5092" w:rsidP="00AD06DC">
            <w:pPr>
              <w:pStyle w:val="Tablehead"/>
            </w:pPr>
            <w:r w:rsidRPr="00D83B1F">
              <w:t>2019</w:t>
            </w:r>
          </w:p>
        </w:tc>
        <w:tc>
          <w:tcPr>
            <w:tcW w:w="712" w:type="dxa"/>
            <w:tcBorders>
              <w:top w:val="single" w:sz="8" w:space="0" w:color="auto"/>
              <w:left w:val="nil"/>
              <w:right w:val="nil"/>
            </w:tcBorders>
            <w:shd w:val="clear" w:color="auto" w:fill="000000"/>
          </w:tcPr>
          <w:p w14:paraId="06EC12C6" w14:textId="1D2AE303" w:rsidR="001D5092" w:rsidRPr="00D83B1F" w:rsidRDefault="001D5092" w:rsidP="00AD06DC">
            <w:pPr>
              <w:pStyle w:val="Tablehead"/>
            </w:pPr>
            <w:r w:rsidRPr="00D83B1F">
              <w:t>2020</w:t>
            </w:r>
          </w:p>
        </w:tc>
        <w:tc>
          <w:tcPr>
            <w:tcW w:w="712" w:type="dxa"/>
            <w:tcBorders>
              <w:top w:val="single" w:sz="8" w:space="0" w:color="auto"/>
              <w:left w:val="nil"/>
              <w:right w:val="nil"/>
            </w:tcBorders>
            <w:shd w:val="clear" w:color="auto" w:fill="000000"/>
          </w:tcPr>
          <w:p w14:paraId="2E68C442" w14:textId="61FE1F72" w:rsidR="001D5092" w:rsidRPr="00D83B1F" w:rsidRDefault="001D5092" w:rsidP="00AD06DC">
            <w:pPr>
              <w:pStyle w:val="Tablehead"/>
            </w:pPr>
            <w:r w:rsidRPr="00D83B1F">
              <w:t>2021</w:t>
            </w:r>
          </w:p>
        </w:tc>
        <w:tc>
          <w:tcPr>
            <w:tcW w:w="713" w:type="dxa"/>
            <w:tcBorders>
              <w:top w:val="single" w:sz="8" w:space="0" w:color="auto"/>
              <w:left w:val="nil"/>
              <w:bottom w:val="nil"/>
              <w:right w:val="single" w:sz="8" w:space="0" w:color="auto"/>
            </w:tcBorders>
            <w:shd w:val="clear" w:color="auto" w:fill="000000"/>
            <w:noWrap/>
            <w:vAlign w:val="bottom"/>
            <w:hideMark/>
          </w:tcPr>
          <w:p w14:paraId="7CC1CDE3" w14:textId="0BFC8C69" w:rsidR="001D5092" w:rsidRPr="00D83B1F" w:rsidRDefault="001D5092" w:rsidP="00AD06DC">
            <w:pPr>
              <w:pStyle w:val="Tablehead"/>
            </w:pPr>
            <w:r w:rsidRPr="00D83B1F">
              <w:t>Total</w:t>
            </w:r>
          </w:p>
        </w:tc>
      </w:tr>
      <w:tr w:rsidR="001D5092" w:rsidRPr="00D83B1F" w14:paraId="2D873F40" w14:textId="77777777" w:rsidTr="00CE6191">
        <w:trPr>
          <w:trHeight w:val="300"/>
          <w:jc w:val="center"/>
        </w:trPr>
        <w:tc>
          <w:tcPr>
            <w:tcW w:w="2391" w:type="dxa"/>
            <w:tcBorders>
              <w:top w:val="single" w:sz="8" w:space="0" w:color="auto"/>
              <w:left w:val="single" w:sz="8" w:space="0" w:color="auto"/>
              <w:bottom w:val="single" w:sz="4" w:space="0" w:color="auto"/>
              <w:right w:val="single" w:sz="4" w:space="0" w:color="auto"/>
            </w:tcBorders>
            <w:noWrap/>
            <w:vAlign w:val="bottom"/>
            <w:hideMark/>
          </w:tcPr>
          <w:p w14:paraId="6E537D86" w14:textId="5F02A67B" w:rsidR="001D5092" w:rsidRPr="00D83B1F" w:rsidRDefault="001D5092" w:rsidP="00CE6191">
            <w:pPr>
              <w:pStyle w:val="Tabletext"/>
              <w:rPr>
                <w:lang w:eastAsia="zh-CN"/>
              </w:rPr>
            </w:pPr>
            <w:r w:rsidRPr="00D83B1F">
              <w:rPr>
                <w:lang w:eastAsia="zh-CN"/>
              </w:rPr>
              <w:t>Nombre de rapports/notes d</w:t>
            </w:r>
            <w:r w:rsidR="00CE6191" w:rsidRPr="00D83B1F">
              <w:rPr>
                <w:lang w:eastAsia="zh-CN"/>
              </w:rPr>
              <w:t>'</w:t>
            </w:r>
            <w:r w:rsidRPr="00D83B1F">
              <w:rPr>
                <w:lang w:eastAsia="zh-CN"/>
              </w:rPr>
              <w:t>audit</w:t>
            </w:r>
          </w:p>
        </w:tc>
        <w:tc>
          <w:tcPr>
            <w:tcW w:w="713" w:type="dxa"/>
            <w:tcBorders>
              <w:top w:val="single" w:sz="8" w:space="0" w:color="auto"/>
              <w:left w:val="nil"/>
              <w:bottom w:val="single" w:sz="4" w:space="0" w:color="auto"/>
              <w:right w:val="single" w:sz="4" w:space="0" w:color="auto"/>
            </w:tcBorders>
            <w:noWrap/>
            <w:vAlign w:val="center"/>
            <w:hideMark/>
          </w:tcPr>
          <w:p w14:paraId="14037C50" w14:textId="77777777" w:rsidR="001D5092" w:rsidRPr="00D83B1F" w:rsidRDefault="001D5092" w:rsidP="00AD06DC">
            <w:pPr>
              <w:pStyle w:val="Tabletext"/>
              <w:jc w:val="center"/>
              <w:rPr>
                <w:lang w:eastAsia="zh-CN"/>
              </w:rPr>
            </w:pPr>
            <w:r w:rsidRPr="00D83B1F">
              <w:rPr>
                <w:lang w:eastAsia="zh-CN"/>
              </w:rPr>
              <w:t>2</w:t>
            </w:r>
          </w:p>
        </w:tc>
        <w:tc>
          <w:tcPr>
            <w:tcW w:w="628" w:type="dxa"/>
            <w:tcBorders>
              <w:top w:val="single" w:sz="8" w:space="0" w:color="auto"/>
              <w:left w:val="nil"/>
              <w:bottom w:val="single" w:sz="4" w:space="0" w:color="auto"/>
              <w:right w:val="single" w:sz="4" w:space="0" w:color="auto"/>
            </w:tcBorders>
            <w:noWrap/>
            <w:vAlign w:val="center"/>
            <w:hideMark/>
          </w:tcPr>
          <w:p w14:paraId="64C4BBA3" w14:textId="77777777" w:rsidR="001D5092" w:rsidRPr="00D83B1F" w:rsidRDefault="001D5092" w:rsidP="00AD06DC">
            <w:pPr>
              <w:pStyle w:val="Tabletext"/>
              <w:jc w:val="center"/>
              <w:rPr>
                <w:lang w:eastAsia="zh-CN"/>
              </w:rPr>
            </w:pPr>
            <w:r w:rsidRPr="00D83B1F">
              <w:rPr>
                <w:lang w:eastAsia="zh-CN"/>
              </w:rPr>
              <w:t>0</w:t>
            </w:r>
          </w:p>
        </w:tc>
        <w:tc>
          <w:tcPr>
            <w:tcW w:w="711" w:type="dxa"/>
            <w:tcBorders>
              <w:top w:val="single" w:sz="8" w:space="0" w:color="auto"/>
              <w:left w:val="nil"/>
              <w:bottom w:val="single" w:sz="4" w:space="0" w:color="auto"/>
              <w:right w:val="single" w:sz="4" w:space="0" w:color="auto"/>
            </w:tcBorders>
            <w:shd w:val="clear" w:color="auto" w:fill="FFFFFF"/>
            <w:noWrap/>
            <w:vAlign w:val="center"/>
            <w:hideMark/>
          </w:tcPr>
          <w:p w14:paraId="6A5F4D5B" w14:textId="3DF58978" w:rsidR="001D5092" w:rsidRPr="00D83B1F" w:rsidRDefault="001D5092" w:rsidP="00AD06DC">
            <w:pPr>
              <w:pStyle w:val="Tabletext"/>
              <w:jc w:val="center"/>
            </w:pPr>
            <w:r w:rsidRPr="00D83B1F">
              <w:t>4</w:t>
            </w:r>
          </w:p>
        </w:tc>
        <w:tc>
          <w:tcPr>
            <w:tcW w:w="712" w:type="dxa"/>
            <w:tcBorders>
              <w:top w:val="single" w:sz="8" w:space="0" w:color="auto"/>
              <w:left w:val="nil"/>
              <w:bottom w:val="single" w:sz="4" w:space="0" w:color="auto"/>
              <w:right w:val="nil"/>
            </w:tcBorders>
            <w:shd w:val="clear" w:color="auto" w:fill="FFFFFF"/>
            <w:noWrap/>
            <w:vAlign w:val="center"/>
            <w:hideMark/>
          </w:tcPr>
          <w:p w14:paraId="65278089" w14:textId="2BB707AE" w:rsidR="001D5092" w:rsidRPr="00D83B1F" w:rsidRDefault="001D5092" w:rsidP="00AD06DC">
            <w:pPr>
              <w:pStyle w:val="Tabletext"/>
              <w:jc w:val="center"/>
            </w:pPr>
            <w:r w:rsidRPr="00D83B1F">
              <w:t>4</w:t>
            </w:r>
          </w:p>
        </w:tc>
        <w:tc>
          <w:tcPr>
            <w:tcW w:w="712" w:type="dxa"/>
            <w:tcBorders>
              <w:top w:val="single" w:sz="8" w:space="0" w:color="auto"/>
              <w:left w:val="single" w:sz="4" w:space="0" w:color="auto"/>
              <w:bottom w:val="single" w:sz="4" w:space="0" w:color="auto"/>
              <w:right w:val="nil"/>
            </w:tcBorders>
            <w:shd w:val="clear" w:color="auto" w:fill="FFFFFF"/>
            <w:noWrap/>
            <w:vAlign w:val="center"/>
            <w:hideMark/>
          </w:tcPr>
          <w:p w14:paraId="377AF7DD" w14:textId="67B6E521" w:rsidR="001D5092" w:rsidRPr="00D83B1F" w:rsidRDefault="001D5092" w:rsidP="00AD06DC">
            <w:pPr>
              <w:pStyle w:val="Tabletext"/>
              <w:jc w:val="center"/>
            </w:pPr>
            <w:r w:rsidRPr="00D83B1F">
              <w:t>7</w:t>
            </w:r>
          </w:p>
        </w:tc>
        <w:tc>
          <w:tcPr>
            <w:tcW w:w="712" w:type="dxa"/>
            <w:tcBorders>
              <w:top w:val="single" w:sz="8" w:space="0" w:color="auto"/>
              <w:left w:val="single" w:sz="4" w:space="0" w:color="auto"/>
              <w:bottom w:val="single" w:sz="4" w:space="0" w:color="auto"/>
              <w:right w:val="nil"/>
            </w:tcBorders>
            <w:shd w:val="clear" w:color="auto" w:fill="FFFFFF"/>
            <w:noWrap/>
            <w:vAlign w:val="center"/>
            <w:hideMark/>
          </w:tcPr>
          <w:p w14:paraId="0383A8F0" w14:textId="6A300BFB" w:rsidR="001D5092" w:rsidRPr="00D83B1F" w:rsidRDefault="001D5092" w:rsidP="00AD06DC">
            <w:pPr>
              <w:pStyle w:val="Tabletext"/>
              <w:jc w:val="center"/>
            </w:pPr>
            <w:r w:rsidRPr="00D83B1F">
              <w:t>4</w:t>
            </w:r>
          </w:p>
        </w:tc>
        <w:tc>
          <w:tcPr>
            <w:tcW w:w="880" w:type="dxa"/>
            <w:tcBorders>
              <w:top w:val="single" w:sz="8" w:space="0" w:color="auto"/>
              <w:left w:val="single" w:sz="4" w:space="0" w:color="auto"/>
              <w:bottom w:val="single" w:sz="4" w:space="0" w:color="auto"/>
              <w:right w:val="nil"/>
            </w:tcBorders>
            <w:shd w:val="clear" w:color="auto" w:fill="FFFFFF"/>
            <w:noWrap/>
            <w:vAlign w:val="center"/>
            <w:hideMark/>
          </w:tcPr>
          <w:p w14:paraId="6CF4B5E2" w14:textId="52F82AAA" w:rsidR="001D5092" w:rsidRPr="00D83B1F" w:rsidRDefault="001D5092" w:rsidP="00AD06DC">
            <w:pPr>
              <w:pStyle w:val="Tabletext"/>
              <w:jc w:val="center"/>
            </w:pPr>
            <w:r w:rsidRPr="00D83B1F">
              <w:t>6</w:t>
            </w:r>
          </w:p>
        </w:tc>
        <w:tc>
          <w:tcPr>
            <w:tcW w:w="622" w:type="dxa"/>
            <w:tcBorders>
              <w:top w:val="single" w:sz="8" w:space="0" w:color="auto"/>
              <w:left w:val="single" w:sz="4" w:space="0" w:color="auto"/>
              <w:bottom w:val="single" w:sz="4" w:space="0" w:color="auto"/>
              <w:right w:val="single" w:sz="4" w:space="0" w:color="auto"/>
            </w:tcBorders>
            <w:vAlign w:val="center"/>
            <w:hideMark/>
          </w:tcPr>
          <w:p w14:paraId="02F28FDF" w14:textId="34CE92E6" w:rsidR="001D5092" w:rsidRPr="00D83B1F" w:rsidRDefault="001D5092" w:rsidP="00AD06DC">
            <w:pPr>
              <w:pStyle w:val="Tabletext"/>
              <w:jc w:val="center"/>
            </w:pPr>
            <w:r w:rsidRPr="00D83B1F">
              <w:t>4</w:t>
            </w:r>
          </w:p>
        </w:tc>
        <w:tc>
          <w:tcPr>
            <w:tcW w:w="846" w:type="dxa"/>
            <w:tcBorders>
              <w:top w:val="single" w:sz="8" w:space="0" w:color="auto"/>
              <w:left w:val="single" w:sz="4" w:space="0" w:color="auto"/>
              <w:bottom w:val="single" w:sz="4" w:space="0" w:color="auto"/>
              <w:right w:val="single" w:sz="8" w:space="0" w:color="auto"/>
            </w:tcBorders>
            <w:vAlign w:val="center"/>
            <w:hideMark/>
          </w:tcPr>
          <w:p w14:paraId="2E861FBA" w14:textId="65D7542C" w:rsidR="001D5092" w:rsidRPr="00D83B1F" w:rsidRDefault="001D5092" w:rsidP="00AD06DC">
            <w:pPr>
              <w:pStyle w:val="Tabletext"/>
              <w:jc w:val="center"/>
            </w:pPr>
            <w:r w:rsidRPr="00D83B1F">
              <w:t>2</w:t>
            </w:r>
          </w:p>
        </w:tc>
        <w:tc>
          <w:tcPr>
            <w:tcW w:w="712" w:type="dxa"/>
            <w:tcBorders>
              <w:left w:val="single" w:sz="8" w:space="0" w:color="auto"/>
              <w:bottom w:val="single" w:sz="8" w:space="0" w:color="auto"/>
              <w:right w:val="single" w:sz="8" w:space="0" w:color="auto"/>
            </w:tcBorders>
            <w:shd w:val="clear" w:color="auto" w:fill="FFFFFF" w:themeFill="background1"/>
            <w:vAlign w:val="center"/>
          </w:tcPr>
          <w:p w14:paraId="6CF3CD48" w14:textId="10C51A64" w:rsidR="001D5092" w:rsidRPr="00D83B1F" w:rsidRDefault="001D5092" w:rsidP="00AD06DC">
            <w:pPr>
              <w:pStyle w:val="Tabletext"/>
              <w:jc w:val="center"/>
            </w:pPr>
            <w:r w:rsidRPr="00D83B1F">
              <w:t>2</w:t>
            </w:r>
          </w:p>
        </w:tc>
        <w:tc>
          <w:tcPr>
            <w:tcW w:w="712" w:type="dxa"/>
            <w:tcBorders>
              <w:left w:val="single" w:sz="8" w:space="0" w:color="auto"/>
              <w:bottom w:val="single" w:sz="4" w:space="0" w:color="auto"/>
              <w:right w:val="single" w:sz="8" w:space="0" w:color="auto"/>
            </w:tcBorders>
            <w:shd w:val="clear" w:color="auto" w:fill="auto"/>
            <w:vAlign w:val="center"/>
          </w:tcPr>
          <w:p w14:paraId="52D8259F" w14:textId="6D093C97" w:rsidR="001D5092" w:rsidRPr="00D83B1F" w:rsidRDefault="001D5092" w:rsidP="00AD06DC">
            <w:pPr>
              <w:pStyle w:val="Tabletext"/>
              <w:jc w:val="center"/>
              <w:rPr>
                <w:b/>
                <w:bCs/>
              </w:rPr>
            </w:pPr>
            <w:r w:rsidRPr="00D83B1F">
              <w:t>2</w:t>
            </w:r>
          </w:p>
        </w:tc>
        <w:tc>
          <w:tcPr>
            <w:tcW w:w="713" w:type="dxa"/>
            <w:tcBorders>
              <w:top w:val="single" w:sz="8" w:space="0" w:color="auto"/>
              <w:left w:val="single" w:sz="8" w:space="0" w:color="auto"/>
              <w:bottom w:val="single" w:sz="4" w:space="0" w:color="auto"/>
              <w:right w:val="single" w:sz="8" w:space="0" w:color="auto"/>
            </w:tcBorders>
            <w:shd w:val="clear" w:color="auto" w:fill="AEAAAA"/>
            <w:noWrap/>
            <w:vAlign w:val="center"/>
            <w:hideMark/>
          </w:tcPr>
          <w:p w14:paraId="6A7BE183" w14:textId="373395F4" w:rsidR="001D5092" w:rsidRPr="00D83B1F" w:rsidRDefault="001D5092" w:rsidP="00AD06DC">
            <w:pPr>
              <w:pStyle w:val="Tabletext"/>
              <w:jc w:val="center"/>
              <w:rPr>
                <w:b/>
                <w:bCs/>
              </w:rPr>
            </w:pPr>
            <w:r w:rsidRPr="00D83B1F">
              <w:rPr>
                <w:b/>
                <w:bCs/>
              </w:rPr>
              <w:t>37</w:t>
            </w:r>
          </w:p>
        </w:tc>
      </w:tr>
      <w:tr w:rsidR="001D5092" w:rsidRPr="00D83B1F" w14:paraId="0EAE92B6" w14:textId="77777777" w:rsidTr="00CE6191">
        <w:trPr>
          <w:trHeight w:val="300"/>
          <w:jc w:val="center"/>
        </w:trPr>
        <w:tc>
          <w:tcPr>
            <w:tcW w:w="2391" w:type="dxa"/>
            <w:tcBorders>
              <w:top w:val="nil"/>
              <w:left w:val="single" w:sz="8" w:space="0" w:color="auto"/>
              <w:bottom w:val="single" w:sz="4" w:space="0" w:color="auto"/>
              <w:right w:val="single" w:sz="4" w:space="0" w:color="auto"/>
            </w:tcBorders>
            <w:noWrap/>
            <w:vAlign w:val="bottom"/>
            <w:hideMark/>
          </w:tcPr>
          <w:p w14:paraId="389239DD" w14:textId="77777777" w:rsidR="001D5092" w:rsidRPr="00D83B1F" w:rsidRDefault="001D5092" w:rsidP="00CE6191">
            <w:pPr>
              <w:pStyle w:val="Tabletext"/>
              <w:rPr>
                <w:lang w:eastAsia="zh-CN"/>
              </w:rPr>
            </w:pPr>
            <w:r w:rsidRPr="00D83B1F">
              <w:rPr>
                <w:lang w:eastAsia="zh-CN"/>
              </w:rPr>
              <w:t>Recommandations – Total</w:t>
            </w:r>
          </w:p>
        </w:tc>
        <w:tc>
          <w:tcPr>
            <w:tcW w:w="713" w:type="dxa"/>
            <w:tcBorders>
              <w:top w:val="nil"/>
              <w:left w:val="nil"/>
              <w:bottom w:val="single" w:sz="4" w:space="0" w:color="auto"/>
              <w:right w:val="single" w:sz="4" w:space="0" w:color="auto"/>
            </w:tcBorders>
            <w:noWrap/>
            <w:vAlign w:val="center"/>
            <w:hideMark/>
          </w:tcPr>
          <w:p w14:paraId="5CC2B54A" w14:textId="77777777" w:rsidR="001D5092" w:rsidRPr="00D83B1F" w:rsidRDefault="001D5092" w:rsidP="00AD06DC">
            <w:pPr>
              <w:pStyle w:val="Tabletext"/>
              <w:jc w:val="center"/>
              <w:rPr>
                <w:lang w:eastAsia="zh-CN"/>
              </w:rPr>
            </w:pPr>
            <w:r w:rsidRPr="00D83B1F">
              <w:rPr>
                <w:lang w:eastAsia="zh-CN"/>
              </w:rPr>
              <w:t>17</w:t>
            </w:r>
          </w:p>
        </w:tc>
        <w:tc>
          <w:tcPr>
            <w:tcW w:w="628" w:type="dxa"/>
            <w:tcBorders>
              <w:top w:val="nil"/>
              <w:left w:val="nil"/>
              <w:bottom w:val="single" w:sz="4" w:space="0" w:color="auto"/>
              <w:right w:val="single" w:sz="4" w:space="0" w:color="auto"/>
            </w:tcBorders>
            <w:noWrap/>
            <w:vAlign w:val="center"/>
            <w:hideMark/>
          </w:tcPr>
          <w:p w14:paraId="34B1C834" w14:textId="77777777" w:rsidR="001D5092" w:rsidRPr="00D83B1F" w:rsidRDefault="001D5092" w:rsidP="00AD06DC">
            <w:pPr>
              <w:pStyle w:val="Tabletext"/>
              <w:jc w:val="center"/>
              <w:rPr>
                <w:lang w:eastAsia="zh-CN"/>
              </w:rPr>
            </w:pPr>
            <w:r w:rsidRPr="00D83B1F">
              <w:rPr>
                <w:lang w:eastAsia="zh-CN"/>
              </w:rPr>
              <w:t>–</w:t>
            </w:r>
          </w:p>
        </w:tc>
        <w:tc>
          <w:tcPr>
            <w:tcW w:w="711" w:type="dxa"/>
            <w:tcBorders>
              <w:top w:val="nil"/>
              <w:left w:val="nil"/>
              <w:bottom w:val="single" w:sz="4" w:space="0" w:color="auto"/>
              <w:right w:val="single" w:sz="4" w:space="0" w:color="auto"/>
            </w:tcBorders>
            <w:shd w:val="clear" w:color="auto" w:fill="FFFFFF"/>
            <w:noWrap/>
            <w:vAlign w:val="center"/>
            <w:hideMark/>
          </w:tcPr>
          <w:p w14:paraId="235A3115" w14:textId="1E8650E7" w:rsidR="001D5092" w:rsidRPr="00D83B1F" w:rsidRDefault="001D5092" w:rsidP="00AD06DC">
            <w:pPr>
              <w:pStyle w:val="Tabletext"/>
              <w:jc w:val="center"/>
            </w:pPr>
            <w:r w:rsidRPr="00D83B1F">
              <w:t>113</w:t>
            </w:r>
          </w:p>
        </w:tc>
        <w:tc>
          <w:tcPr>
            <w:tcW w:w="712" w:type="dxa"/>
            <w:tcBorders>
              <w:top w:val="nil"/>
              <w:left w:val="nil"/>
              <w:bottom w:val="single" w:sz="4" w:space="0" w:color="auto"/>
              <w:right w:val="nil"/>
            </w:tcBorders>
            <w:shd w:val="clear" w:color="auto" w:fill="FFFFFF"/>
            <w:noWrap/>
            <w:vAlign w:val="center"/>
            <w:hideMark/>
          </w:tcPr>
          <w:p w14:paraId="5619C353" w14:textId="5444156E" w:rsidR="001D5092" w:rsidRPr="00D83B1F" w:rsidRDefault="001D5092" w:rsidP="00AD06DC">
            <w:pPr>
              <w:pStyle w:val="Tabletext"/>
              <w:jc w:val="center"/>
            </w:pPr>
            <w:r w:rsidRPr="00D83B1F">
              <w:t>55</w:t>
            </w:r>
          </w:p>
        </w:tc>
        <w:tc>
          <w:tcPr>
            <w:tcW w:w="712" w:type="dxa"/>
            <w:tcBorders>
              <w:top w:val="nil"/>
              <w:left w:val="single" w:sz="4" w:space="0" w:color="auto"/>
              <w:bottom w:val="single" w:sz="4" w:space="0" w:color="auto"/>
              <w:right w:val="nil"/>
            </w:tcBorders>
            <w:shd w:val="clear" w:color="auto" w:fill="FFFFFF"/>
            <w:noWrap/>
            <w:vAlign w:val="center"/>
            <w:hideMark/>
          </w:tcPr>
          <w:p w14:paraId="3567390B" w14:textId="662AB65E" w:rsidR="001D5092" w:rsidRPr="00D83B1F" w:rsidRDefault="001D5092" w:rsidP="00AD06DC">
            <w:pPr>
              <w:pStyle w:val="Tabletext"/>
              <w:jc w:val="center"/>
            </w:pPr>
            <w:r w:rsidRPr="00D83B1F">
              <w:t>34</w:t>
            </w:r>
          </w:p>
        </w:tc>
        <w:tc>
          <w:tcPr>
            <w:tcW w:w="712" w:type="dxa"/>
            <w:tcBorders>
              <w:top w:val="nil"/>
              <w:left w:val="single" w:sz="4" w:space="0" w:color="auto"/>
              <w:bottom w:val="single" w:sz="4" w:space="0" w:color="auto"/>
              <w:right w:val="nil"/>
            </w:tcBorders>
            <w:shd w:val="clear" w:color="auto" w:fill="FFFFFF"/>
            <w:noWrap/>
            <w:vAlign w:val="center"/>
            <w:hideMark/>
          </w:tcPr>
          <w:p w14:paraId="5404386E" w14:textId="01FCBF4E" w:rsidR="001D5092" w:rsidRPr="00D83B1F" w:rsidRDefault="001D5092" w:rsidP="00AD06DC">
            <w:pPr>
              <w:pStyle w:val="Tabletext"/>
              <w:jc w:val="center"/>
            </w:pPr>
            <w:r w:rsidRPr="00D83B1F">
              <w:t>22</w:t>
            </w:r>
          </w:p>
        </w:tc>
        <w:tc>
          <w:tcPr>
            <w:tcW w:w="880" w:type="dxa"/>
            <w:tcBorders>
              <w:top w:val="nil"/>
              <w:left w:val="single" w:sz="4" w:space="0" w:color="auto"/>
              <w:bottom w:val="single" w:sz="4" w:space="0" w:color="auto"/>
              <w:right w:val="nil"/>
            </w:tcBorders>
            <w:shd w:val="clear" w:color="auto" w:fill="FFFFFF"/>
            <w:noWrap/>
            <w:vAlign w:val="center"/>
            <w:hideMark/>
          </w:tcPr>
          <w:p w14:paraId="40F5C135" w14:textId="5911EDB4" w:rsidR="001D5092" w:rsidRPr="00D83B1F" w:rsidRDefault="001D5092" w:rsidP="00AD06DC">
            <w:pPr>
              <w:pStyle w:val="Tabletext"/>
              <w:jc w:val="center"/>
            </w:pPr>
            <w:r w:rsidRPr="00D83B1F">
              <w:t>35</w:t>
            </w:r>
          </w:p>
        </w:tc>
        <w:tc>
          <w:tcPr>
            <w:tcW w:w="622" w:type="dxa"/>
            <w:tcBorders>
              <w:top w:val="single" w:sz="4" w:space="0" w:color="auto"/>
              <w:left w:val="single" w:sz="4" w:space="0" w:color="auto"/>
              <w:bottom w:val="single" w:sz="4" w:space="0" w:color="auto"/>
              <w:right w:val="single" w:sz="4" w:space="0" w:color="auto"/>
            </w:tcBorders>
            <w:vAlign w:val="center"/>
            <w:hideMark/>
          </w:tcPr>
          <w:p w14:paraId="2F01E1A7" w14:textId="5C91D9FA" w:rsidR="001D5092" w:rsidRPr="00D83B1F" w:rsidRDefault="001D5092" w:rsidP="00AD06DC">
            <w:pPr>
              <w:pStyle w:val="Tabletext"/>
              <w:jc w:val="center"/>
            </w:pPr>
            <w:r w:rsidRPr="00D83B1F">
              <w:t>26</w:t>
            </w:r>
          </w:p>
        </w:tc>
        <w:tc>
          <w:tcPr>
            <w:tcW w:w="846" w:type="dxa"/>
            <w:tcBorders>
              <w:top w:val="single" w:sz="4" w:space="0" w:color="auto"/>
              <w:left w:val="single" w:sz="4" w:space="0" w:color="auto"/>
              <w:bottom w:val="single" w:sz="4" w:space="0" w:color="auto"/>
              <w:right w:val="single" w:sz="8" w:space="0" w:color="auto"/>
            </w:tcBorders>
            <w:vAlign w:val="center"/>
            <w:hideMark/>
          </w:tcPr>
          <w:p w14:paraId="763A7D82" w14:textId="38DFE0BA" w:rsidR="001D5092" w:rsidRPr="00D83B1F" w:rsidRDefault="001D5092" w:rsidP="00AD06DC">
            <w:pPr>
              <w:pStyle w:val="Tabletext"/>
              <w:jc w:val="center"/>
            </w:pPr>
            <w:r w:rsidRPr="00D83B1F">
              <w:t>15</w:t>
            </w:r>
          </w:p>
        </w:tc>
        <w:tc>
          <w:tcPr>
            <w:tcW w:w="7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128BA5" w14:textId="7FBD2385" w:rsidR="001D5092" w:rsidRPr="00D83B1F" w:rsidRDefault="001D5092" w:rsidP="00AD06DC">
            <w:pPr>
              <w:pStyle w:val="Tabletext"/>
              <w:jc w:val="center"/>
            </w:pPr>
            <w:r w:rsidRPr="00D83B1F">
              <w:t>9</w:t>
            </w:r>
          </w:p>
        </w:tc>
        <w:tc>
          <w:tcPr>
            <w:tcW w:w="712" w:type="dxa"/>
            <w:tcBorders>
              <w:top w:val="nil"/>
              <w:left w:val="single" w:sz="8" w:space="0" w:color="auto"/>
              <w:bottom w:val="single" w:sz="4" w:space="0" w:color="auto"/>
              <w:right w:val="single" w:sz="8" w:space="0" w:color="auto"/>
            </w:tcBorders>
            <w:shd w:val="clear" w:color="auto" w:fill="auto"/>
            <w:vAlign w:val="center"/>
          </w:tcPr>
          <w:p w14:paraId="2358C98D" w14:textId="16666771" w:rsidR="001D5092" w:rsidRPr="00D83B1F" w:rsidRDefault="001D5092" w:rsidP="00AD06DC">
            <w:pPr>
              <w:pStyle w:val="Tabletext"/>
              <w:jc w:val="center"/>
              <w:rPr>
                <w:b/>
                <w:bCs/>
              </w:rPr>
            </w:pPr>
            <w:r w:rsidRPr="00D83B1F">
              <w:t>19</w:t>
            </w:r>
          </w:p>
        </w:tc>
        <w:tc>
          <w:tcPr>
            <w:tcW w:w="713" w:type="dxa"/>
            <w:tcBorders>
              <w:top w:val="nil"/>
              <w:left w:val="single" w:sz="8" w:space="0" w:color="auto"/>
              <w:bottom w:val="single" w:sz="4" w:space="0" w:color="auto"/>
              <w:right w:val="single" w:sz="8" w:space="0" w:color="auto"/>
            </w:tcBorders>
            <w:shd w:val="clear" w:color="auto" w:fill="AEAAAA"/>
            <w:noWrap/>
            <w:vAlign w:val="center"/>
            <w:hideMark/>
          </w:tcPr>
          <w:p w14:paraId="3CEDED1F" w14:textId="1FB10007" w:rsidR="001D5092" w:rsidRPr="00D83B1F" w:rsidRDefault="001D5092" w:rsidP="00AD06DC">
            <w:pPr>
              <w:pStyle w:val="Tabletext"/>
              <w:jc w:val="center"/>
              <w:rPr>
                <w:b/>
                <w:bCs/>
              </w:rPr>
            </w:pPr>
            <w:r w:rsidRPr="00D83B1F">
              <w:rPr>
                <w:b/>
                <w:bCs/>
              </w:rPr>
              <w:t>345</w:t>
            </w:r>
          </w:p>
        </w:tc>
      </w:tr>
      <w:tr w:rsidR="001D5092" w:rsidRPr="00D83B1F" w14:paraId="40850C5B" w14:textId="77777777" w:rsidTr="00CE6191">
        <w:trPr>
          <w:trHeight w:val="300"/>
          <w:jc w:val="center"/>
        </w:trPr>
        <w:tc>
          <w:tcPr>
            <w:tcW w:w="2391" w:type="dxa"/>
            <w:tcBorders>
              <w:top w:val="nil"/>
              <w:left w:val="single" w:sz="8" w:space="0" w:color="auto"/>
              <w:bottom w:val="single" w:sz="4" w:space="0" w:color="auto"/>
              <w:right w:val="single" w:sz="4" w:space="0" w:color="auto"/>
            </w:tcBorders>
            <w:noWrap/>
            <w:vAlign w:val="bottom"/>
            <w:hideMark/>
          </w:tcPr>
          <w:p w14:paraId="5A3EF86D" w14:textId="77777777" w:rsidR="001D5092" w:rsidRPr="00D83B1F" w:rsidRDefault="001D5092" w:rsidP="00CE6191">
            <w:pPr>
              <w:pStyle w:val="Tabletext"/>
              <w:rPr>
                <w:lang w:eastAsia="zh-CN"/>
              </w:rPr>
            </w:pPr>
            <w:r w:rsidRPr="00D83B1F">
              <w:rPr>
                <w:lang w:eastAsia="zh-CN"/>
              </w:rPr>
              <w:tab/>
              <w:t>En cours</w:t>
            </w:r>
          </w:p>
        </w:tc>
        <w:tc>
          <w:tcPr>
            <w:tcW w:w="713" w:type="dxa"/>
            <w:tcBorders>
              <w:top w:val="nil"/>
              <w:left w:val="nil"/>
              <w:bottom w:val="single" w:sz="4" w:space="0" w:color="auto"/>
              <w:right w:val="single" w:sz="4" w:space="0" w:color="auto"/>
            </w:tcBorders>
            <w:shd w:val="clear" w:color="auto" w:fill="FFFFFF"/>
            <w:noWrap/>
            <w:vAlign w:val="center"/>
            <w:hideMark/>
          </w:tcPr>
          <w:p w14:paraId="3CCD6329" w14:textId="77777777" w:rsidR="001D5092" w:rsidRPr="00D83B1F" w:rsidRDefault="001D5092" w:rsidP="00AD06DC">
            <w:pPr>
              <w:pStyle w:val="Tabletext"/>
              <w:jc w:val="center"/>
              <w:rPr>
                <w:lang w:eastAsia="zh-CN"/>
              </w:rPr>
            </w:pPr>
            <w:r w:rsidRPr="00D83B1F">
              <w:rPr>
                <w:lang w:eastAsia="zh-CN"/>
              </w:rPr>
              <w:t>0</w:t>
            </w:r>
          </w:p>
        </w:tc>
        <w:tc>
          <w:tcPr>
            <w:tcW w:w="628" w:type="dxa"/>
            <w:tcBorders>
              <w:top w:val="nil"/>
              <w:left w:val="nil"/>
              <w:bottom w:val="single" w:sz="4" w:space="0" w:color="auto"/>
              <w:right w:val="single" w:sz="4" w:space="0" w:color="auto"/>
            </w:tcBorders>
            <w:noWrap/>
            <w:vAlign w:val="center"/>
            <w:hideMark/>
          </w:tcPr>
          <w:p w14:paraId="2E61F583" w14:textId="77777777" w:rsidR="001D5092" w:rsidRPr="00D83B1F" w:rsidRDefault="001D5092" w:rsidP="00AD06DC">
            <w:pPr>
              <w:pStyle w:val="Tabletext"/>
              <w:jc w:val="center"/>
              <w:rPr>
                <w:lang w:eastAsia="zh-CN"/>
              </w:rPr>
            </w:pPr>
            <w:r w:rsidRPr="00D83B1F">
              <w:rPr>
                <w:lang w:eastAsia="zh-CN"/>
              </w:rPr>
              <w:t>–</w:t>
            </w:r>
          </w:p>
        </w:tc>
        <w:tc>
          <w:tcPr>
            <w:tcW w:w="711" w:type="dxa"/>
            <w:tcBorders>
              <w:top w:val="nil"/>
              <w:left w:val="nil"/>
              <w:bottom w:val="single" w:sz="4" w:space="0" w:color="auto"/>
              <w:right w:val="single" w:sz="4" w:space="0" w:color="auto"/>
            </w:tcBorders>
            <w:shd w:val="clear" w:color="auto" w:fill="FFFFFF"/>
            <w:noWrap/>
            <w:vAlign w:val="center"/>
            <w:hideMark/>
          </w:tcPr>
          <w:p w14:paraId="7F145F5A" w14:textId="25A74921" w:rsidR="001D5092" w:rsidRPr="00D83B1F" w:rsidRDefault="001D5092" w:rsidP="00AD06DC">
            <w:pPr>
              <w:pStyle w:val="Tabletext"/>
              <w:jc w:val="center"/>
            </w:pPr>
            <w:r w:rsidRPr="00D83B1F">
              <w:t>4</w:t>
            </w:r>
          </w:p>
        </w:tc>
        <w:tc>
          <w:tcPr>
            <w:tcW w:w="712" w:type="dxa"/>
            <w:tcBorders>
              <w:top w:val="nil"/>
              <w:left w:val="nil"/>
              <w:bottom w:val="single" w:sz="4" w:space="0" w:color="auto"/>
              <w:right w:val="nil"/>
            </w:tcBorders>
            <w:shd w:val="clear" w:color="auto" w:fill="FFFFFF"/>
            <w:noWrap/>
            <w:vAlign w:val="center"/>
            <w:hideMark/>
          </w:tcPr>
          <w:p w14:paraId="4B9B0BD0" w14:textId="180EFFB9" w:rsidR="001D5092" w:rsidRPr="00D83B1F" w:rsidRDefault="001D5092" w:rsidP="00AD06DC">
            <w:pPr>
              <w:pStyle w:val="Tabletext"/>
              <w:jc w:val="center"/>
            </w:pPr>
            <w:r w:rsidRPr="00D83B1F">
              <w:t>2</w:t>
            </w:r>
          </w:p>
        </w:tc>
        <w:tc>
          <w:tcPr>
            <w:tcW w:w="712" w:type="dxa"/>
            <w:tcBorders>
              <w:top w:val="nil"/>
              <w:left w:val="single" w:sz="4" w:space="0" w:color="auto"/>
              <w:bottom w:val="single" w:sz="4" w:space="0" w:color="auto"/>
              <w:right w:val="nil"/>
            </w:tcBorders>
            <w:shd w:val="clear" w:color="auto" w:fill="FFFFFF"/>
            <w:noWrap/>
            <w:vAlign w:val="center"/>
            <w:hideMark/>
          </w:tcPr>
          <w:p w14:paraId="1620F7D1" w14:textId="5EAF641E" w:rsidR="001D5092" w:rsidRPr="00D83B1F" w:rsidRDefault="001D5092" w:rsidP="00AD06DC">
            <w:pPr>
              <w:pStyle w:val="Tabletext"/>
              <w:jc w:val="center"/>
            </w:pPr>
            <w:r w:rsidRPr="00D83B1F">
              <w:t>0</w:t>
            </w:r>
          </w:p>
        </w:tc>
        <w:tc>
          <w:tcPr>
            <w:tcW w:w="712" w:type="dxa"/>
            <w:tcBorders>
              <w:top w:val="nil"/>
              <w:left w:val="single" w:sz="4" w:space="0" w:color="auto"/>
              <w:bottom w:val="single" w:sz="4" w:space="0" w:color="auto"/>
              <w:right w:val="nil"/>
            </w:tcBorders>
            <w:shd w:val="clear" w:color="auto" w:fill="FFFFFF"/>
            <w:noWrap/>
            <w:vAlign w:val="center"/>
            <w:hideMark/>
          </w:tcPr>
          <w:p w14:paraId="09CFCAD2" w14:textId="2A1A3788" w:rsidR="001D5092" w:rsidRPr="00D83B1F" w:rsidRDefault="001D5092" w:rsidP="00AD06DC">
            <w:pPr>
              <w:pStyle w:val="Tabletext"/>
              <w:jc w:val="center"/>
            </w:pPr>
            <w:r w:rsidRPr="00D83B1F">
              <w:t>6</w:t>
            </w:r>
          </w:p>
        </w:tc>
        <w:tc>
          <w:tcPr>
            <w:tcW w:w="880" w:type="dxa"/>
            <w:tcBorders>
              <w:top w:val="nil"/>
              <w:left w:val="single" w:sz="4" w:space="0" w:color="auto"/>
              <w:bottom w:val="single" w:sz="4" w:space="0" w:color="auto"/>
              <w:right w:val="nil"/>
            </w:tcBorders>
            <w:shd w:val="clear" w:color="auto" w:fill="FFFFFF"/>
            <w:noWrap/>
            <w:vAlign w:val="center"/>
            <w:hideMark/>
          </w:tcPr>
          <w:p w14:paraId="03A48F1E" w14:textId="3720813C" w:rsidR="001D5092" w:rsidRPr="00D83B1F" w:rsidRDefault="001D5092" w:rsidP="00AD06DC">
            <w:pPr>
              <w:pStyle w:val="Tabletext"/>
              <w:jc w:val="center"/>
            </w:pPr>
            <w:r w:rsidRPr="00D83B1F">
              <w:t>13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13278C" w14:textId="09DA65CE" w:rsidR="001D5092" w:rsidRPr="00D83B1F" w:rsidRDefault="001D5092" w:rsidP="00AD06DC">
            <w:pPr>
              <w:pStyle w:val="Tabletext"/>
              <w:jc w:val="center"/>
            </w:pPr>
            <w:r w:rsidRPr="00D83B1F">
              <w:t>10</w:t>
            </w:r>
          </w:p>
        </w:tc>
        <w:tc>
          <w:tcPr>
            <w:tcW w:w="846" w:type="dxa"/>
            <w:tcBorders>
              <w:top w:val="single" w:sz="4" w:space="0" w:color="auto"/>
              <w:left w:val="single" w:sz="4" w:space="0" w:color="auto"/>
              <w:bottom w:val="single" w:sz="4" w:space="0" w:color="auto"/>
              <w:right w:val="single" w:sz="8" w:space="0" w:color="auto"/>
            </w:tcBorders>
            <w:vAlign w:val="center"/>
            <w:hideMark/>
          </w:tcPr>
          <w:p w14:paraId="08E101CD" w14:textId="1EE6E37A" w:rsidR="001D5092" w:rsidRPr="00D83B1F" w:rsidRDefault="00414DFB" w:rsidP="00AD06DC">
            <w:pPr>
              <w:pStyle w:val="Tabletext"/>
              <w:jc w:val="center"/>
            </w:pPr>
            <w:r w:rsidRPr="00D83B1F">
              <w:t>3</w:t>
            </w:r>
          </w:p>
        </w:tc>
        <w:tc>
          <w:tcPr>
            <w:tcW w:w="7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D63AAB" w14:textId="498D28C0" w:rsidR="001D5092" w:rsidRPr="00D83B1F" w:rsidRDefault="001D5092" w:rsidP="00AD06DC">
            <w:pPr>
              <w:pStyle w:val="Tabletext"/>
              <w:jc w:val="center"/>
            </w:pPr>
            <w:r w:rsidRPr="00D83B1F">
              <w:t>4</w:t>
            </w:r>
          </w:p>
        </w:tc>
        <w:tc>
          <w:tcPr>
            <w:tcW w:w="712" w:type="dxa"/>
            <w:tcBorders>
              <w:top w:val="nil"/>
              <w:left w:val="single" w:sz="8" w:space="0" w:color="auto"/>
              <w:bottom w:val="single" w:sz="4" w:space="0" w:color="auto"/>
              <w:right w:val="single" w:sz="8" w:space="0" w:color="auto"/>
            </w:tcBorders>
            <w:shd w:val="clear" w:color="auto" w:fill="auto"/>
            <w:vAlign w:val="center"/>
          </w:tcPr>
          <w:p w14:paraId="419127DA" w14:textId="719B13D1" w:rsidR="001D5092" w:rsidRPr="00D83B1F" w:rsidRDefault="001D5092" w:rsidP="00AD06DC">
            <w:pPr>
              <w:pStyle w:val="Tabletext"/>
              <w:jc w:val="center"/>
              <w:rPr>
                <w:b/>
                <w:bCs/>
              </w:rPr>
            </w:pPr>
            <w:r w:rsidRPr="00D83B1F">
              <w:t>13</w:t>
            </w:r>
          </w:p>
        </w:tc>
        <w:tc>
          <w:tcPr>
            <w:tcW w:w="713" w:type="dxa"/>
            <w:tcBorders>
              <w:top w:val="nil"/>
              <w:left w:val="single" w:sz="8" w:space="0" w:color="auto"/>
              <w:bottom w:val="single" w:sz="4" w:space="0" w:color="auto"/>
              <w:right w:val="single" w:sz="8" w:space="0" w:color="auto"/>
            </w:tcBorders>
            <w:shd w:val="clear" w:color="auto" w:fill="AEAAAA"/>
            <w:noWrap/>
            <w:vAlign w:val="center"/>
            <w:hideMark/>
          </w:tcPr>
          <w:p w14:paraId="3B0EC414" w14:textId="0B97586C" w:rsidR="001D5092" w:rsidRPr="00D83B1F" w:rsidRDefault="001D5092" w:rsidP="00AD06DC">
            <w:pPr>
              <w:pStyle w:val="Tabletext"/>
              <w:jc w:val="center"/>
              <w:rPr>
                <w:b/>
                <w:bCs/>
              </w:rPr>
            </w:pPr>
            <w:r w:rsidRPr="00D83B1F">
              <w:rPr>
                <w:b/>
                <w:bCs/>
              </w:rPr>
              <w:t>55</w:t>
            </w:r>
          </w:p>
        </w:tc>
      </w:tr>
      <w:tr w:rsidR="001D5092" w:rsidRPr="00D83B1F" w14:paraId="541807D5" w14:textId="77777777" w:rsidTr="00CE6191">
        <w:trPr>
          <w:trHeight w:val="300"/>
          <w:jc w:val="center"/>
        </w:trPr>
        <w:tc>
          <w:tcPr>
            <w:tcW w:w="2391" w:type="dxa"/>
            <w:tcBorders>
              <w:top w:val="nil"/>
              <w:left w:val="single" w:sz="8" w:space="0" w:color="auto"/>
              <w:bottom w:val="single" w:sz="4" w:space="0" w:color="auto"/>
              <w:right w:val="single" w:sz="4" w:space="0" w:color="auto"/>
            </w:tcBorders>
            <w:noWrap/>
            <w:vAlign w:val="bottom"/>
            <w:hideMark/>
          </w:tcPr>
          <w:p w14:paraId="4B37D7C6" w14:textId="77777777" w:rsidR="001D5092" w:rsidRPr="00D83B1F" w:rsidRDefault="001D5092" w:rsidP="00CE6191">
            <w:pPr>
              <w:pStyle w:val="Tabletext"/>
              <w:rPr>
                <w:lang w:eastAsia="zh-CN"/>
              </w:rPr>
            </w:pPr>
            <w:r w:rsidRPr="00D83B1F">
              <w:rPr>
                <w:lang w:eastAsia="zh-CN"/>
              </w:rPr>
              <w:tab/>
              <w:t>Retardées</w:t>
            </w:r>
          </w:p>
        </w:tc>
        <w:tc>
          <w:tcPr>
            <w:tcW w:w="713" w:type="dxa"/>
            <w:tcBorders>
              <w:top w:val="nil"/>
              <w:left w:val="nil"/>
              <w:bottom w:val="single" w:sz="4" w:space="0" w:color="auto"/>
              <w:right w:val="single" w:sz="4" w:space="0" w:color="auto"/>
            </w:tcBorders>
            <w:shd w:val="clear" w:color="auto" w:fill="FFFFFF"/>
            <w:noWrap/>
            <w:vAlign w:val="center"/>
            <w:hideMark/>
          </w:tcPr>
          <w:p w14:paraId="385DA32B" w14:textId="77777777" w:rsidR="001D5092" w:rsidRPr="00D83B1F" w:rsidRDefault="001D5092" w:rsidP="00AD06DC">
            <w:pPr>
              <w:pStyle w:val="Tabletext"/>
              <w:jc w:val="center"/>
              <w:rPr>
                <w:lang w:eastAsia="zh-CN"/>
              </w:rPr>
            </w:pPr>
            <w:r w:rsidRPr="00D83B1F">
              <w:rPr>
                <w:lang w:eastAsia="zh-CN"/>
              </w:rPr>
              <w:t>3</w:t>
            </w:r>
          </w:p>
        </w:tc>
        <w:tc>
          <w:tcPr>
            <w:tcW w:w="628" w:type="dxa"/>
            <w:tcBorders>
              <w:top w:val="nil"/>
              <w:left w:val="nil"/>
              <w:bottom w:val="single" w:sz="4" w:space="0" w:color="auto"/>
              <w:right w:val="single" w:sz="4" w:space="0" w:color="auto"/>
            </w:tcBorders>
            <w:noWrap/>
            <w:vAlign w:val="center"/>
            <w:hideMark/>
          </w:tcPr>
          <w:p w14:paraId="7B497319" w14:textId="77777777" w:rsidR="001D5092" w:rsidRPr="00D83B1F" w:rsidRDefault="001D5092" w:rsidP="00AD06DC">
            <w:pPr>
              <w:pStyle w:val="Tabletext"/>
              <w:jc w:val="center"/>
              <w:rPr>
                <w:lang w:eastAsia="zh-CN"/>
              </w:rPr>
            </w:pPr>
            <w:r w:rsidRPr="00D83B1F">
              <w:rPr>
                <w:lang w:eastAsia="zh-CN"/>
              </w:rPr>
              <w:t>–</w:t>
            </w:r>
          </w:p>
        </w:tc>
        <w:tc>
          <w:tcPr>
            <w:tcW w:w="711" w:type="dxa"/>
            <w:tcBorders>
              <w:top w:val="nil"/>
              <w:left w:val="nil"/>
              <w:bottom w:val="single" w:sz="4" w:space="0" w:color="auto"/>
              <w:right w:val="single" w:sz="4" w:space="0" w:color="auto"/>
            </w:tcBorders>
            <w:shd w:val="clear" w:color="auto" w:fill="FFFFFF"/>
            <w:noWrap/>
            <w:vAlign w:val="center"/>
            <w:hideMark/>
          </w:tcPr>
          <w:p w14:paraId="4BD1750D" w14:textId="79D34BDB" w:rsidR="001D5092" w:rsidRPr="00D83B1F" w:rsidRDefault="001D5092" w:rsidP="00AD06DC">
            <w:pPr>
              <w:pStyle w:val="Tabletext"/>
              <w:jc w:val="center"/>
            </w:pPr>
            <w:r w:rsidRPr="00D83B1F">
              <w:t>0</w:t>
            </w:r>
          </w:p>
        </w:tc>
        <w:tc>
          <w:tcPr>
            <w:tcW w:w="712" w:type="dxa"/>
            <w:tcBorders>
              <w:top w:val="nil"/>
              <w:left w:val="nil"/>
              <w:bottom w:val="single" w:sz="4" w:space="0" w:color="auto"/>
              <w:right w:val="nil"/>
            </w:tcBorders>
            <w:shd w:val="clear" w:color="auto" w:fill="FFFFFF"/>
            <w:noWrap/>
            <w:vAlign w:val="center"/>
            <w:hideMark/>
          </w:tcPr>
          <w:p w14:paraId="3D844E03" w14:textId="2E7036ED" w:rsidR="001D5092" w:rsidRPr="00D83B1F" w:rsidRDefault="001D5092" w:rsidP="00AD06DC">
            <w:pPr>
              <w:pStyle w:val="Tabletext"/>
              <w:jc w:val="center"/>
            </w:pPr>
            <w:r w:rsidRPr="00D83B1F">
              <w:t>0</w:t>
            </w:r>
          </w:p>
        </w:tc>
        <w:tc>
          <w:tcPr>
            <w:tcW w:w="712" w:type="dxa"/>
            <w:tcBorders>
              <w:top w:val="nil"/>
              <w:left w:val="single" w:sz="4" w:space="0" w:color="auto"/>
              <w:bottom w:val="single" w:sz="4" w:space="0" w:color="auto"/>
              <w:right w:val="nil"/>
            </w:tcBorders>
            <w:shd w:val="clear" w:color="auto" w:fill="FFFFFF"/>
            <w:noWrap/>
            <w:vAlign w:val="center"/>
            <w:hideMark/>
          </w:tcPr>
          <w:p w14:paraId="17B19E36" w14:textId="4060E52E" w:rsidR="001D5092" w:rsidRPr="00D83B1F" w:rsidRDefault="001D5092" w:rsidP="00AD06DC">
            <w:pPr>
              <w:pStyle w:val="Tabletext"/>
              <w:jc w:val="center"/>
            </w:pPr>
            <w:r w:rsidRPr="00D83B1F">
              <w:t>0</w:t>
            </w:r>
          </w:p>
        </w:tc>
        <w:tc>
          <w:tcPr>
            <w:tcW w:w="712" w:type="dxa"/>
            <w:tcBorders>
              <w:top w:val="nil"/>
              <w:left w:val="single" w:sz="4" w:space="0" w:color="auto"/>
              <w:bottom w:val="single" w:sz="4" w:space="0" w:color="auto"/>
              <w:right w:val="nil"/>
            </w:tcBorders>
            <w:shd w:val="clear" w:color="auto" w:fill="FFFFFF"/>
            <w:noWrap/>
            <w:vAlign w:val="center"/>
            <w:hideMark/>
          </w:tcPr>
          <w:p w14:paraId="140F3E49" w14:textId="4FF46267" w:rsidR="001D5092" w:rsidRPr="00D83B1F" w:rsidRDefault="001D5092" w:rsidP="00AD06DC">
            <w:pPr>
              <w:pStyle w:val="Tabletext"/>
              <w:jc w:val="center"/>
            </w:pPr>
            <w:r w:rsidRPr="00D83B1F">
              <w:t>0</w:t>
            </w:r>
          </w:p>
        </w:tc>
        <w:tc>
          <w:tcPr>
            <w:tcW w:w="880" w:type="dxa"/>
            <w:tcBorders>
              <w:top w:val="nil"/>
              <w:left w:val="single" w:sz="4" w:space="0" w:color="auto"/>
              <w:bottom w:val="single" w:sz="4" w:space="0" w:color="auto"/>
              <w:right w:val="nil"/>
            </w:tcBorders>
            <w:shd w:val="clear" w:color="auto" w:fill="FFFFFF"/>
            <w:noWrap/>
            <w:vAlign w:val="center"/>
            <w:hideMark/>
          </w:tcPr>
          <w:p w14:paraId="27D520A2" w14:textId="78EF86D3" w:rsidR="001D5092" w:rsidRPr="00D83B1F" w:rsidRDefault="001D5092" w:rsidP="00AD06DC">
            <w:pPr>
              <w:pStyle w:val="Tabletext"/>
              <w:jc w:val="center"/>
            </w:pPr>
            <w:r w:rsidRPr="00D83B1F">
              <w:t>0</w:t>
            </w:r>
          </w:p>
        </w:tc>
        <w:tc>
          <w:tcPr>
            <w:tcW w:w="622" w:type="dxa"/>
            <w:tcBorders>
              <w:top w:val="single" w:sz="4" w:space="0" w:color="auto"/>
              <w:left w:val="single" w:sz="4" w:space="0" w:color="auto"/>
              <w:bottom w:val="single" w:sz="4" w:space="0" w:color="auto"/>
              <w:right w:val="single" w:sz="4" w:space="0" w:color="auto"/>
            </w:tcBorders>
            <w:vAlign w:val="center"/>
            <w:hideMark/>
          </w:tcPr>
          <w:p w14:paraId="36519D7A" w14:textId="5EBB34F5" w:rsidR="001D5092" w:rsidRPr="00D83B1F" w:rsidRDefault="001D5092" w:rsidP="00AD06DC">
            <w:pPr>
              <w:pStyle w:val="Tabletext"/>
              <w:jc w:val="center"/>
            </w:pPr>
            <w:r w:rsidRPr="00D83B1F">
              <w:t>0</w:t>
            </w:r>
          </w:p>
        </w:tc>
        <w:tc>
          <w:tcPr>
            <w:tcW w:w="846" w:type="dxa"/>
            <w:tcBorders>
              <w:top w:val="single" w:sz="4" w:space="0" w:color="auto"/>
              <w:left w:val="single" w:sz="4" w:space="0" w:color="auto"/>
              <w:bottom w:val="single" w:sz="4" w:space="0" w:color="auto"/>
              <w:right w:val="single" w:sz="8" w:space="0" w:color="auto"/>
            </w:tcBorders>
            <w:vAlign w:val="center"/>
            <w:hideMark/>
          </w:tcPr>
          <w:p w14:paraId="741314C1" w14:textId="3D3E4DFD" w:rsidR="001D5092" w:rsidRPr="00D83B1F" w:rsidRDefault="001D5092" w:rsidP="00AD06DC">
            <w:pPr>
              <w:pStyle w:val="Tabletext"/>
              <w:jc w:val="center"/>
            </w:pPr>
            <w:r w:rsidRPr="00D83B1F">
              <w:t>0</w:t>
            </w:r>
          </w:p>
        </w:tc>
        <w:tc>
          <w:tcPr>
            <w:tcW w:w="7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1597CB" w14:textId="1A42C837" w:rsidR="001D5092" w:rsidRPr="00D83B1F" w:rsidRDefault="001D5092" w:rsidP="00AD06DC">
            <w:pPr>
              <w:pStyle w:val="Tabletext"/>
              <w:jc w:val="center"/>
            </w:pPr>
            <w:r w:rsidRPr="00D83B1F">
              <w:t>0</w:t>
            </w:r>
          </w:p>
        </w:tc>
        <w:tc>
          <w:tcPr>
            <w:tcW w:w="712" w:type="dxa"/>
            <w:tcBorders>
              <w:top w:val="nil"/>
              <w:left w:val="single" w:sz="8" w:space="0" w:color="auto"/>
              <w:bottom w:val="single" w:sz="4" w:space="0" w:color="auto"/>
              <w:right w:val="single" w:sz="8" w:space="0" w:color="auto"/>
            </w:tcBorders>
            <w:shd w:val="clear" w:color="auto" w:fill="auto"/>
            <w:vAlign w:val="center"/>
          </w:tcPr>
          <w:p w14:paraId="7B099013" w14:textId="65543AD9" w:rsidR="001D5092" w:rsidRPr="00D83B1F" w:rsidRDefault="001D5092" w:rsidP="00AD06DC">
            <w:pPr>
              <w:pStyle w:val="Tabletext"/>
              <w:jc w:val="center"/>
              <w:rPr>
                <w:b/>
                <w:bCs/>
              </w:rPr>
            </w:pPr>
            <w:r w:rsidRPr="00D83B1F">
              <w:t>4</w:t>
            </w:r>
          </w:p>
        </w:tc>
        <w:tc>
          <w:tcPr>
            <w:tcW w:w="713" w:type="dxa"/>
            <w:tcBorders>
              <w:top w:val="nil"/>
              <w:left w:val="single" w:sz="8" w:space="0" w:color="auto"/>
              <w:bottom w:val="single" w:sz="4" w:space="0" w:color="auto"/>
              <w:right w:val="single" w:sz="8" w:space="0" w:color="auto"/>
            </w:tcBorders>
            <w:shd w:val="clear" w:color="auto" w:fill="AEAAAA"/>
            <w:noWrap/>
            <w:vAlign w:val="center"/>
            <w:hideMark/>
          </w:tcPr>
          <w:p w14:paraId="1B101C3D" w14:textId="3AA5594F" w:rsidR="001D5092" w:rsidRPr="00D83B1F" w:rsidRDefault="001D5092" w:rsidP="00AD06DC">
            <w:pPr>
              <w:pStyle w:val="Tabletext"/>
              <w:jc w:val="center"/>
              <w:rPr>
                <w:b/>
                <w:bCs/>
              </w:rPr>
            </w:pPr>
            <w:r w:rsidRPr="00D83B1F">
              <w:rPr>
                <w:b/>
                <w:bCs/>
              </w:rPr>
              <w:t>7</w:t>
            </w:r>
          </w:p>
        </w:tc>
      </w:tr>
      <w:tr w:rsidR="001D5092" w:rsidRPr="00D83B1F" w14:paraId="654DF16F" w14:textId="77777777" w:rsidTr="00CE6191">
        <w:trPr>
          <w:trHeight w:val="315"/>
          <w:jc w:val="center"/>
        </w:trPr>
        <w:tc>
          <w:tcPr>
            <w:tcW w:w="2391" w:type="dxa"/>
            <w:tcBorders>
              <w:top w:val="single" w:sz="4" w:space="0" w:color="auto"/>
              <w:left w:val="single" w:sz="8" w:space="0" w:color="auto"/>
              <w:bottom w:val="single" w:sz="4" w:space="0" w:color="auto"/>
              <w:right w:val="single" w:sz="4" w:space="0" w:color="auto"/>
            </w:tcBorders>
            <w:noWrap/>
            <w:vAlign w:val="bottom"/>
            <w:hideMark/>
          </w:tcPr>
          <w:p w14:paraId="38F14EA5" w14:textId="77777777" w:rsidR="001D5092" w:rsidRPr="00D83B1F" w:rsidRDefault="001D5092" w:rsidP="00CE6191">
            <w:pPr>
              <w:pStyle w:val="Tabletext"/>
              <w:rPr>
                <w:lang w:eastAsia="zh-CN"/>
              </w:rPr>
            </w:pPr>
            <w:r w:rsidRPr="00D83B1F">
              <w:rPr>
                <w:lang w:eastAsia="zh-CN"/>
              </w:rPr>
              <w:tab/>
              <w:t>Closes</w:t>
            </w:r>
          </w:p>
        </w:tc>
        <w:tc>
          <w:tcPr>
            <w:tcW w:w="713" w:type="dxa"/>
            <w:tcBorders>
              <w:top w:val="single" w:sz="4" w:space="0" w:color="auto"/>
              <w:left w:val="nil"/>
              <w:bottom w:val="single" w:sz="4" w:space="0" w:color="auto"/>
              <w:right w:val="single" w:sz="4" w:space="0" w:color="auto"/>
            </w:tcBorders>
            <w:shd w:val="clear" w:color="auto" w:fill="FFFFFF"/>
            <w:noWrap/>
            <w:vAlign w:val="center"/>
            <w:hideMark/>
          </w:tcPr>
          <w:p w14:paraId="1C62E8BC" w14:textId="77777777" w:rsidR="001D5092" w:rsidRPr="00D83B1F" w:rsidRDefault="001D5092" w:rsidP="00AD06DC">
            <w:pPr>
              <w:pStyle w:val="Tabletext"/>
              <w:jc w:val="center"/>
              <w:rPr>
                <w:lang w:eastAsia="zh-CN"/>
              </w:rPr>
            </w:pPr>
            <w:r w:rsidRPr="00D83B1F">
              <w:rPr>
                <w:lang w:eastAsia="zh-CN"/>
              </w:rPr>
              <w:t>14</w:t>
            </w:r>
          </w:p>
        </w:tc>
        <w:tc>
          <w:tcPr>
            <w:tcW w:w="628" w:type="dxa"/>
            <w:tcBorders>
              <w:top w:val="single" w:sz="4" w:space="0" w:color="auto"/>
              <w:left w:val="nil"/>
              <w:bottom w:val="single" w:sz="4" w:space="0" w:color="auto"/>
              <w:right w:val="single" w:sz="4" w:space="0" w:color="auto"/>
            </w:tcBorders>
            <w:noWrap/>
            <w:vAlign w:val="center"/>
            <w:hideMark/>
          </w:tcPr>
          <w:p w14:paraId="19873124" w14:textId="77777777" w:rsidR="001D5092" w:rsidRPr="00D83B1F" w:rsidRDefault="001D5092" w:rsidP="00AD06DC">
            <w:pPr>
              <w:pStyle w:val="Tabletext"/>
              <w:jc w:val="center"/>
              <w:rPr>
                <w:lang w:eastAsia="zh-CN"/>
              </w:rPr>
            </w:pPr>
            <w:r w:rsidRPr="00D83B1F">
              <w:rPr>
                <w:lang w:eastAsia="zh-CN"/>
              </w:rPr>
              <w:t>–</w:t>
            </w:r>
          </w:p>
        </w:tc>
        <w:tc>
          <w:tcPr>
            <w:tcW w:w="711" w:type="dxa"/>
            <w:tcBorders>
              <w:top w:val="single" w:sz="4" w:space="0" w:color="auto"/>
              <w:left w:val="nil"/>
              <w:bottom w:val="single" w:sz="4" w:space="0" w:color="auto"/>
              <w:right w:val="single" w:sz="4" w:space="0" w:color="auto"/>
            </w:tcBorders>
            <w:shd w:val="clear" w:color="auto" w:fill="FFFFFF"/>
            <w:noWrap/>
            <w:vAlign w:val="center"/>
            <w:hideMark/>
          </w:tcPr>
          <w:p w14:paraId="7274F86F" w14:textId="58E25EE7" w:rsidR="001D5092" w:rsidRPr="00D83B1F" w:rsidRDefault="001D5092" w:rsidP="00AD06DC">
            <w:pPr>
              <w:pStyle w:val="Tabletext"/>
              <w:jc w:val="center"/>
            </w:pPr>
            <w:r w:rsidRPr="00D83B1F">
              <w:t>109</w:t>
            </w:r>
          </w:p>
        </w:tc>
        <w:tc>
          <w:tcPr>
            <w:tcW w:w="712" w:type="dxa"/>
            <w:tcBorders>
              <w:top w:val="single" w:sz="4" w:space="0" w:color="auto"/>
              <w:left w:val="nil"/>
              <w:bottom w:val="single" w:sz="4" w:space="0" w:color="auto"/>
              <w:right w:val="nil"/>
            </w:tcBorders>
            <w:shd w:val="clear" w:color="auto" w:fill="FFFFFF"/>
            <w:noWrap/>
            <w:vAlign w:val="center"/>
            <w:hideMark/>
          </w:tcPr>
          <w:p w14:paraId="0C6BA9AC" w14:textId="14DA4EA1" w:rsidR="001D5092" w:rsidRPr="00D83B1F" w:rsidRDefault="001D5092" w:rsidP="00AD06DC">
            <w:pPr>
              <w:pStyle w:val="Tabletext"/>
              <w:jc w:val="center"/>
            </w:pPr>
            <w:r w:rsidRPr="00D83B1F">
              <w:t>53</w:t>
            </w:r>
          </w:p>
        </w:tc>
        <w:tc>
          <w:tcPr>
            <w:tcW w:w="712" w:type="dxa"/>
            <w:tcBorders>
              <w:top w:val="single" w:sz="4" w:space="0" w:color="auto"/>
              <w:left w:val="single" w:sz="4" w:space="0" w:color="auto"/>
              <w:bottom w:val="single" w:sz="4" w:space="0" w:color="auto"/>
              <w:right w:val="nil"/>
            </w:tcBorders>
            <w:shd w:val="clear" w:color="auto" w:fill="FFFFFF"/>
            <w:noWrap/>
            <w:vAlign w:val="center"/>
            <w:hideMark/>
          </w:tcPr>
          <w:p w14:paraId="1958DBF7" w14:textId="79176664" w:rsidR="001D5092" w:rsidRPr="00D83B1F" w:rsidRDefault="001D5092" w:rsidP="00AD06DC">
            <w:pPr>
              <w:pStyle w:val="Tabletext"/>
              <w:jc w:val="center"/>
            </w:pPr>
            <w:r w:rsidRPr="00D83B1F">
              <w:t>34</w:t>
            </w:r>
          </w:p>
        </w:tc>
        <w:tc>
          <w:tcPr>
            <w:tcW w:w="712" w:type="dxa"/>
            <w:tcBorders>
              <w:top w:val="single" w:sz="4" w:space="0" w:color="auto"/>
              <w:left w:val="single" w:sz="4" w:space="0" w:color="auto"/>
              <w:bottom w:val="single" w:sz="4" w:space="0" w:color="auto"/>
              <w:right w:val="nil"/>
            </w:tcBorders>
            <w:shd w:val="clear" w:color="auto" w:fill="FFFFFF"/>
            <w:noWrap/>
            <w:vAlign w:val="center"/>
            <w:hideMark/>
          </w:tcPr>
          <w:p w14:paraId="00FB5A37" w14:textId="4175C7EF" w:rsidR="001D5092" w:rsidRPr="00D83B1F" w:rsidRDefault="001D5092" w:rsidP="00AD06DC">
            <w:pPr>
              <w:pStyle w:val="Tabletext"/>
              <w:jc w:val="center"/>
            </w:pPr>
            <w:r w:rsidRPr="00D83B1F">
              <w:t>16</w:t>
            </w:r>
          </w:p>
        </w:tc>
        <w:tc>
          <w:tcPr>
            <w:tcW w:w="880" w:type="dxa"/>
            <w:tcBorders>
              <w:top w:val="single" w:sz="4" w:space="0" w:color="auto"/>
              <w:left w:val="single" w:sz="4" w:space="0" w:color="auto"/>
              <w:bottom w:val="single" w:sz="4" w:space="0" w:color="auto"/>
              <w:right w:val="nil"/>
            </w:tcBorders>
            <w:shd w:val="clear" w:color="auto" w:fill="FFFFFF"/>
            <w:noWrap/>
            <w:vAlign w:val="center"/>
            <w:hideMark/>
          </w:tcPr>
          <w:p w14:paraId="45C0AE65" w14:textId="04B6EBFD" w:rsidR="001D5092" w:rsidRPr="00D83B1F" w:rsidRDefault="001D5092" w:rsidP="00AD06DC">
            <w:pPr>
              <w:pStyle w:val="Tabletext"/>
              <w:jc w:val="center"/>
            </w:pPr>
            <w:r w:rsidRPr="00D83B1F">
              <w:t>22</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EF3E4D" w14:textId="4483B2AB" w:rsidR="001D5092" w:rsidRPr="00D83B1F" w:rsidRDefault="001D5092" w:rsidP="00AD06DC">
            <w:pPr>
              <w:pStyle w:val="Tabletext"/>
              <w:jc w:val="center"/>
            </w:pPr>
            <w:r w:rsidRPr="00D83B1F">
              <w:t>16</w:t>
            </w:r>
          </w:p>
        </w:tc>
        <w:tc>
          <w:tcPr>
            <w:tcW w:w="846" w:type="dxa"/>
            <w:tcBorders>
              <w:top w:val="single" w:sz="4" w:space="0" w:color="auto"/>
              <w:left w:val="single" w:sz="4" w:space="0" w:color="auto"/>
              <w:bottom w:val="single" w:sz="4" w:space="0" w:color="auto"/>
              <w:right w:val="single" w:sz="8" w:space="0" w:color="auto"/>
            </w:tcBorders>
            <w:vAlign w:val="center"/>
            <w:hideMark/>
          </w:tcPr>
          <w:p w14:paraId="7435B43C" w14:textId="5AFF5C72" w:rsidR="001D5092" w:rsidRPr="00D83B1F" w:rsidRDefault="00414DFB" w:rsidP="00AD06DC">
            <w:pPr>
              <w:pStyle w:val="Tabletext"/>
              <w:jc w:val="center"/>
            </w:pPr>
            <w:r w:rsidRPr="00D83B1F">
              <w:t>12</w:t>
            </w:r>
          </w:p>
        </w:tc>
        <w:tc>
          <w:tcPr>
            <w:tcW w:w="712" w:type="dxa"/>
            <w:tcBorders>
              <w:top w:val="single" w:sz="8" w:space="0" w:color="auto"/>
              <w:left w:val="single" w:sz="8" w:space="0" w:color="auto"/>
              <w:right w:val="single" w:sz="8" w:space="0" w:color="auto"/>
            </w:tcBorders>
            <w:shd w:val="clear" w:color="auto" w:fill="FFFFFF" w:themeFill="background1"/>
            <w:vAlign w:val="center"/>
          </w:tcPr>
          <w:p w14:paraId="4E7915BE" w14:textId="67DB0028" w:rsidR="001D5092" w:rsidRPr="00D83B1F" w:rsidRDefault="001D5092" w:rsidP="00AD06DC">
            <w:pPr>
              <w:pStyle w:val="Tabletext"/>
              <w:jc w:val="center"/>
            </w:pPr>
            <w:r w:rsidRPr="00D83B1F">
              <w:t>5</w:t>
            </w:r>
          </w:p>
        </w:tc>
        <w:tc>
          <w:tcPr>
            <w:tcW w:w="712" w:type="dxa"/>
            <w:tcBorders>
              <w:top w:val="single" w:sz="4" w:space="0" w:color="auto"/>
              <w:left w:val="single" w:sz="8" w:space="0" w:color="auto"/>
              <w:right w:val="single" w:sz="8" w:space="0" w:color="auto"/>
            </w:tcBorders>
            <w:shd w:val="clear" w:color="auto" w:fill="auto"/>
            <w:vAlign w:val="center"/>
          </w:tcPr>
          <w:p w14:paraId="63ACC49F" w14:textId="6B6295D5" w:rsidR="001D5092" w:rsidRPr="00D83B1F" w:rsidRDefault="001D5092" w:rsidP="00AD06DC">
            <w:pPr>
              <w:pStyle w:val="Tabletext"/>
              <w:jc w:val="center"/>
              <w:rPr>
                <w:b/>
                <w:bCs/>
              </w:rPr>
            </w:pPr>
            <w:r w:rsidRPr="00D83B1F">
              <w:t>2</w:t>
            </w:r>
          </w:p>
        </w:tc>
        <w:tc>
          <w:tcPr>
            <w:tcW w:w="713" w:type="dxa"/>
            <w:tcBorders>
              <w:top w:val="single" w:sz="4" w:space="0" w:color="auto"/>
              <w:left w:val="single" w:sz="8" w:space="0" w:color="auto"/>
              <w:bottom w:val="single" w:sz="4" w:space="0" w:color="auto"/>
              <w:right w:val="single" w:sz="8" w:space="0" w:color="auto"/>
            </w:tcBorders>
            <w:shd w:val="clear" w:color="auto" w:fill="AEAAAA"/>
            <w:noWrap/>
            <w:vAlign w:val="center"/>
            <w:hideMark/>
          </w:tcPr>
          <w:p w14:paraId="4B505EB4" w14:textId="5CA3BAB9" w:rsidR="001D5092" w:rsidRPr="00D83B1F" w:rsidRDefault="001D5092" w:rsidP="00AD06DC">
            <w:pPr>
              <w:pStyle w:val="Tabletext"/>
              <w:jc w:val="center"/>
              <w:rPr>
                <w:b/>
                <w:bCs/>
              </w:rPr>
            </w:pPr>
            <w:r w:rsidRPr="00D83B1F">
              <w:rPr>
                <w:b/>
                <w:bCs/>
              </w:rPr>
              <w:t>283</w:t>
            </w:r>
          </w:p>
        </w:tc>
      </w:tr>
      <w:tr w:rsidR="001D5092" w:rsidRPr="00D83B1F" w14:paraId="3E77C692" w14:textId="77777777" w:rsidTr="00AD06DC">
        <w:trPr>
          <w:trHeight w:val="105"/>
          <w:jc w:val="center"/>
        </w:trPr>
        <w:tc>
          <w:tcPr>
            <w:tcW w:w="2391" w:type="dxa"/>
            <w:tcBorders>
              <w:top w:val="single" w:sz="4" w:space="0" w:color="auto"/>
              <w:bottom w:val="single" w:sz="8" w:space="0" w:color="auto"/>
            </w:tcBorders>
          </w:tcPr>
          <w:p w14:paraId="4B956CED" w14:textId="77777777" w:rsidR="001D5092" w:rsidRPr="00D83B1F" w:rsidRDefault="001D5092" w:rsidP="00CE6191">
            <w:pPr>
              <w:pStyle w:val="Tabletext"/>
              <w:rPr>
                <w:lang w:eastAsia="zh-CN"/>
              </w:rPr>
            </w:pPr>
          </w:p>
        </w:tc>
        <w:tc>
          <w:tcPr>
            <w:tcW w:w="713" w:type="dxa"/>
            <w:tcBorders>
              <w:top w:val="single" w:sz="4" w:space="0" w:color="auto"/>
              <w:bottom w:val="single" w:sz="8" w:space="0" w:color="auto"/>
            </w:tcBorders>
          </w:tcPr>
          <w:p w14:paraId="799A87C5" w14:textId="77777777" w:rsidR="001D5092" w:rsidRPr="00D83B1F" w:rsidRDefault="001D5092" w:rsidP="00AD06DC">
            <w:pPr>
              <w:pStyle w:val="Tabletext"/>
              <w:jc w:val="center"/>
              <w:rPr>
                <w:lang w:eastAsia="zh-CN"/>
              </w:rPr>
            </w:pPr>
          </w:p>
        </w:tc>
        <w:tc>
          <w:tcPr>
            <w:tcW w:w="7960" w:type="dxa"/>
            <w:gridSpan w:val="11"/>
            <w:tcBorders>
              <w:top w:val="single" w:sz="4" w:space="0" w:color="auto"/>
              <w:bottom w:val="single" w:sz="8" w:space="0" w:color="auto"/>
            </w:tcBorders>
            <w:shd w:val="clear" w:color="auto" w:fill="auto"/>
            <w:noWrap/>
            <w:vAlign w:val="center"/>
            <w:hideMark/>
          </w:tcPr>
          <w:p w14:paraId="7A342B8D" w14:textId="760003B1" w:rsidR="001D5092" w:rsidRPr="00D83B1F" w:rsidRDefault="001D5092" w:rsidP="00AD06DC">
            <w:pPr>
              <w:pStyle w:val="Tabletext"/>
              <w:jc w:val="center"/>
              <w:rPr>
                <w:lang w:eastAsia="zh-CN"/>
              </w:rPr>
            </w:pPr>
          </w:p>
        </w:tc>
      </w:tr>
      <w:tr w:rsidR="001D5092" w:rsidRPr="00D83B1F" w14:paraId="4B2BA9A0" w14:textId="77777777" w:rsidTr="00AD06DC">
        <w:trPr>
          <w:trHeight w:val="315"/>
          <w:jc w:val="center"/>
        </w:trPr>
        <w:tc>
          <w:tcPr>
            <w:tcW w:w="2391" w:type="dxa"/>
            <w:tcBorders>
              <w:top w:val="single" w:sz="8" w:space="0" w:color="auto"/>
              <w:left w:val="single" w:sz="8" w:space="0" w:color="auto"/>
              <w:bottom w:val="single" w:sz="4" w:space="0" w:color="auto"/>
              <w:right w:val="single" w:sz="4" w:space="0" w:color="auto"/>
            </w:tcBorders>
            <w:noWrap/>
            <w:vAlign w:val="bottom"/>
            <w:hideMark/>
          </w:tcPr>
          <w:p w14:paraId="14099CBE" w14:textId="77777777" w:rsidR="001D5092" w:rsidRPr="00D83B1F" w:rsidRDefault="001D5092" w:rsidP="00CE6191">
            <w:pPr>
              <w:pStyle w:val="Tabletext"/>
              <w:rPr>
                <w:lang w:eastAsia="zh-CN"/>
              </w:rPr>
            </w:pPr>
            <w:r w:rsidRPr="00D83B1F">
              <w:rPr>
                <w:lang w:eastAsia="zh-CN"/>
              </w:rPr>
              <w:t>% de recommandations en cours</w:t>
            </w:r>
          </w:p>
        </w:tc>
        <w:tc>
          <w:tcPr>
            <w:tcW w:w="713" w:type="dxa"/>
            <w:tcBorders>
              <w:top w:val="single" w:sz="8" w:space="0" w:color="auto"/>
              <w:left w:val="nil"/>
              <w:bottom w:val="single" w:sz="4" w:space="0" w:color="auto"/>
              <w:right w:val="single" w:sz="4" w:space="0" w:color="auto"/>
            </w:tcBorders>
            <w:noWrap/>
            <w:vAlign w:val="center"/>
            <w:hideMark/>
          </w:tcPr>
          <w:p w14:paraId="4FCEE65C" w14:textId="77777777" w:rsidR="001D5092" w:rsidRPr="00D83B1F" w:rsidRDefault="001D5092" w:rsidP="00AD06DC">
            <w:pPr>
              <w:pStyle w:val="Tabletext"/>
              <w:jc w:val="center"/>
              <w:rPr>
                <w:lang w:eastAsia="zh-CN"/>
              </w:rPr>
            </w:pPr>
            <w:r w:rsidRPr="00D83B1F">
              <w:rPr>
                <w:lang w:eastAsia="zh-CN"/>
              </w:rPr>
              <w:t>0%</w:t>
            </w:r>
          </w:p>
        </w:tc>
        <w:tc>
          <w:tcPr>
            <w:tcW w:w="628" w:type="dxa"/>
            <w:tcBorders>
              <w:top w:val="single" w:sz="8" w:space="0" w:color="auto"/>
              <w:left w:val="nil"/>
              <w:bottom w:val="single" w:sz="4" w:space="0" w:color="auto"/>
              <w:right w:val="single" w:sz="4" w:space="0" w:color="auto"/>
            </w:tcBorders>
            <w:noWrap/>
            <w:vAlign w:val="center"/>
            <w:hideMark/>
          </w:tcPr>
          <w:p w14:paraId="4F68403F" w14:textId="77777777" w:rsidR="001D5092" w:rsidRPr="00D83B1F" w:rsidRDefault="001D5092" w:rsidP="00AD06DC">
            <w:pPr>
              <w:pStyle w:val="Tabletext"/>
              <w:jc w:val="center"/>
              <w:rPr>
                <w:lang w:eastAsia="zh-CN"/>
              </w:rPr>
            </w:pPr>
            <w:r w:rsidRPr="00D83B1F">
              <w:rPr>
                <w:lang w:eastAsia="zh-CN"/>
              </w:rPr>
              <w:t>–</w:t>
            </w:r>
          </w:p>
        </w:tc>
        <w:tc>
          <w:tcPr>
            <w:tcW w:w="711" w:type="dxa"/>
            <w:tcBorders>
              <w:top w:val="single" w:sz="8" w:space="0" w:color="auto"/>
              <w:left w:val="nil"/>
              <w:bottom w:val="single" w:sz="4" w:space="0" w:color="auto"/>
              <w:right w:val="single" w:sz="4" w:space="0" w:color="auto"/>
            </w:tcBorders>
            <w:noWrap/>
            <w:vAlign w:val="center"/>
            <w:hideMark/>
          </w:tcPr>
          <w:p w14:paraId="6D758F25" w14:textId="4C2F7C08" w:rsidR="001D5092" w:rsidRPr="00D83B1F" w:rsidRDefault="001D5092" w:rsidP="00AD06DC">
            <w:pPr>
              <w:pStyle w:val="Tabletext"/>
              <w:jc w:val="center"/>
            </w:pPr>
            <w:r w:rsidRPr="00D83B1F">
              <w:t>4%</w:t>
            </w:r>
          </w:p>
        </w:tc>
        <w:tc>
          <w:tcPr>
            <w:tcW w:w="712" w:type="dxa"/>
            <w:tcBorders>
              <w:top w:val="single" w:sz="8" w:space="0" w:color="auto"/>
              <w:left w:val="nil"/>
              <w:bottom w:val="single" w:sz="4" w:space="0" w:color="auto"/>
              <w:right w:val="single" w:sz="4" w:space="0" w:color="auto"/>
            </w:tcBorders>
            <w:noWrap/>
            <w:vAlign w:val="center"/>
            <w:hideMark/>
          </w:tcPr>
          <w:p w14:paraId="52016B9C" w14:textId="68F72806" w:rsidR="001D5092" w:rsidRPr="00D83B1F" w:rsidRDefault="001D5092" w:rsidP="00AD06DC">
            <w:pPr>
              <w:pStyle w:val="Tabletext"/>
              <w:jc w:val="center"/>
            </w:pPr>
            <w:r w:rsidRPr="00D83B1F">
              <w:t>4%</w:t>
            </w:r>
          </w:p>
        </w:tc>
        <w:tc>
          <w:tcPr>
            <w:tcW w:w="712" w:type="dxa"/>
            <w:tcBorders>
              <w:top w:val="single" w:sz="8" w:space="0" w:color="auto"/>
              <w:left w:val="nil"/>
              <w:bottom w:val="single" w:sz="4" w:space="0" w:color="auto"/>
              <w:right w:val="single" w:sz="4" w:space="0" w:color="auto"/>
            </w:tcBorders>
            <w:noWrap/>
            <w:vAlign w:val="center"/>
            <w:hideMark/>
          </w:tcPr>
          <w:p w14:paraId="1B8A328A" w14:textId="4CA82BF4" w:rsidR="001D5092" w:rsidRPr="00D83B1F" w:rsidRDefault="001D5092" w:rsidP="00AD06DC">
            <w:pPr>
              <w:pStyle w:val="Tabletext"/>
              <w:jc w:val="center"/>
            </w:pPr>
            <w:r w:rsidRPr="00D83B1F">
              <w:t>0%</w:t>
            </w:r>
          </w:p>
        </w:tc>
        <w:tc>
          <w:tcPr>
            <w:tcW w:w="712" w:type="dxa"/>
            <w:tcBorders>
              <w:top w:val="single" w:sz="8" w:space="0" w:color="auto"/>
              <w:left w:val="nil"/>
              <w:bottom w:val="single" w:sz="4" w:space="0" w:color="auto"/>
              <w:right w:val="single" w:sz="4" w:space="0" w:color="auto"/>
            </w:tcBorders>
            <w:noWrap/>
            <w:vAlign w:val="center"/>
            <w:hideMark/>
          </w:tcPr>
          <w:p w14:paraId="1FC19D12" w14:textId="18213915" w:rsidR="001D5092" w:rsidRPr="00D83B1F" w:rsidRDefault="001D5092" w:rsidP="00AD06DC">
            <w:pPr>
              <w:pStyle w:val="Tabletext"/>
              <w:jc w:val="center"/>
            </w:pPr>
            <w:r w:rsidRPr="00D83B1F">
              <w:t>27%</w:t>
            </w:r>
          </w:p>
        </w:tc>
        <w:tc>
          <w:tcPr>
            <w:tcW w:w="880" w:type="dxa"/>
            <w:tcBorders>
              <w:top w:val="single" w:sz="8" w:space="0" w:color="auto"/>
              <w:left w:val="nil"/>
              <w:bottom w:val="single" w:sz="4" w:space="0" w:color="auto"/>
              <w:right w:val="nil"/>
            </w:tcBorders>
            <w:noWrap/>
            <w:vAlign w:val="center"/>
            <w:hideMark/>
          </w:tcPr>
          <w:p w14:paraId="61B37336" w14:textId="3341768B" w:rsidR="001D5092" w:rsidRPr="00D83B1F" w:rsidRDefault="001D5092" w:rsidP="00AD06DC">
            <w:pPr>
              <w:pStyle w:val="Tabletext"/>
              <w:jc w:val="center"/>
            </w:pPr>
            <w:r w:rsidRPr="00D83B1F">
              <w:t>37%</w:t>
            </w:r>
          </w:p>
        </w:tc>
        <w:tc>
          <w:tcPr>
            <w:tcW w:w="622" w:type="dxa"/>
            <w:tcBorders>
              <w:top w:val="single" w:sz="8" w:space="0" w:color="auto"/>
              <w:left w:val="single" w:sz="4" w:space="0" w:color="auto"/>
              <w:bottom w:val="single" w:sz="4" w:space="0" w:color="auto"/>
              <w:right w:val="single" w:sz="4" w:space="0" w:color="auto"/>
            </w:tcBorders>
            <w:vAlign w:val="center"/>
            <w:hideMark/>
          </w:tcPr>
          <w:p w14:paraId="3C57B6E2" w14:textId="5FF6E36C" w:rsidR="001D5092" w:rsidRPr="00D83B1F" w:rsidRDefault="001D5092" w:rsidP="00AD06DC">
            <w:pPr>
              <w:pStyle w:val="Tabletext"/>
              <w:jc w:val="center"/>
            </w:pPr>
            <w:r w:rsidRPr="00D83B1F">
              <w:t>38%</w:t>
            </w:r>
          </w:p>
        </w:tc>
        <w:tc>
          <w:tcPr>
            <w:tcW w:w="846" w:type="dxa"/>
            <w:tcBorders>
              <w:top w:val="single" w:sz="8" w:space="0" w:color="auto"/>
              <w:left w:val="single" w:sz="4" w:space="0" w:color="auto"/>
              <w:bottom w:val="single" w:sz="4" w:space="0" w:color="auto"/>
              <w:right w:val="single" w:sz="4" w:space="0" w:color="auto"/>
            </w:tcBorders>
            <w:vAlign w:val="center"/>
            <w:hideMark/>
          </w:tcPr>
          <w:p w14:paraId="0C0FD4E5" w14:textId="55A5E0EC" w:rsidR="001D5092" w:rsidRPr="00D83B1F" w:rsidRDefault="00414DFB" w:rsidP="00AD06DC">
            <w:pPr>
              <w:pStyle w:val="Tabletext"/>
              <w:jc w:val="center"/>
            </w:pPr>
            <w:r w:rsidRPr="00D83B1F">
              <w:t>20</w:t>
            </w:r>
            <w:r w:rsidR="001D5092" w:rsidRPr="00D83B1F">
              <w:t>%</w:t>
            </w:r>
          </w:p>
        </w:tc>
        <w:tc>
          <w:tcPr>
            <w:tcW w:w="712"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70E78D0" w14:textId="14F4662B" w:rsidR="001D5092" w:rsidRPr="00D83B1F" w:rsidRDefault="001D5092" w:rsidP="00AD06DC">
            <w:pPr>
              <w:pStyle w:val="Tabletext"/>
              <w:jc w:val="center"/>
            </w:pPr>
            <w:r w:rsidRPr="00D83B1F">
              <w:t>44%</w:t>
            </w:r>
          </w:p>
        </w:tc>
        <w:tc>
          <w:tcPr>
            <w:tcW w:w="712" w:type="dxa"/>
            <w:tcBorders>
              <w:top w:val="single" w:sz="8" w:space="0" w:color="auto"/>
              <w:left w:val="single" w:sz="4" w:space="0" w:color="auto"/>
              <w:bottom w:val="single" w:sz="4" w:space="0" w:color="auto"/>
              <w:right w:val="single" w:sz="4" w:space="0" w:color="auto"/>
            </w:tcBorders>
            <w:shd w:val="clear" w:color="auto" w:fill="auto"/>
            <w:vAlign w:val="center"/>
          </w:tcPr>
          <w:p w14:paraId="13005FD1" w14:textId="401B0803" w:rsidR="001D5092" w:rsidRPr="00D83B1F" w:rsidRDefault="001D5092" w:rsidP="00AD06DC">
            <w:pPr>
              <w:pStyle w:val="Tabletext"/>
              <w:jc w:val="center"/>
              <w:rPr>
                <w:b/>
                <w:bCs/>
              </w:rPr>
            </w:pPr>
            <w:r w:rsidRPr="00D83B1F">
              <w:t>68%</w:t>
            </w:r>
          </w:p>
        </w:tc>
        <w:tc>
          <w:tcPr>
            <w:tcW w:w="713" w:type="dxa"/>
            <w:tcBorders>
              <w:top w:val="single" w:sz="8" w:space="0" w:color="auto"/>
              <w:left w:val="single" w:sz="4" w:space="0" w:color="auto"/>
              <w:bottom w:val="single" w:sz="4" w:space="0" w:color="auto"/>
              <w:right w:val="single" w:sz="8" w:space="0" w:color="auto"/>
            </w:tcBorders>
            <w:shd w:val="clear" w:color="auto" w:fill="AEAAAA"/>
            <w:noWrap/>
            <w:vAlign w:val="center"/>
            <w:hideMark/>
          </w:tcPr>
          <w:p w14:paraId="56671208" w14:textId="737D7395" w:rsidR="001D5092" w:rsidRPr="00D83B1F" w:rsidRDefault="001D5092" w:rsidP="00AD06DC">
            <w:pPr>
              <w:pStyle w:val="Tabletext"/>
              <w:jc w:val="center"/>
              <w:rPr>
                <w:b/>
                <w:bCs/>
              </w:rPr>
            </w:pPr>
            <w:r w:rsidRPr="00D83B1F">
              <w:rPr>
                <w:b/>
                <w:bCs/>
              </w:rPr>
              <w:t>16%</w:t>
            </w:r>
          </w:p>
        </w:tc>
      </w:tr>
      <w:tr w:rsidR="001D5092" w:rsidRPr="00D83B1F" w14:paraId="055E1A42" w14:textId="77777777" w:rsidTr="00AD06DC">
        <w:trPr>
          <w:trHeight w:val="315"/>
          <w:jc w:val="center"/>
        </w:trPr>
        <w:tc>
          <w:tcPr>
            <w:tcW w:w="2391" w:type="dxa"/>
            <w:tcBorders>
              <w:top w:val="single" w:sz="4" w:space="0" w:color="auto"/>
              <w:left w:val="single" w:sz="8" w:space="0" w:color="auto"/>
              <w:bottom w:val="single" w:sz="4" w:space="0" w:color="auto"/>
              <w:right w:val="single" w:sz="4" w:space="0" w:color="auto"/>
            </w:tcBorders>
            <w:noWrap/>
            <w:vAlign w:val="bottom"/>
            <w:hideMark/>
          </w:tcPr>
          <w:p w14:paraId="65174E77" w14:textId="77777777" w:rsidR="001D5092" w:rsidRPr="00D83B1F" w:rsidRDefault="001D5092" w:rsidP="00CE6191">
            <w:pPr>
              <w:pStyle w:val="Tabletext"/>
              <w:rPr>
                <w:lang w:eastAsia="zh-CN"/>
              </w:rPr>
            </w:pPr>
            <w:r w:rsidRPr="00D83B1F">
              <w:rPr>
                <w:lang w:eastAsia="zh-CN"/>
              </w:rPr>
              <w:t>% de recommandations retardées</w:t>
            </w:r>
          </w:p>
        </w:tc>
        <w:tc>
          <w:tcPr>
            <w:tcW w:w="713" w:type="dxa"/>
            <w:tcBorders>
              <w:top w:val="single" w:sz="4" w:space="0" w:color="auto"/>
              <w:left w:val="nil"/>
              <w:bottom w:val="single" w:sz="4" w:space="0" w:color="auto"/>
              <w:right w:val="single" w:sz="4" w:space="0" w:color="auto"/>
            </w:tcBorders>
            <w:noWrap/>
            <w:vAlign w:val="center"/>
            <w:hideMark/>
          </w:tcPr>
          <w:p w14:paraId="4A2A2849" w14:textId="77777777" w:rsidR="001D5092" w:rsidRPr="00D83B1F" w:rsidRDefault="001D5092" w:rsidP="00AD06DC">
            <w:pPr>
              <w:pStyle w:val="Tabletext"/>
              <w:jc w:val="center"/>
              <w:rPr>
                <w:lang w:eastAsia="zh-CN"/>
              </w:rPr>
            </w:pPr>
            <w:r w:rsidRPr="00D83B1F">
              <w:rPr>
                <w:lang w:eastAsia="zh-CN"/>
              </w:rPr>
              <w:t>18%</w:t>
            </w:r>
          </w:p>
        </w:tc>
        <w:tc>
          <w:tcPr>
            <w:tcW w:w="628" w:type="dxa"/>
            <w:tcBorders>
              <w:top w:val="single" w:sz="4" w:space="0" w:color="auto"/>
              <w:left w:val="nil"/>
              <w:bottom w:val="single" w:sz="4" w:space="0" w:color="auto"/>
              <w:right w:val="single" w:sz="4" w:space="0" w:color="auto"/>
            </w:tcBorders>
            <w:noWrap/>
            <w:vAlign w:val="center"/>
            <w:hideMark/>
          </w:tcPr>
          <w:p w14:paraId="4E58586D" w14:textId="77777777" w:rsidR="001D5092" w:rsidRPr="00D83B1F" w:rsidRDefault="001D5092" w:rsidP="00AD06DC">
            <w:pPr>
              <w:pStyle w:val="Tabletext"/>
              <w:jc w:val="center"/>
              <w:rPr>
                <w:lang w:eastAsia="zh-CN"/>
              </w:rPr>
            </w:pPr>
            <w:r w:rsidRPr="00D83B1F">
              <w:rPr>
                <w:lang w:eastAsia="zh-CN"/>
              </w:rPr>
              <w:t>–</w:t>
            </w:r>
          </w:p>
        </w:tc>
        <w:tc>
          <w:tcPr>
            <w:tcW w:w="711" w:type="dxa"/>
            <w:tcBorders>
              <w:top w:val="single" w:sz="4" w:space="0" w:color="auto"/>
              <w:left w:val="nil"/>
              <w:bottom w:val="single" w:sz="4" w:space="0" w:color="auto"/>
              <w:right w:val="single" w:sz="4" w:space="0" w:color="auto"/>
            </w:tcBorders>
            <w:shd w:val="clear" w:color="auto" w:fill="FFFFFF"/>
            <w:noWrap/>
            <w:vAlign w:val="center"/>
            <w:hideMark/>
          </w:tcPr>
          <w:p w14:paraId="2E453A9F" w14:textId="061C6F5E" w:rsidR="001D5092" w:rsidRPr="00D83B1F" w:rsidRDefault="001D5092" w:rsidP="00AD06DC">
            <w:pPr>
              <w:pStyle w:val="Tabletext"/>
              <w:jc w:val="center"/>
            </w:pPr>
            <w:r w:rsidRPr="00D83B1F">
              <w:t>0%</w:t>
            </w:r>
          </w:p>
        </w:tc>
        <w:tc>
          <w:tcPr>
            <w:tcW w:w="712" w:type="dxa"/>
            <w:tcBorders>
              <w:top w:val="single" w:sz="4" w:space="0" w:color="auto"/>
              <w:left w:val="nil"/>
              <w:bottom w:val="single" w:sz="4" w:space="0" w:color="auto"/>
              <w:right w:val="single" w:sz="4" w:space="0" w:color="auto"/>
            </w:tcBorders>
            <w:shd w:val="clear" w:color="auto" w:fill="FFFFFF"/>
            <w:noWrap/>
            <w:vAlign w:val="center"/>
            <w:hideMark/>
          </w:tcPr>
          <w:p w14:paraId="30E6A441" w14:textId="0A54E848" w:rsidR="001D5092" w:rsidRPr="00D83B1F" w:rsidRDefault="001D5092" w:rsidP="00AD06DC">
            <w:pPr>
              <w:pStyle w:val="Tabletext"/>
              <w:jc w:val="center"/>
            </w:pPr>
            <w:r w:rsidRPr="00D83B1F">
              <w:t>0%</w:t>
            </w:r>
          </w:p>
        </w:tc>
        <w:tc>
          <w:tcPr>
            <w:tcW w:w="712" w:type="dxa"/>
            <w:tcBorders>
              <w:top w:val="single" w:sz="4" w:space="0" w:color="auto"/>
              <w:left w:val="nil"/>
              <w:bottom w:val="single" w:sz="4" w:space="0" w:color="auto"/>
              <w:right w:val="single" w:sz="4" w:space="0" w:color="auto"/>
            </w:tcBorders>
            <w:noWrap/>
            <w:vAlign w:val="center"/>
            <w:hideMark/>
          </w:tcPr>
          <w:p w14:paraId="1B3817D3" w14:textId="53BD630E" w:rsidR="001D5092" w:rsidRPr="00D83B1F" w:rsidRDefault="001D5092" w:rsidP="00AD06DC">
            <w:pPr>
              <w:pStyle w:val="Tabletext"/>
              <w:jc w:val="center"/>
            </w:pPr>
            <w:r w:rsidRPr="00D83B1F">
              <w:t>0%</w:t>
            </w:r>
          </w:p>
        </w:tc>
        <w:tc>
          <w:tcPr>
            <w:tcW w:w="712" w:type="dxa"/>
            <w:tcBorders>
              <w:top w:val="single" w:sz="4" w:space="0" w:color="auto"/>
              <w:left w:val="nil"/>
              <w:bottom w:val="single" w:sz="4" w:space="0" w:color="auto"/>
              <w:right w:val="single" w:sz="4" w:space="0" w:color="auto"/>
            </w:tcBorders>
            <w:noWrap/>
            <w:vAlign w:val="center"/>
            <w:hideMark/>
          </w:tcPr>
          <w:p w14:paraId="51F6B4B2" w14:textId="19E051E8" w:rsidR="001D5092" w:rsidRPr="00D83B1F" w:rsidRDefault="001D5092" w:rsidP="00AD06DC">
            <w:pPr>
              <w:pStyle w:val="Tabletext"/>
              <w:jc w:val="center"/>
            </w:pPr>
            <w:r w:rsidRPr="00D83B1F">
              <w:t>0%</w:t>
            </w:r>
          </w:p>
        </w:tc>
        <w:tc>
          <w:tcPr>
            <w:tcW w:w="880" w:type="dxa"/>
            <w:tcBorders>
              <w:top w:val="single" w:sz="4" w:space="0" w:color="auto"/>
              <w:left w:val="nil"/>
              <w:bottom w:val="single" w:sz="4" w:space="0" w:color="auto"/>
              <w:right w:val="nil"/>
            </w:tcBorders>
            <w:noWrap/>
            <w:vAlign w:val="center"/>
            <w:hideMark/>
          </w:tcPr>
          <w:p w14:paraId="007EEF9A" w14:textId="633DF54D" w:rsidR="001D5092" w:rsidRPr="00D83B1F" w:rsidRDefault="001D5092" w:rsidP="00AD06DC">
            <w:pPr>
              <w:pStyle w:val="Tabletext"/>
              <w:jc w:val="center"/>
            </w:pPr>
            <w:r w:rsidRPr="00D83B1F">
              <w:t>0%</w:t>
            </w:r>
          </w:p>
        </w:tc>
        <w:tc>
          <w:tcPr>
            <w:tcW w:w="622" w:type="dxa"/>
            <w:tcBorders>
              <w:top w:val="single" w:sz="4" w:space="0" w:color="auto"/>
              <w:left w:val="single" w:sz="4" w:space="0" w:color="auto"/>
              <w:bottom w:val="single" w:sz="4" w:space="0" w:color="auto"/>
              <w:right w:val="single" w:sz="4" w:space="0" w:color="auto"/>
            </w:tcBorders>
            <w:vAlign w:val="center"/>
            <w:hideMark/>
          </w:tcPr>
          <w:p w14:paraId="20BA9FBE" w14:textId="09D827DB" w:rsidR="001D5092" w:rsidRPr="00D83B1F" w:rsidRDefault="001D5092" w:rsidP="00AD06DC">
            <w:pPr>
              <w:pStyle w:val="Tabletext"/>
              <w:jc w:val="center"/>
            </w:pPr>
            <w:r w:rsidRPr="00D83B1F">
              <w:t>0%</w:t>
            </w:r>
          </w:p>
        </w:tc>
        <w:tc>
          <w:tcPr>
            <w:tcW w:w="846" w:type="dxa"/>
            <w:tcBorders>
              <w:top w:val="single" w:sz="4" w:space="0" w:color="auto"/>
              <w:left w:val="single" w:sz="4" w:space="0" w:color="auto"/>
              <w:bottom w:val="single" w:sz="4" w:space="0" w:color="auto"/>
              <w:right w:val="single" w:sz="4" w:space="0" w:color="auto"/>
            </w:tcBorders>
            <w:vAlign w:val="center"/>
            <w:hideMark/>
          </w:tcPr>
          <w:p w14:paraId="328F09BA" w14:textId="229DF48D" w:rsidR="001D5092" w:rsidRPr="00D83B1F" w:rsidRDefault="001D5092" w:rsidP="00AD06DC">
            <w:pPr>
              <w:pStyle w:val="Tabletext"/>
              <w:jc w:val="center"/>
            </w:pPr>
            <w:r w:rsidRPr="00D83B1F">
              <w:t>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3F533" w14:textId="20BB8297" w:rsidR="001D5092" w:rsidRPr="00D83B1F" w:rsidRDefault="001D5092" w:rsidP="00AD06DC">
            <w:pPr>
              <w:pStyle w:val="Tabletext"/>
              <w:jc w:val="center"/>
            </w:pPr>
            <w:r w:rsidRPr="00D83B1F">
              <w:t>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14EC8D1A" w14:textId="680F29D6" w:rsidR="001D5092" w:rsidRPr="00D83B1F" w:rsidRDefault="001D5092" w:rsidP="00AD06DC">
            <w:pPr>
              <w:pStyle w:val="Tabletext"/>
              <w:jc w:val="center"/>
              <w:rPr>
                <w:b/>
                <w:bCs/>
              </w:rPr>
            </w:pPr>
            <w:r w:rsidRPr="00D83B1F">
              <w:t>21%</w:t>
            </w:r>
          </w:p>
        </w:tc>
        <w:tc>
          <w:tcPr>
            <w:tcW w:w="713" w:type="dxa"/>
            <w:tcBorders>
              <w:top w:val="single" w:sz="4" w:space="0" w:color="auto"/>
              <w:left w:val="single" w:sz="4" w:space="0" w:color="auto"/>
              <w:bottom w:val="single" w:sz="4" w:space="0" w:color="auto"/>
              <w:right w:val="single" w:sz="8" w:space="0" w:color="auto"/>
            </w:tcBorders>
            <w:shd w:val="clear" w:color="auto" w:fill="AEAAAA"/>
            <w:noWrap/>
            <w:vAlign w:val="center"/>
            <w:hideMark/>
          </w:tcPr>
          <w:p w14:paraId="3474F169" w14:textId="49B70CB3" w:rsidR="001D5092" w:rsidRPr="00D83B1F" w:rsidRDefault="001D5092" w:rsidP="00AD06DC">
            <w:pPr>
              <w:pStyle w:val="Tabletext"/>
              <w:jc w:val="center"/>
              <w:rPr>
                <w:b/>
                <w:bCs/>
              </w:rPr>
            </w:pPr>
            <w:r w:rsidRPr="00D83B1F">
              <w:rPr>
                <w:b/>
                <w:bCs/>
              </w:rPr>
              <w:t>2%</w:t>
            </w:r>
          </w:p>
        </w:tc>
      </w:tr>
      <w:tr w:rsidR="001D5092" w:rsidRPr="00D83B1F" w14:paraId="33700E8D" w14:textId="77777777" w:rsidTr="00AD06DC">
        <w:trPr>
          <w:trHeight w:val="315"/>
          <w:jc w:val="center"/>
        </w:trPr>
        <w:tc>
          <w:tcPr>
            <w:tcW w:w="2391" w:type="dxa"/>
            <w:tcBorders>
              <w:top w:val="single" w:sz="4" w:space="0" w:color="auto"/>
              <w:left w:val="single" w:sz="8" w:space="0" w:color="auto"/>
              <w:bottom w:val="single" w:sz="4" w:space="0" w:color="auto"/>
              <w:right w:val="single" w:sz="4" w:space="0" w:color="auto"/>
            </w:tcBorders>
            <w:noWrap/>
            <w:vAlign w:val="bottom"/>
            <w:hideMark/>
          </w:tcPr>
          <w:p w14:paraId="06220E4A" w14:textId="77777777" w:rsidR="001D5092" w:rsidRPr="00D83B1F" w:rsidRDefault="001D5092" w:rsidP="00CE6191">
            <w:pPr>
              <w:pStyle w:val="Tabletext"/>
              <w:rPr>
                <w:lang w:eastAsia="zh-CN"/>
              </w:rPr>
            </w:pPr>
            <w:r w:rsidRPr="00D83B1F">
              <w:rPr>
                <w:lang w:eastAsia="zh-CN"/>
              </w:rPr>
              <w:t>% de recommandations closes</w:t>
            </w:r>
          </w:p>
        </w:tc>
        <w:tc>
          <w:tcPr>
            <w:tcW w:w="713" w:type="dxa"/>
            <w:tcBorders>
              <w:top w:val="single" w:sz="4" w:space="0" w:color="auto"/>
              <w:left w:val="nil"/>
              <w:bottom w:val="single" w:sz="4" w:space="0" w:color="auto"/>
              <w:right w:val="single" w:sz="4" w:space="0" w:color="auto"/>
            </w:tcBorders>
            <w:noWrap/>
            <w:vAlign w:val="center"/>
            <w:hideMark/>
          </w:tcPr>
          <w:p w14:paraId="638AE078" w14:textId="77777777" w:rsidR="001D5092" w:rsidRPr="00D83B1F" w:rsidRDefault="001D5092" w:rsidP="00AD06DC">
            <w:pPr>
              <w:pStyle w:val="Tabletext"/>
              <w:jc w:val="center"/>
              <w:rPr>
                <w:lang w:eastAsia="zh-CN"/>
              </w:rPr>
            </w:pPr>
            <w:r w:rsidRPr="00D83B1F">
              <w:rPr>
                <w:lang w:eastAsia="zh-CN"/>
              </w:rPr>
              <w:t>82%</w:t>
            </w:r>
          </w:p>
        </w:tc>
        <w:tc>
          <w:tcPr>
            <w:tcW w:w="628" w:type="dxa"/>
            <w:tcBorders>
              <w:top w:val="single" w:sz="4" w:space="0" w:color="auto"/>
              <w:left w:val="nil"/>
              <w:bottom w:val="single" w:sz="4" w:space="0" w:color="auto"/>
              <w:right w:val="single" w:sz="4" w:space="0" w:color="auto"/>
            </w:tcBorders>
            <w:noWrap/>
            <w:vAlign w:val="center"/>
            <w:hideMark/>
          </w:tcPr>
          <w:p w14:paraId="61D24AE6" w14:textId="77777777" w:rsidR="001D5092" w:rsidRPr="00D83B1F" w:rsidRDefault="001D5092" w:rsidP="00AD06DC">
            <w:pPr>
              <w:pStyle w:val="Tabletext"/>
              <w:jc w:val="center"/>
              <w:rPr>
                <w:lang w:eastAsia="zh-CN"/>
              </w:rPr>
            </w:pPr>
            <w:r w:rsidRPr="00D83B1F">
              <w:rPr>
                <w:lang w:eastAsia="zh-CN"/>
              </w:rPr>
              <w:t>–</w:t>
            </w:r>
          </w:p>
        </w:tc>
        <w:tc>
          <w:tcPr>
            <w:tcW w:w="711" w:type="dxa"/>
            <w:tcBorders>
              <w:top w:val="single" w:sz="4" w:space="0" w:color="auto"/>
              <w:left w:val="nil"/>
              <w:bottom w:val="single" w:sz="4" w:space="0" w:color="auto"/>
              <w:right w:val="single" w:sz="4" w:space="0" w:color="auto"/>
            </w:tcBorders>
            <w:noWrap/>
            <w:vAlign w:val="center"/>
            <w:hideMark/>
          </w:tcPr>
          <w:p w14:paraId="5B903FE8" w14:textId="69C0EA8A" w:rsidR="001D5092" w:rsidRPr="00D83B1F" w:rsidRDefault="001D5092" w:rsidP="00AD06DC">
            <w:pPr>
              <w:pStyle w:val="Tabletext"/>
              <w:jc w:val="center"/>
            </w:pPr>
            <w:r w:rsidRPr="00D83B1F">
              <w:t>96%</w:t>
            </w:r>
          </w:p>
        </w:tc>
        <w:tc>
          <w:tcPr>
            <w:tcW w:w="712" w:type="dxa"/>
            <w:tcBorders>
              <w:top w:val="single" w:sz="4" w:space="0" w:color="auto"/>
              <w:left w:val="nil"/>
              <w:bottom w:val="single" w:sz="4" w:space="0" w:color="auto"/>
              <w:right w:val="single" w:sz="4" w:space="0" w:color="auto"/>
            </w:tcBorders>
            <w:noWrap/>
            <w:vAlign w:val="center"/>
            <w:hideMark/>
          </w:tcPr>
          <w:p w14:paraId="47F085C4" w14:textId="7FE56D1D" w:rsidR="001D5092" w:rsidRPr="00D83B1F" w:rsidRDefault="001D5092" w:rsidP="00AD06DC">
            <w:pPr>
              <w:pStyle w:val="Tabletext"/>
              <w:jc w:val="center"/>
            </w:pPr>
            <w:r w:rsidRPr="00D83B1F">
              <w:t>96%</w:t>
            </w:r>
          </w:p>
        </w:tc>
        <w:tc>
          <w:tcPr>
            <w:tcW w:w="712" w:type="dxa"/>
            <w:tcBorders>
              <w:top w:val="single" w:sz="4" w:space="0" w:color="auto"/>
              <w:left w:val="nil"/>
              <w:bottom w:val="single" w:sz="4" w:space="0" w:color="auto"/>
              <w:right w:val="single" w:sz="4" w:space="0" w:color="auto"/>
            </w:tcBorders>
            <w:noWrap/>
            <w:vAlign w:val="center"/>
            <w:hideMark/>
          </w:tcPr>
          <w:p w14:paraId="71488BEA" w14:textId="63A4FB07" w:rsidR="001D5092" w:rsidRPr="00D83B1F" w:rsidRDefault="001D5092" w:rsidP="00AD06DC">
            <w:pPr>
              <w:pStyle w:val="Tabletext"/>
              <w:jc w:val="center"/>
            </w:pPr>
            <w:r w:rsidRPr="00D83B1F">
              <w:t>100%</w:t>
            </w:r>
          </w:p>
        </w:tc>
        <w:tc>
          <w:tcPr>
            <w:tcW w:w="712" w:type="dxa"/>
            <w:tcBorders>
              <w:top w:val="single" w:sz="4" w:space="0" w:color="auto"/>
              <w:left w:val="nil"/>
              <w:bottom w:val="single" w:sz="4" w:space="0" w:color="auto"/>
              <w:right w:val="single" w:sz="4" w:space="0" w:color="auto"/>
            </w:tcBorders>
            <w:noWrap/>
            <w:vAlign w:val="center"/>
            <w:hideMark/>
          </w:tcPr>
          <w:p w14:paraId="072C7670" w14:textId="74044A3C" w:rsidR="001D5092" w:rsidRPr="00D83B1F" w:rsidRDefault="001D5092" w:rsidP="00AD06DC">
            <w:pPr>
              <w:pStyle w:val="Tabletext"/>
              <w:jc w:val="center"/>
            </w:pPr>
            <w:r w:rsidRPr="00D83B1F">
              <w:t>73%</w:t>
            </w:r>
          </w:p>
        </w:tc>
        <w:tc>
          <w:tcPr>
            <w:tcW w:w="880" w:type="dxa"/>
            <w:tcBorders>
              <w:top w:val="single" w:sz="4" w:space="0" w:color="auto"/>
              <w:left w:val="nil"/>
              <w:bottom w:val="single" w:sz="4" w:space="0" w:color="auto"/>
              <w:right w:val="nil"/>
            </w:tcBorders>
            <w:noWrap/>
            <w:vAlign w:val="center"/>
            <w:hideMark/>
          </w:tcPr>
          <w:p w14:paraId="4FC865DA" w14:textId="1BBEB531" w:rsidR="001D5092" w:rsidRPr="00D83B1F" w:rsidRDefault="001D5092" w:rsidP="00AD06DC">
            <w:pPr>
              <w:pStyle w:val="Tabletext"/>
              <w:jc w:val="center"/>
            </w:pPr>
            <w:r w:rsidRPr="00D83B1F">
              <w:t>63%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5F83AC1" w14:textId="6E86FA20" w:rsidR="001D5092" w:rsidRPr="00D83B1F" w:rsidRDefault="001D5092" w:rsidP="00AD06DC">
            <w:pPr>
              <w:pStyle w:val="Tabletext"/>
              <w:jc w:val="center"/>
            </w:pPr>
            <w:r w:rsidRPr="00D83B1F">
              <w:t>62%</w:t>
            </w:r>
          </w:p>
        </w:tc>
        <w:tc>
          <w:tcPr>
            <w:tcW w:w="846" w:type="dxa"/>
            <w:tcBorders>
              <w:top w:val="single" w:sz="4" w:space="0" w:color="auto"/>
              <w:left w:val="single" w:sz="4" w:space="0" w:color="auto"/>
              <w:bottom w:val="single" w:sz="4" w:space="0" w:color="auto"/>
              <w:right w:val="single" w:sz="4" w:space="0" w:color="auto"/>
            </w:tcBorders>
            <w:vAlign w:val="center"/>
            <w:hideMark/>
          </w:tcPr>
          <w:p w14:paraId="2EF2E0CC" w14:textId="25286D4B" w:rsidR="001D5092" w:rsidRPr="00D83B1F" w:rsidRDefault="00414DFB" w:rsidP="00AD06DC">
            <w:pPr>
              <w:pStyle w:val="Tabletext"/>
              <w:jc w:val="center"/>
            </w:pPr>
            <w:r w:rsidRPr="00D83B1F">
              <w:t>80</w:t>
            </w:r>
            <w:r w:rsidR="001D5092" w:rsidRPr="00D83B1F">
              <w:t>%</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AE98B" w14:textId="26FD9C04" w:rsidR="001D5092" w:rsidRPr="00D83B1F" w:rsidRDefault="001D5092" w:rsidP="00AD06DC">
            <w:pPr>
              <w:pStyle w:val="Tabletext"/>
              <w:jc w:val="center"/>
            </w:pPr>
            <w:r w:rsidRPr="00D83B1F">
              <w:t>56%</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2D6FA754" w14:textId="28C4F346" w:rsidR="001D5092" w:rsidRPr="00D83B1F" w:rsidRDefault="001D5092" w:rsidP="00AD06DC">
            <w:pPr>
              <w:pStyle w:val="Tabletext"/>
              <w:jc w:val="center"/>
              <w:rPr>
                <w:b/>
                <w:bCs/>
              </w:rPr>
            </w:pPr>
            <w:r w:rsidRPr="00D83B1F">
              <w:t>11%</w:t>
            </w:r>
          </w:p>
        </w:tc>
        <w:tc>
          <w:tcPr>
            <w:tcW w:w="713" w:type="dxa"/>
            <w:tcBorders>
              <w:top w:val="single" w:sz="4" w:space="0" w:color="auto"/>
              <w:left w:val="single" w:sz="4" w:space="0" w:color="auto"/>
              <w:bottom w:val="single" w:sz="4" w:space="0" w:color="auto"/>
              <w:right w:val="single" w:sz="8" w:space="0" w:color="auto"/>
            </w:tcBorders>
            <w:shd w:val="clear" w:color="auto" w:fill="AEAAAA"/>
            <w:noWrap/>
            <w:vAlign w:val="center"/>
            <w:hideMark/>
          </w:tcPr>
          <w:p w14:paraId="36A6AE0E" w14:textId="56438C58" w:rsidR="001D5092" w:rsidRPr="00D83B1F" w:rsidRDefault="001D5092" w:rsidP="00AD06DC">
            <w:pPr>
              <w:pStyle w:val="Tabletext"/>
              <w:jc w:val="center"/>
              <w:rPr>
                <w:b/>
                <w:bCs/>
              </w:rPr>
            </w:pPr>
            <w:r w:rsidRPr="00D83B1F">
              <w:rPr>
                <w:b/>
                <w:bCs/>
              </w:rPr>
              <w:t>82%</w:t>
            </w:r>
          </w:p>
        </w:tc>
      </w:tr>
    </w:tbl>
    <w:p w14:paraId="0F4E0D0C" w14:textId="77777777" w:rsidR="009C0949" w:rsidRPr="00D83B1F" w:rsidRDefault="009C0949" w:rsidP="0010458B">
      <w:pPr>
        <w:spacing w:before="360"/>
        <w:jc w:val="center"/>
      </w:pPr>
      <w:r w:rsidRPr="00D83B1F">
        <w:t>______________</w:t>
      </w:r>
    </w:p>
    <w:sectPr w:rsidR="009C0949" w:rsidRPr="00D83B1F"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A2538" w14:textId="77777777" w:rsidR="00556C8C" w:rsidRDefault="00556C8C">
      <w:r>
        <w:separator/>
      </w:r>
    </w:p>
  </w:endnote>
  <w:endnote w:type="continuationSeparator" w:id="0">
    <w:p w14:paraId="538C36BB" w14:textId="77777777" w:rsidR="00556C8C" w:rsidRDefault="0055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D437" w14:textId="24596554" w:rsidR="00732045" w:rsidRDefault="00D83B1F">
    <w:pPr>
      <w:pStyle w:val="Footer"/>
    </w:pPr>
    <w:fldSimple w:instr=" FILENAME \p \* MERGEFORMAT ">
      <w:r w:rsidR="00893573">
        <w:t>P:\FRA\SG\CONSEIL\C21\000\044F.docx</w:t>
      </w:r>
    </w:fldSimple>
    <w:r w:rsidR="00732045">
      <w:tab/>
    </w:r>
    <w:r w:rsidR="002F1B76">
      <w:fldChar w:fldCharType="begin"/>
    </w:r>
    <w:r w:rsidR="00732045">
      <w:instrText xml:space="preserve"> savedate \@ dd.MM.yy </w:instrText>
    </w:r>
    <w:r w:rsidR="002F1B76">
      <w:fldChar w:fldCharType="separate"/>
    </w:r>
    <w:r w:rsidR="00287CA1">
      <w:t>18.03.22</w:t>
    </w:r>
    <w:r w:rsidR="002F1B76">
      <w:fldChar w:fldCharType="end"/>
    </w:r>
    <w:r w:rsidR="00732045">
      <w:tab/>
    </w:r>
    <w:r w:rsidR="002F1B76">
      <w:fldChar w:fldCharType="begin"/>
    </w:r>
    <w:r w:rsidR="00732045">
      <w:instrText xml:space="preserve"> printdate \@ dd.MM.yy </w:instrText>
    </w:r>
    <w:r w:rsidR="002F1B76">
      <w:fldChar w:fldCharType="separate"/>
    </w:r>
    <w:r w:rsidR="0089357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235C" w14:textId="483222DD" w:rsidR="00732045" w:rsidRPr="00287CA1" w:rsidRDefault="00D83B1F">
    <w:pPr>
      <w:pStyle w:val="Footer"/>
      <w:rPr>
        <w:color w:val="F2F2F2" w:themeColor="background1" w:themeShade="F2"/>
      </w:rPr>
    </w:pPr>
    <w:r w:rsidRPr="00287CA1">
      <w:rPr>
        <w:color w:val="F2F2F2" w:themeColor="background1" w:themeShade="F2"/>
      </w:rPr>
      <w:fldChar w:fldCharType="begin"/>
    </w:r>
    <w:r w:rsidRPr="00287CA1">
      <w:rPr>
        <w:color w:val="F2F2F2" w:themeColor="background1" w:themeShade="F2"/>
      </w:rPr>
      <w:instrText xml:space="preserve"> FILENAME \p \* MERGEFORMAT </w:instrText>
    </w:r>
    <w:r w:rsidRPr="00287CA1">
      <w:rPr>
        <w:color w:val="F2F2F2" w:themeColor="background1" w:themeShade="F2"/>
      </w:rPr>
      <w:fldChar w:fldCharType="separate"/>
    </w:r>
    <w:r w:rsidR="000D17B3" w:rsidRPr="00287CA1">
      <w:rPr>
        <w:color w:val="F2F2F2" w:themeColor="background1" w:themeShade="F2"/>
      </w:rPr>
      <w:t>P:\FRA\SG\CONSEIL\C22\000\044F.docx</w:t>
    </w:r>
    <w:r w:rsidRPr="00287CA1">
      <w:rPr>
        <w:color w:val="F2F2F2" w:themeColor="background1" w:themeShade="F2"/>
      </w:rPr>
      <w:fldChar w:fldCharType="end"/>
    </w:r>
    <w:r w:rsidR="00414DFB" w:rsidRPr="00287CA1">
      <w:rPr>
        <w:color w:val="F2F2F2" w:themeColor="background1" w:themeShade="F2"/>
      </w:rPr>
      <w:t xml:space="preserve"> (500641)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2890" w14:textId="0F435206"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62CF" w14:textId="77777777" w:rsidR="00556C8C" w:rsidRDefault="00556C8C">
      <w:r>
        <w:t>____________________</w:t>
      </w:r>
    </w:p>
  </w:footnote>
  <w:footnote w:type="continuationSeparator" w:id="0">
    <w:p w14:paraId="60DCF13D" w14:textId="77777777" w:rsidR="00556C8C" w:rsidRDefault="00556C8C">
      <w:r>
        <w:continuationSeparator/>
      </w:r>
    </w:p>
  </w:footnote>
  <w:footnote w:id="1">
    <w:p w14:paraId="20E2E39F" w14:textId="027D1DD2" w:rsidR="009C0949" w:rsidRPr="0010458B" w:rsidRDefault="009C0949" w:rsidP="009C0949">
      <w:pPr>
        <w:pStyle w:val="FootnoteText"/>
        <w:rPr>
          <w:sz w:val="16"/>
          <w:szCs w:val="16"/>
        </w:rPr>
      </w:pPr>
      <w:r>
        <w:rPr>
          <w:rStyle w:val="FootnoteReference"/>
        </w:rPr>
        <w:footnoteRef/>
      </w:r>
      <w:r w:rsidR="00C7133F">
        <w:tab/>
      </w:r>
      <w:r w:rsidRPr="0010458B">
        <w:rPr>
          <w:sz w:val="16"/>
          <w:szCs w:val="16"/>
          <w:lang w:val="fr-CH"/>
        </w:rPr>
        <w:t>Ordre de service 13/09, promulgué par le Secrétaire général le 27 juin 2013.</w:t>
      </w:r>
    </w:p>
  </w:footnote>
  <w:footnote w:id="2">
    <w:p w14:paraId="3B431D42" w14:textId="6335CE1E" w:rsidR="009C0949" w:rsidRPr="0010458B" w:rsidRDefault="009C0949" w:rsidP="009C0949">
      <w:pPr>
        <w:pStyle w:val="FootnoteText"/>
        <w:spacing w:before="40"/>
        <w:ind w:left="255" w:hanging="255"/>
        <w:rPr>
          <w:sz w:val="16"/>
          <w:szCs w:val="16"/>
          <w:lang w:val="fr-CH"/>
        </w:rPr>
      </w:pPr>
      <w:r>
        <w:rPr>
          <w:rStyle w:val="FootnoteReference"/>
        </w:rPr>
        <w:footnoteRef/>
      </w:r>
      <w:r>
        <w:rPr>
          <w:lang w:val="fr-CH"/>
        </w:rPr>
        <w:tab/>
      </w:r>
      <w:r w:rsidRPr="0010458B">
        <w:rPr>
          <w:sz w:val="16"/>
          <w:szCs w:val="16"/>
          <w:lang w:val="fr-CH"/>
        </w:rPr>
        <w:t xml:space="preserve">Institut des auditeurs internes, </w:t>
      </w:r>
      <w:hyperlink r:id="rId1" w:history="1">
        <w:r w:rsidRPr="0010458B">
          <w:rPr>
            <w:rStyle w:val="Hyperlink"/>
            <w:sz w:val="16"/>
            <w:szCs w:val="16"/>
          </w:rPr>
          <w:t>www.theiia.org</w:t>
        </w:r>
      </w:hyperlink>
      <w:r w:rsidRPr="0010458B">
        <w:rPr>
          <w:sz w:val="16"/>
          <w:szCs w:val="16"/>
        </w:rPr>
        <w:t>.</w:t>
      </w:r>
    </w:p>
  </w:footnote>
  <w:footnote w:id="3">
    <w:p w14:paraId="18C6464B" w14:textId="223139C1" w:rsidR="009C0949" w:rsidRPr="0010458B" w:rsidRDefault="009C0949" w:rsidP="009C0949">
      <w:pPr>
        <w:pStyle w:val="FootnoteText"/>
        <w:spacing w:before="40"/>
        <w:ind w:left="255" w:hanging="255"/>
        <w:rPr>
          <w:sz w:val="16"/>
          <w:szCs w:val="16"/>
          <w:lang w:val="fr-CH"/>
        </w:rPr>
      </w:pPr>
      <w:r w:rsidRPr="0010458B">
        <w:rPr>
          <w:rStyle w:val="FootnoteReference"/>
          <w:szCs w:val="16"/>
        </w:rPr>
        <w:footnoteRef/>
      </w:r>
      <w:r w:rsidRPr="0010458B">
        <w:rPr>
          <w:sz w:val="16"/>
          <w:szCs w:val="16"/>
          <w:lang w:val="fr-CH"/>
        </w:rPr>
        <w:tab/>
        <w:t>Ordre de service 13/09, promulgué par le Secrétaire général le 27 juin 2013.</w:t>
      </w:r>
    </w:p>
  </w:footnote>
  <w:footnote w:id="4">
    <w:p w14:paraId="333150E4" w14:textId="4663E74F" w:rsidR="009C0949" w:rsidRPr="0010458B" w:rsidRDefault="009C0949" w:rsidP="00C7133F">
      <w:pPr>
        <w:pStyle w:val="FootnoteText"/>
        <w:spacing w:before="0"/>
        <w:rPr>
          <w:rFonts w:asciiTheme="minorHAnsi" w:hAnsiTheme="minorHAnsi" w:cstheme="minorHAnsi"/>
          <w:sz w:val="16"/>
          <w:szCs w:val="16"/>
        </w:rPr>
      </w:pPr>
      <w:r w:rsidRPr="00500302">
        <w:rPr>
          <w:rStyle w:val="FootnoteReference"/>
          <w:rFonts w:asciiTheme="minorHAnsi" w:hAnsiTheme="minorHAnsi" w:cstheme="minorHAnsi"/>
          <w:sz w:val="18"/>
          <w:szCs w:val="18"/>
        </w:rPr>
        <w:footnoteRef/>
      </w:r>
      <w:r w:rsidRPr="0044152B">
        <w:rPr>
          <w:rFonts w:asciiTheme="minorHAnsi" w:hAnsiTheme="minorHAnsi" w:cstheme="minorHAnsi"/>
          <w:sz w:val="18"/>
          <w:szCs w:val="18"/>
        </w:rPr>
        <w:tab/>
      </w:r>
      <w:r w:rsidRPr="0010458B">
        <w:rPr>
          <w:sz w:val="16"/>
          <w:szCs w:val="16"/>
        </w:rPr>
        <w:t xml:space="preserve">2500. A1 – </w:t>
      </w:r>
      <w:r w:rsidR="001F4242" w:rsidRPr="0010458B">
        <w:rPr>
          <w:sz w:val="16"/>
          <w:szCs w:val="16"/>
        </w:rPr>
        <w:t>Le responsable de l</w:t>
      </w:r>
      <w:r w:rsidR="00CE6191">
        <w:rPr>
          <w:sz w:val="16"/>
          <w:szCs w:val="16"/>
        </w:rPr>
        <w:t>'</w:t>
      </w:r>
      <w:r w:rsidR="001F4242" w:rsidRPr="0010458B">
        <w:rPr>
          <w:sz w:val="16"/>
          <w:szCs w:val="16"/>
        </w:rPr>
        <w:t>audit interne doit mettre en place un processus de suivi permettant de surveiller et de garantir que des mesures ont été effectivement mises en œuvre par le management ou que la direction générale a accepté de prendre le risque de ne rien faire</w:t>
      </w:r>
      <w:r w:rsidRPr="0010458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194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6DDC9E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03AD" w14:textId="00D2832F" w:rsidR="00732045" w:rsidRDefault="00C27A7C" w:rsidP="00475FB3">
    <w:pPr>
      <w:pStyle w:val="Header"/>
    </w:pPr>
    <w:r>
      <w:fldChar w:fldCharType="begin"/>
    </w:r>
    <w:r>
      <w:instrText>PAGE</w:instrText>
    </w:r>
    <w:r>
      <w:fldChar w:fldCharType="separate"/>
    </w:r>
    <w:r w:rsidR="00893573">
      <w:rPr>
        <w:noProof/>
      </w:rPr>
      <w:t>5</w:t>
    </w:r>
    <w:r>
      <w:rPr>
        <w:noProof/>
      </w:rPr>
      <w:fldChar w:fldCharType="end"/>
    </w:r>
  </w:p>
  <w:p w14:paraId="2705DAD7" w14:textId="3ACD28EC" w:rsidR="00732045" w:rsidRDefault="00732045" w:rsidP="00106B19">
    <w:pPr>
      <w:pStyle w:val="Header"/>
    </w:pPr>
    <w:r>
      <w:t>C</w:t>
    </w:r>
    <w:r w:rsidR="009C353C">
      <w:t>2</w:t>
    </w:r>
    <w:r w:rsidR="004D1D50">
      <w:t>1</w:t>
    </w:r>
    <w:r>
      <w:t>/</w:t>
    </w:r>
    <w:r w:rsidR="009C0949">
      <w:t>44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4A42D3F-C6E3-4A9A-834D-7E23EBEE8100}"/>
    <w:docVar w:name="dgnword-eventsink" w:val="1606755812016"/>
  </w:docVars>
  <w:rsids>
    <w:rsidRoot w:val="009C0949"/>
    <w:rsid w:val="00002897"/>
    <w:rsid w:val="00005133"/>
    <w:rsid w:val="000132E1"/>
    <w:rsid w:val="000141F7"/>
    <w:rsid w:val="000232BF"/>
    <w:rsid w:val="00023B4C"/>
    <w:rsid w:val="00027B00"/>
    <w:rsid w:val="00044882"/>
    <w:rsid w:val="0005615C"/>
    <w:rsid w:val="0006472C"/>
    <w:rsid w:val="000D0D0A"/>
    <w:rsid w:val="000D17B3"/>
    <w:rsid w:val="00103163"/>
    <w:rsid w:val="0010458B"/>
    <w:rsid w:val="00106B19"/>
    <w:rsid w:val="00115D93"/>
    <w:rsid w:val="001247A8"/>
    <w:rsid w:val="00124E88"/>
    <w:rsid w:val="001378C0"/>
    <w:rsid w:val="00166BB3"/>
    <w:rsid w:val="001759E2"/>
    <w:rsid w:val="00185E78"/>
    <w:rsid w:val="0018694A"/>
    <w:rsid w:val="001A3287"/>
    <w:rsid w:val="001A37EC"/>
    <w:rsid w:val="001A4C85"/>
    <w:rsid w:val="001A6508"/>
    <w:rsid w:val="001C5B42"/>
    <w:rsid w:val="001C69BD"/>
    <w:rsid w:val="001D2ADA"/>
    <w:rsid w:val="001D4839"/>
    <w:rsid w:val="001D4C31"/>
    <w:rsid w:val="001D5092"/>
    <w:rsid w:val="001E4CA7"/>
    <w:rsid w:val="001E4D21"/>
    <w:rsid w:val="001F4242"/>
    <w:rsid w:val="00207CD1"/>
    <w:rsid w:val="00243BC6"/>
    <w:rsid w:val="002477A2"/>
    <w:rsid w:val="00254343"/>
    <w:rsid w:val="00263A51"/>
    <w:rsid w:val="00266456"/>
    <w:rsid w:val="00267E02"/>
    <w:rsid w:val="002808B5"/>
    <w:rsid w:val="00287CA1"/>
    <w:rsid w:val="00290954"/>
    <w:rsid w:val="00290E98"/>
    <w:rsid w:val="00291401"/>
    <w:rsid w:val="002954B9"/>
    <w:rsid w:val="002A5D44"/>
    <w:rsid w:val="002B0C1D"/>
    <w:rsid w:val="002E052A"/>
    <w:rsid w:val="002E052C"/>
    <w:rsid w:val="002E0BC4"/>
    <w:rsid w:val="002E4FD2"/>
    <w:rsid w:val="002F1B76"/>
    <w:rsid w:val="002F3538"/>
    <w:rsid w:val="002F4F8B"/>
    <w:rsid w:val="0030732D"/>
    <w:rsid w:val="00317F34"/>
    <w:rsid w:val="0033568E"/>
    <w:rsid w:val="00335EFF"/>
    <w:rsid w:val="00347EC7"/>
    <w:rsid w:val="00355FF5"/>
    <w:rsid w:val="00361350"/>
    <w:rsid w:val="003627AA"/>
    <w:rsid w:val="00365BA3"/>
    <w:rsid w:val="00365C1C"/>
    <w:rsid w:val="0037525D"/>
    <w:rsid w:val="00375401"/>
    <w:rsid w:val="00382BDE"/>
    <w:rsid w:val="00385941"/>
    <w:rsid w:val="003A2B74"/>
    <w:rsid w:val="003A5DAB"/>
    <w:rsid w:val="003A72B4"/>
    <w:rsid w:val="003A7F05"/>
    <w:rsid w:val="003B54A9"/>
    <w:rsid w:val="003C2294"/>
    <w:rsid w:val="003C3FAE"/>
    <w:rsid w:val="003D73BE"/>
    <w:rsid w:val="003E2C97"/>
    <w:rsid w:val="003E5A8D"/>
    <w:rsid w:val="004038CB"/>
    <w:rsid w:val="0040546F"/>
    <w:rsid w:val="00414DFB"/>
    <w:rsid w:val="0042404A"/>
    <w:rsid w:val="00434510"/>
    <w:rsid w:val="0044152B"/>
    <w:rsid w:val="0044618F"/>
    <w:rsid w:val="0045560D"/>
    <w:rsid w:val="00456B8D"/>
    <w:rsid w:val="00464F24"/>
    <w:rsid w:val="0046769A"/>
    <w:rsid w:val="00475050"/>
    <w:rsid w:val="00475FB3"/>
    <w:rsid w:val="00487577"/>
    <w:rsid w:val="004A483F"/>
    <w:rsid w:val="004B1AD6"/>
    <w:rsid w:val="004C37A9"/>
    <w:rsid w:val="004D1D50"/>
    <w:rsid w:val="004F259E"/>
    <w:rsid w:val="00502CEF"/>
    <w:rsid w:val="00507111"/>
    <w:rsid w:val="00511F1D"/>
    <w:rsid w:val="005123DD"/>
    <w:rsid w:val="00520F36"/>
    <w:rsid w:val="00524E99"/>
    <w:rsid w:val="005379F2"/>
    <w:rsid w:val="00540615"/>
    <w:rsid w:val="00540A6D"/>
    <w:rsid w:val="00556C8C"/>
    <w:rsid w:val="00571EEA"/>
    <w:rsid w:val="00575417"/>
    <w:rsid w:val="005768E1"/>
    <w:rsid w:val="005A5286"/>
    <w:rsid w:val="005A55F1"/>
    <w:rsid w:val="005B1938"/>
    <w:rsid w:val="005C3890"/>
    <w:rsid w:val="005D5508"/>
    <w:rsid w:val="005E459D"/>
    <w:rsid w:val="005F303A"/>
    <w:rsid w:val="005F7BFE"/>
    <w:rsid w:val="00600017"/>
    <w:rsid w:val="00611E1D"/>
    <w:rsid w:val="0062066F"/>
    <w:rsid w:val="006235CA"/>
    <w:rsid w:val="006261AE"/>
    <w:rsid w:val="006336F9"/>
    <w:rsid w:val="00635101"/>
    <w:rsid w:val="006435AF"/>
    <w:rsid w:val="0064709F"/>
    <w:rsid w:val="00647D4D"/>
    <w:rsid w:val="006643AB"/>
    <w:rsid w:val="006826E6"/>
    <w:rsid w:val="006A1A12"/>
    <w:rsid w:val="006A37FE"/>
    <w:rsid w:val="006A7262"/>
    <w:rsid w:val="006B127C"/>
    <w:rsid w:val="006C4560"/>
    <w:rsid w:val="006D1CC9"/>
    <w:rsid w:val="006D5D48"/>
    <w:rsid w:val="006E1C22"/>
    <w:rsid w:val="006F1695"/>
    <w:rsid w:val="007005CA"/>
    <w:rsid w:val="00707460"/>
    <w:rsid w:val="00715AA7"/>
    <w:rsid w:val="007210CD"/>
    <w:rsid w:val="00732045"/>
    <w:rsid w:val="007369DB"/>
    <w:rsid w:val="00744672"/>
    <w:rsid w:val="00746CF0"/>
    <w:rsid w:val="00757730"/>
    <w:rsid w:val="0076130C"/>
    <w:rsid w:val="00761EA1"/>
    <w:rsid w:val="00772B07"/>
    <w:rsid w:val="00777CC1"/>
    <w:rsid w:val="0078302B"/>
    <w:rsid w:val="007956C2"/>
    <w:rsid w:val="007A09ED"/>
    <w:rsid w:val="007A187E"/>
    <w:rsid w:val="007A1BCF"/>
    <w:rsid w:val="007A2EB7"/>
    <w:rsid w:val="007A57CC"/>
    <w:rsid w:val="007B2371"/>
    <w:rsid w:val="007C72C2"/>
    <w:rsid w:val="007D3973"/>
    <w:rsid w:val="007D4436"/>
    <w:rsid w:val="007D5E0C"/>
    <w:rsid w:val="007E5465"/>
    <w:rsid w:val="007F1305"/>
    <w:rsid w:val="007F257A"/>
    <w:rsid w:val="007F3665"/>
    <w:rsid w:val="007F5E75"/>
    <w:rsid w:val="00800037"/>
    <w:rsid w:val="0082035C"/>
    <w:rsid w:val="00822E99"/>
    <w:rsid w:val="00831DD0"/>
    <w:rsid w:val="00833B42"/>
    <w:rsid w:val="00834C54"/>
    <w:rsid w:val="00837777"/>
    <w:rsid w:val="00843345"/>
    <w:rsid w:val="00846A5B"/>
    <w:rsid w:val="00861D73"/>
    <w:rsid w:val="00871121"/>
    <w:rsid w:val="00874B1B"/>
    <w:rsid w:val="00877AF7"/>
    <w:rsid w:val="00893573"/>
    <w:rsid w:val="00895DE9"/>
    <w:rsid w:val="00896D44"/>
    <w:rsid w:val="00897553"/>
    <w:rsid w:val="008A4E87"/>
    <w:rsid w:val="008D54AB"/>
    <w:rsid w:val="008D76E6"/>
    <w:rsid w:val="008F1EB0"/>
    <w:rsid w:val="0092392D"/>
    <w:rsid w:val="009250F9"/>
    <w:rsid w:val="00931A1B"/>
    <w:rsid w:val="0093234A"/>
    <w:rsid w:val="009431C4"/>
    <w:rsid w:val="00955097"/>
    <w:rsid w:val="009563B2"/>
    <w:rsid w:val="0096465B"/>
    <w:rsid w:val="009654DC"/>
    <w:rsid w:val="00965CB1"/>
    <w:rsid w:val="00970395"/>
    <w:rsid w:val="00972B4B"/>
    <w:rsid w:val="0097363B"/>
    <w:rsid w:val="00984947"/>
    <w:rsid w:val="00992068"/>
    <w:rsid w:val="009A02B9"/>
    <w:rsid w:val="009C0949"/>
    <w:rsid w:val="009C307F"/>
    <w:rsid w:val="009C353C"/>
    <w:rsid w:val="009C6F97"/>
    <w:rsid w:val="009E0AFE"/>
    <w:rsid w:val="009E7DF1"/>
    <w:rsid w:val="009F0C9E"/>
    <w:rsid w:val="009F37F3"/>
    <w:rsid w:val="00A16868"/>
    <w:rsid w:val="00A2113E"/>
    <w:rsid w:val="00A23A51"/>
    <w:rsid w:val="00A24607"/>
    <w:rsid w:val="00A25CD3"/>
    <w:rsid w:val="00A44C9C"/>
    <w:rsid w:val="00A524FE"/>
    <w:rsid w:val="00A709FE"/>
    <w:rsid w:val="00A73D63"/>
    <w:rsid w:val="00A80746"/>
    <w:rsid w:val="00A82767"/>
    <w:rsid w:val="00AA332F"/>
    <w:rsid w:val="00AA518A"/>
    <w:rsid w:val="00AA7BBB"/>
    <w:rsid w:val="00AB406E"/>
    <w:rsid w:val="00AB64A8"/>
    <w:rsid w:val="00AC0266"/>
    <w:rsid w:val="00AC5620"/>
    <w:rsid w:val="00AD03B5"/>
    <w:rsid w:val="00AD06DC"/>
    <w:rsid w:val="00AD0B5B"/>
    <w:rsid w:val="00AD24EC"/>
    <w:rsid w:val="00B016A1"/>
    <w:rsid w:val="00B17E1E"/>
    <w:rsid w:val="00B209C7"/>
    <w:rsid w:val="00B309F9"/>
    <w:rsid w:val="00B32B60"/>
    <w:rsid w:val="00B44395"/>
    <w:rsid w:val="00B61619"/>
    <w:rsid w:val="00B71008"/>
    <w:rsid w:val="00B83047"/>
    <w:rsid w:val="00BA26DD"/>
    <w:rsid w:val="00BA526C"/>
    <w:rsid w:val="00BB2BC2"/>
    <w:rsid w:val="00BB4545"/>
    <w:rsid w:val="00BB6210"/>
    <w:rsid w:val="00BC3538"/>
    <w:rsid w:val="00BD4485"/>
    <w:rsid w:val="00BD4D1A"/>
    <w:rsid w:val="00BD4F20"/>
    <w:rsid w:val="00BD5873"/>
    <w:rsid w:val="00BE4427"/>
    <w:rsid w:val="00C04BE3"/>
    <w:rsid w:val="00C25D29"/>
    <w:rsid w:val="00C27A7C"/>
    <w:rsid w:val="00C45188"/>
    <w:rsid w:val="00C7133F"/>
    <w:rsid w:val="00C97FD6"/>
    <w:rsid w:val="00CA08ED"/>
    <w:rsid w:val="00CA1775"/>
    <w:rsid w:val="00CA48E0"/>
    <w:rsid w:val="00CC4246"/>
    <w:rsid w:val="00CC7C11"/>
    <w:rsid w:val="00CE4223"/>
    <w:rsid w:val="00CE6191"/>
    <w:rsid w:val="00CF183B"/>
    <w:rsid w:val="00D02FEE"/>
    <w:rsid w:val="00D10251"/>
    <w:rsid w:val="00D34641"/>
    <w:rsid w:val="00D375CD"/>
    <w:rsid w:val="00D553A2"/>
    <w:rsid w:val="00D57446"/>
    <w:rsid w:val="00D757FD"/>
    <w:rsid w:val="00D774D3"/>
    <w:rsid w:val="00D83B1F"/>
    <w:rsid w:val="00D87949"/>
    <w:rsid w:val="00D904E8"/>
    <w:rsid w:val="00D90AD4"/>
    <w:rsid w:val="00DA08C3"/>
    <w:rsid w:val="00DA2F6E"/>
    <w:rsid w:val="00DA31F1"/>
    <w:rsid w:val="00DB5A3E"/>
    <w:rsid w:val="00DC1875"/>
    <w:rsid w:val="00DC22AA"/>
    <w:rsid w:val="00DE4896"/>
    <w:rsid w:val="00DE6445"/>
    <w:rsid w:val="00DF0081"/>
    <w:rsid w:val="00DF74DD"/>
    <w:rsid w:val="00E12896"/>
    <w:rsid w:val="00E137F1"/>
    <w:rsid w:val="00E20F54"/>
    <w:rsid w:val="00E25AD0"/>
    <w:rsid w:val="00E2721B"/>
    <w:rsid w:val="00E478A3"/>
    <w:rsid w:val="00E52AE5"/>
    <w:rsid w:val="00E558EB"/>
    <w:rsid w:val="00E56FC4"/>
    <w:rsid w:val="00E60FFD"/>
    <w:rsid w:val="00E66F5C"/>
    <w:rsid w:val="00E857A2"/>
    <w:rsid w:val="00EB6350"/>
    <w:rsid w:val="00EC1AB9"/>
    <w:rsid w:val="00ED71A8"/>
    <w:rsid w:val="00EE13B9"/>
    <w:rsid w:val="00EF2339"/>
    <w:rsid w:val="00F04BB2"/>
    <w:rsid w:val="00F15B57"/>
    <w:rsid w:val="00F174B7"/>
    <w:rsid w:val="00F34146"/>
    <w:rsid w:val="00F427DB"/>
    <w:rsid w:val="00F44A69"/>
    <w:rsid w:val="00F45421"/>
    <w:rsid w:val="00F47B23"/>
    <w:rsid w:val="00F52BA8"/>
    <w:rsid w:val="00F5604B"/>
    <w:rsid w:val="00F67C93"/>
    <w:rsid w:val="00F750B8"/>
    <w:rsid w:val="00F82801"/>
    <w:rsid w:val="00F949B4"/>
    <w:rsid w:val="00FA266E"/>
    <w:rsid w:val="00FA4D73"/>
    <w:rsid w:val="00FA5EB1"/>
    <w:rsid w:val="00FA7439"/>
    <w:rsid w:val="00FC2F38"/>
    <w:rsid w:val="00FC3721"/>
    <w:rsid w:val="00FC4EC0"/>
    <w:rsid w:val="00FC6AFB"/>
    <w:rsid w:val="00FE0749"/>
    <w:rsid w:val="00FE7D3F"/>
    <w:rsid w:val="00FF0181"/>
    <w:rsid w:val="00FF0E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1A661FF"/>
  <w15:docId w15:val="{2F07FCE4-F50B-460B-B1E0-9693113C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9C0949"/>
    <w:rPr>
      <w:color w:val="605E5C"/>
      <w:shd w:val="clear" w:color="auto" w:fill="E1DFDD"/>
    </w:rPr>
  </w:style>
  <w:style w:type="character" w:customStyle="1" w:styleId="FootnoteTextChar">
    <w:name w:val="Footnote Text Char"/>
    <w:basedOn w:val="DefaultParagraphFont"/>
    <w:link w:val="FootnoteText"/>
    <w:rsid w:val="009C0949"/>
    <w:rPr>
      <w:rFonts w:ascii="Calibri" w:hAnsi="Calibri"/>
      <w:sz w:val="24"/>
      <w:lang w:val="fr-FR"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9C094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9C0949"/>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1F4242"/>
    <w:rPr>
      <w:sz w:val="16"/>
      <w:szCs w:val="16"/>
    </w:rPr>
  </w:style>
  <w:style w:type="paragraph" w:styleId="CommentText">
    <w:name w:val="annotation text"/>
    <w:basedOn w:val="Normal"/>
    <w:link w:val="CommentTextChar"/>
    <w:semiHidden/>
    <w:unhideWhenUsed/>
    <w:rsid w:val="001F4242"/>
    <w:rPr>
      <w:sz w:val="20"/>
    </w:rPr>
  </w:style>
  <w:style w:type="character" w:customStyle="1" w:styleId="CommentTextChar">
    <w:name w:val="Comment Text Char"/>
    <w:basedOn w:val="DefaultParagraphFont"/>
    <w:link w:val="CommentText"/>
    <w:semiHidden/>
    <w:rsid w:val="001F4242"/>
    <w:rPr>
      <w:rFonts w:ascii="Calibri" w:hAnsi="Calibri"/>
      <w:lang w:val="fr-FR" w:eastAsia="en-US"/>
    </w:rPr>
  </w:style>
  <w:style w:type="paragraph" w:styleId="CommentSubject">
    <w:name w:val="annotation subject"/>
    <w:basedOn w:val="CommentText"/>
    <w:next w:val="CommentText"/>
    <w:link w:val="CommentSubjectChar"/>
    <w:semiHidden/>
    <w:unhideWhenUsed/>
    <w:rsid w:val="001F4242"/>
    <w:rPr>
      <w:b/>
      <w:bCs/>
    </w:rPr>
  </w:style>
  <w:style w:type="character" w:customStyle="1" w:styleId="CommentSubjectChar">
    <w:name w:val="Comment Subject Char"/>
    <w:basedOn w:val="CommentTextChar"/>
    <w:link w:val="CommentSubject"/>
    <w:semiHidden/>
    <w:rsid w:val="001F4242"/>
    <w:rPr>
      <w:rFonts w:ascii="Calibri" w:hAnsi="Calibri"/>
      <w:b/>
      <w:bCs/>
      <w:lang w:val="fr-FR" w:eastAsia="en-US"/>
    </w:rPr>
  </w:style>
  <w:style w:type="paragraph" w:styleId="Revision">
    <w:name w:val="Revision"/>
    <w:hidden/>
    <w:uiPriority w:val="99"/>
    <w:semiHidden/>
    <w:rsid w:val="001F4242"/>
    <w:rPr>
      <w:rFonts w:ascii="Calibri" w:hAnsi="Calibri"/>
      <w:sz w:val="24"/>
      <w:lang w:val="fr-FR" w:eastAsia="en-US"/>
    </w:rPr>
  </w:style>
  <w:style w:type="paragraph" w:styleId="BalloonText">
    <w:name w:val="Balloon Text"/>
    <w:basedOn w:val="Normal"/>
    <w:link w:val="BalloonTextChar"/>
    <w:semiHidden/>
    <w:unhideWhenUsed/>
    <w:rsid w:val="001F424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F4242"/>
    <w:rPr>
      <w:rFonts w:ascii="Segoe UI" w:hAnsi="Segoe UI" w:cs="Segoe UI"/>
      <w:sz w:val="18"/>
      <w:szCs w:val="18"/>
      <w:lang w:val="fr-FR" w:eastAsia="en-US"/>
    </w:rPr>
  </w:style>
  <w:style w:type="paragraph" w:customStyle="1" w:styleId="Headingb0">
    <w:name w:val="Heading b"/>
    <w:basedOn w:val="enumlev1"/>
    <w:rsid w:val="00414DFB"/>
    <w:pPr>
      <w:spacing w:before="120" w:line="480" w:lineRule="auto"/>
      <w:ind w:left="1134"/>
    </w:pPr>
    <w:rPr>
      <w:b/>
      <w:bCs/>
      <w:i/>
      <w:iCs/>
    </w:rPr>
  </w:style>
  <w:style w:type="character" w:styleId="UnresolvedMention">
    <w:name w:val="Unresolved Mention"/>
    <w:basedOn w:val="DefaultParagraphFont"/>
    <w:uiPriority w:val="99"/>
    <w:semiHidden/>
    <w:unhideWhenUsed/>
    <w:rsid w:val="006B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2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Financial-Regulations/S-GEN-REG_RGTFIN-2018-PDF-F.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md/S22-CWGFHR15-C-0003/en" TargetMode="External"/><Relationship Id="rId4" Type="http://schemas.openxmlformats.org/officeDocument/2006/relationships/webSettings" Target="webSettings.xml"/><Relationship Id="rId9" Type="http://schemas.openxmlformats.org/officeDocument/2006/relationships/hyperlink" Target="https://www.itu.int/md/S19-CL-C-0130/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76B6-6430-43AD-AC4E-076D13B0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2729</Words>
  <Characters>15252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Rapport de l’auditeur interne sur les activités d’audit interne</vt:lpstr>
    </vt:vector>
  </TitlesOfParts>
  <Manager>Secrétariat général - Pool</Manager>
  <Company>Union internationale des télécommunications (UIT)</Company>
  <LinksUpToDate>false</LinksUpToDate>
  <CharactersWithSpaces>17946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l’auditeur interne sur les activités d’audit interne</dc:title>
  <dc:subject>Conseil 2022</dc:subject>
  <dc:creator>Chanavat, Emilie</dc:creator>
  <cp:keywords>C2022, C22, Council-22</cp:keywords>
  <dc:description/>
  <cp:lastModifiedBy>Xue, Kun</cp:lastModifiedBy>
  <cp:revision>2</cp:revision>
  <cp:lastPrinted>2000-07-18T08:55:00Z</cp:lastPrinted>
  <dcterms:created xsi:type="dcterms:W3CDTF">2022-03-21T14:01:00Z</dcterms:created>
  <dcterms:modified xsi:type="dcterms:W3CDTF">2022-03-21T14:01:00Z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