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07D78D56" w14:textId="77777777" w:rsidTr="006C7CC0">
        <w:trPr>
          <w:cantSplit/>
          <w:trHeight w:val="20"/>
        </w:trPr>
        <w:tc>
          <w:tcPr>
            <w:tcW w:w="6620" w:type="dxa"/>
          </w:tcPr>
          <w:p w14:paraId="0CB88A70" w14:textId="08E7FB83" w:rsidR="00290728" w:rsidRPr="00290728" w:rsidRDefault="00FA5C9C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المجلس</w:t>
            </w:r>
            <w:r w:rsidR="00290728"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E10964">
              <w:rPr>
                <w:b/>
                <w:bCs/>
                <w:w w:val="110"/>
                <w:sz w:val="30"/>
                <w:szCs w:val="30"/>
                <w:lang w:bidi="ar-SY"/>
              </w:rPr>
              <w:t>2022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E1096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جنيف</w:t>
            </w:r>
            <w:r w:rsidR="00290728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E10964">
              <w:rPr>
                <w:b/>
                <w:bCs/>
                <w:sz w:val="24"/>
                <w:szCs w:val="24"/>
                <w:lang w:bidi="ar-SY"/>
              </w:rPr>
              <w:t>31-21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مارس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</w:tcPr>
          <w:p w14:paraId="1EA3AAAE" w14:textId="77777777" w:rsidR="00290728" w:rsidRPr="00290728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FB31BA8" wp14:editId="3538B5BA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15B7D3B0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355D197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3E567448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24B13B37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4840BF22" w14:textId="77777777" w:rsidR="00290728" w:rsidRPr="009C0D12" w:rsidRDefault="00290728" w:rsidP="00290728">
            <w:pPr>
              <w:spacing w:before="60" w:after="60" w:line="26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76F15E07" w14:textId="77777777" w:rsidR="00290728" w:rsidRPr="009C0D12" w:rsidRDefault="00290728" w:rsidP="00290728">
            <w:pPr>
              <w:spacing w:before="60" w:after="60" w:line="260" w:lineRule="exact"/>
              <w:rPr>
                <w:b/>
                <w:bCs/>
                <w:highlight w:val="yellow"/>
                <w:lang w:bidi="ar-SY"/>
              </w:rPr>
            </w:pPr>
          </w:p>
        </w:tc>
      </w:tr>
      <w:tr w:rsidR="0015650C" w:rsidRPr="00290728" w14:paraId="6CC8A653" w14:textId="77777777" w:rsidTr="009F66A8">
        <w:trPr>
          <w:cantSplit/>
        </w:trPr>
        <w:tc>
          <w:tcPr>
            <w:tcW w:w="6620" w:type="dxa"/>
            <w:vMerge w:val="restart"/>
          </w:tcPr>
          <w:p w14:paraId="3C02257C" w14:textId="74D72888" w:rsidR="005805EA" w:rsidRPr="009C0D12" w:rsidRDefault="0015650C" w:rsidP="009C0D12">
            <w:pPr>
              <w:spacing w:before="20" w:after="20" w:line="300" w:lineRule="exact"/>
              <w:rPr>
                <w:b/>
                <w:bCs/>
                <w:lang w:bidi="ar-EG"/>
              </w:rPr>
            </w:pPr>
            <w:r w:rsidRPr="009C0D12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9C0D12">
              <w:rPr>
                <w:b/>
                <w:bCs/>
                <w:lang w:bidi="ar-EG"/>
              </w:rPr>
              <w:t>ADM </w:t>
            </w:r>
            <w:r w:rsidR="009C0D12" w:rsidRPr="009C0D12">
              <w:rPr>
                <w:b/>
                <w:bCs/>
                <w:lang w:bidi="ar-EG"/>
              </w:rPr>
              <w:t>15</w:t>
            </w:r>
          </w:p>
        </w:tc>
        <w:tc>
          <w:tcPr>
            <w:tcW w:w="3052" w:type="dxa"/>
            <w:vAlign w:val="center"/>
          </w:tcPr>
          <w:p w14:paraId="3964D83E" w14:textId="79E15E00" w:rsidR="0015650C" w:rsidRPr="009C0D12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9C0D12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9C0D12">
              <w:rPr>
                <w:b/>
                <w:bCs/>
                <w:lang w:bidi="ar-SY"/>
              </w:rPr>
              <w:t>C2</w:t>
            </w:r>
            <w:r w:rsidR="00E10964" w:rsidRPr="009C0D12">
              <w:rPr>
                <w:b/>
                <w:bCs/>
                <w:lang w:bidi="ar-SY"/>
              </w:rPr>
              <w:t>2</w:t>
            </w:r>
            <w:r w:rsidRPr="009C0D12">
              <w:rPr>
                <w:b/>
                <w:bCs/>
                <w:lang w:bidi="ar-SY"/>
              </w:rPr>
              <w:t>/</w:t>
            </w:r>
            <w:r w:rsidR="009C0D12" w:rsidRPr="009C0D12">
              <w:rPr>
                <w:b/>
                <w:bCs/>
                <w:lang w:bidi="ar-SY"/>
              </w:rPr>
              <w:t>44</w:t>
            </w:r>
            <w:r w:rsidRPr="009C0D12">
              <w:rPr>
                <w:b/>
                <w:bCs/>
                <w:lang w:bidi="ar-SY"/>
              </w:rPr>
              <w:t>-A</w:t>
            </w:r>
          </w:p>
        </w:tc>
      </w:tr>
      <w:tr w:rsidR="0015650C" w:rsidRPr="00290728" w14:paraId="23907C42" w14:textId="77777777" w:rsidTr="009F66A8">
        <w:trPr>
          <w:cantSplit/>
        </w:trPr>
        <w:tc>
          <w:tcPr>
            <w:tcW w:w="6620" w:type="dxa"/>
            <w:vMerge/>
          </w:tcPr>
          <w:p w14:paraId="68A1BC41" w14:textId="77777777" w:rsidR="0015650C" w:rsidRPr="009C0D12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1FBFFE6E" w14:textId="7C21AC92" w:rsidR="0015650C" w:rsidRPr="009C0D12" w:rsidRDefault="008D534B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18</w:t>
            </w:r>
            <w:r w:rsidR="0015650C" w:rsidRPr="009C0D1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C0D12" w:rsidRPr="009C0D12">
              <w:rPr>
                <w:rFonts w:hint="cs"/>
                <w:b/>
                <w:bCs/>
                <w:rtl/>
                <w:lang w:bidi="ar-EG"/>
              </w:rPr>
              <w:t>فبراير</w:t>
            </w:r>
            <w:r w:rsidR="0015650C" w:rsidRPr="009C0D1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B209D" w:rsidRPr="009C0D12">
              <w:rPr>
                <w:b/>
                <w:bCs/>
                <w:lang w:bidi="ar-SY"/>
              </w:rPr>
              <w:t>202</w:t>
            </w:r>
            <w:r w:rsidR="009C0D12" w:rsidRPr="009C0D12">
              <w:rPr>
                <w:b/>
                <w:bCs/>
                <w:lang w:bidi="ar-SY"/>
              </w:rPr>
              <w:t>2</w:t>
            </w:r>
          </w:p>
        </w:tc>
      </w:tr>
      <w:tr w:rsidR="0015650C" w:rsidRPr="00290728" w14:paraId="1B2F893E" w14:textId="77777777" w:rsidTr="009F66A8">
        <w:trPr>
          <w:cantSplit/>
        </w:trPr>
        <w:tc>
          <w:tcPr>
            <w:tcW w:w="6620" w:type="dxa"/>
            <w:vMerge/>
          </w:tcPr>
          <w:p w14:paraId="78FBAF96" w14:textId="77777777" w:rsidR="0015650C" w:rsidRPr="009C0D12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6A8C15DC" w14:textId="77777777" w:rsidR="0015650C" w:rsidRPr="009C0D12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9C0D12">
              <w:rPr>
                <w:b/>
                <w:bCs/>
                <w:rtl/>
                <w:lang w:bidi="ar-EG"/>
              </w:rPr>
              <w:t xml:space="preserve">الأصل: </w:t>
            </w:r>
            <w:r w:rsidRPr="009C0D12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5ED0B62D" w14:textId="77777777" w:rsidTr="009F66A8">
        <w:trPr>
          <w:cantSplit/>
        </w:trPr>
        <w:tc>
          <w:tcPr>
            <w:tcW w:w="9672" w:type="dxa"/>
            <w:gridSpan w:val="2"/>
          </w:tcPr>
          <w:p w14:paraId="09B0CDB8" w14:textId="0B9225B3" w:rsidR="00290728" w:rsidRPr="00290728" w:rsidRDefault="00330ACD" w:rsidP="00330ACD">
            <w:pPr>
              <w:pStyle w:val="Source"/>
              <w:rPr>
                <w:rtl/>
                <w:lang w:bidi="ar-EG"/>
              </w:rPr>
            </w:pPr>
            <w:r w:rsidRPr="00330ACD">
              <w:rPr>
                <w:rFonts w:hint="cs"/>
                <w:rtl/>
                <w:lang w:bidi="ar-SY"/>
              </w:rPr>
              <w:t>تقرير من الأمين العام</w:t>
            </w:r>
          </w:p>
        </w:tc>
      </w:tr>
      <w:tr w:rsidR="00290728" w:rsidRPr="00290728" w14:paraId="2F99D799" w14:textId="77777777" w:rsidTr="009F66A8">
        <w:trPr>
          <w:cantSplit/>
        </w:trPr>
        <w:tc>
          <w:tcPr>
            <w:tcW w:w="9672" w:type="dxa"/>
            <w:gridSpan w:val="2"/>
          </w:tcPr>
          <w:p w14:paraId="07E9CE3E" w14:textId="7C2CCFC6" w:rsidR="00290728" w:rsidRPr="00383829" w:rsidRDefault="00330ACD" w:rsidP="00330ACD">
            <w:pPr>
              <w:pStyle w:val="Title1"/>
              <w:rPr>
                <w:rtl/>
              </w:rPr>
            </w:pPr>
            <w:r w:rsidRPr="00330ACD">
              <w:rPr>
                <w:rtl/>
              </w:rPr>
              <w:t xml:space="preserve">تقرير </w:t>
            </w:r>
            <w:r w:rsidRPr="00330ACD">
              <w:rPr>
                <w:rFonts w:hint="cs"/>
                <w:rtl/>
              </w:rPr>
              <w:t>المراجع</w:t>
            </w:r>
            <w:r w:rsidRPr="00330ACD">
              <w:rPr>
                <w:rtl/>
              </w:rPr>
              <w:t xml:space="preserve"> الداخلي عن أنشطة </w:t>
            </w:r>
            <w:r w:rsidRPr="00330ACD">
              <w:rPr>
                <w:rFonts w:hint="cs"/>
                <w:rtl/>
              </w:rPr>
              <w:t>المراجعة</w:t>
            </w:r>
            <w:r w:rsidRPr="00330ACD">
              <w:rPr>
                <w:rtl/>
              </w:rPr>
              <w:t xml:space="preserve"> الداخلية</w:t>
            </w:r>
          </w:p>
        </w:tc>
      </w:tr>
      <w:tr w:rsidR="00DC5FB0" w:rsidRPr="00290728" w14:paraId="2053DBA1" w14:textId="77777777" w:rsidTr="009F66A8">
        <w:trPr>
          <w:cantSplit/>
        </w:trPr>
        <w:tc>
          <w:tcPr>
            <w:tcW w:w="9672" w:type="dxa"/>
            <w:gridSpan w:val="2"/>
          </w:tcPr>
          <w:p w14:paraId="3BF0CF77" w14:textId="77777777" w:rsidR="00DC5FB0" w:rsidRPr="00383829" w:rsidRDefault="00DC5FB0" w:rsidP="006A793B">
            <w:pPr>
              <w:rPr>
                <w:rtl/>
              </w:rPr>
            </w:pPr>
          </w:p>
        </w:tc>
      </w:tr>
    </w:tbl>
    <w:p w14:paraId="4C1D6955" w14:textId="77777777" w:rsidR="00706D7A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14:paraId="7FC37651" w14:textId="77777777" w:rsidTr="00952F86">
        <w:trPr>
          <w:jc w:val="center"/>
        </w:trPr>
        <w:tc>
          <w:tcPr>
            <w:tcW w:w="8080" w:type="dxa"/>
          </w:tcPr>
          <w:p w14:paraId="1F5EC469" w14:textId="77777777"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14:paraId="11A1C484" w14:textId="51B33460" w:rsidR="00290728" w:rsidRDefault="00330ACD" w:rsidP="00330ACD">
            <w:pPr>
              <w:rPr>
                <w:rtl/>
                <w:lang w:bidi="ar-SY"/>
              </w:rPr>
            </w:pPr>
            <w:r w:rsidRPr="00330ACD">
              <w:rPr>
                <w:rtl/>
              </w:rPr>
              <w:t>ي</w:t>
            </w:r>
            <w:r w:rsidRPr="00330ACD">
              <w:rPr>
                <w:rFonts w:hint="cs"/>
                <w:rtl/>
              </w:rPr>
              <w:t>ُغطي</w:t>
            </w:r>
            <w:r w:rsidRPr="00330ACD">
              <w:rPr>
                <w:rtl/>
              </w:rPr>
              <w:t xml:space="preserve"> هذا التقرير </w:t>
            </w:r>
            <w:r w:rsidRPr="00330ACD">
              <w:rPr>
                <w:rFonts w:hint="cs"/>
                <w:rtl/>
                <w:lang w:bidi="ar-EG"/>
              </w:rPr>
              <w:t>أنشطة المراجعة الداخلية</w:t>
            </w:r>
            <w:r w:rsidRPr="00330ACD">
              <w:rPr>
                <w:rtl/>
              </w:rPr>
              <w:t xml:space="preserve"> في</w:t>
            </w:r>
            <w:r w:rsidRPr="00330ACD">
              <w:rPr>
                <w:rFonts w:hint="cs"/>
                <w:rtl/>
              </w:rPr>
              <w:t> </w:t>
            </w:r>
            <w:r w:rsidRPr="00330ACD">
              <w:rPr>
                <w:rtl/>
              </w:rPr>
              <w:t xml:space="preserve">الفترة الممتدة من </w:t>
            </w:r>
            <w:r>
              <w:rPr>
                <w:rFonts w:hint="cs"/>
                <w:rtl/>
              </w:rPr>
              <w:t>أبريل</w:t>
            </w:r>
            <w:r w:rsidRPr="00330ACD">
              <w:rPr>
                <w:rFonts w:hint="cs"/>
                <w:rtl/>
              </w:rPr>
              <w:t> </w:t>
            </w:r>
            <w:r w:rsidRPr="00330ACD">
              <w:rPr>
                <w:lang w:bidi="ar-SY"/>
              </w:rPr>
              <w:t>202</w:t>
            </w:r>
            <w:r>
              <w:rPr>
                <w:lang w:bidi="ar-SY"/>
              </w:rPr>
              <w:t>1</w:t>
            </w:r>
            <w:r w:rsidRPr="00330ACD">
              <w:rPr>
                <w:rtl/>
              </w:rPr>
              <w:t xml:space="preserve"> إلى </w:t>
            </w:r>
            <w:r>
              <w:rPr>
                <w:rFonts w:hint="cs"/>
                <w:rtl/>
                <w:lang w:bidi="ar-EG"/>
              </w:rPr>
              <w:t>يناير</w:t>
            </w:r>
            <w:r w:rsidRPr="00330ACD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t>2022</w:t>
            </w:r>
            <w:r w:rsidRPr="00330ACD">
              <w:rPr>
                <w:rtl/>
              </w:rPr>
              <w:t>.</w:t>
            </w:r>
          </w:p>
          <w:p w14:paraId="05FCC3AA" w14:textId="77777777"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14:paraId="4CEAFDB7" w14:textId="7319F5CE" w:rsidR="00290728" w:rsidRDefault="00330ACD" w:rsidP="00330ACD">
            <w:pPr>
              <w:rPr>
                <w:rtl/>
                <w:lang w:bidi="ar-SY"/>
              </w:rPr>
            </w:pPr>
            <w:r w:rsidRPr="00330ACD">
              <w:rPr>
                <w:rFonts w:hint="cs"/>
                <w:rtl/>
                <w:lang w:bidi="ar-EG"/>
              </w:rPr>
              <w:t xml:space="preserve">يُحال هذا التقرير إلى المجلس لكي </w:t>
            </w:r>
            <w:r w:rsidRPr="00330ACD">
              <w:rPr>
                <w:rFonts w:hint="cs"/>
                <w:b/>
                <w:bCs/>
                <w:rtl/>
                <w:lang w:bidi="ar-EG"/>
              </w:rPr>
              <w:t>ينظر فيه</w:t>
            </w:r>
            <w:r w:rsidRPr="00330ACD">
              <w:rPr>
                <w:rFonts w:hint="cs"/>
                <w:rtl/>
                <w:lang w:bidi="ar-EG"/>
              </w:rPr>
              <w:t>.</w:t>
            </w:r>
          </w:p>
          <w:p w14:paraId="6E142EB8" w14:textId="77777777" w:rsidR="00290728" w:rsidRPr="0026373E" w:rsidRDefault="00290728" w:rsidP="00290728">
            <w:pPr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26373E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_________</w:t>
            </w:r>
          </w:p>
          <w:p w14:paraId="17512F80" w14:textId="77777777" w:rsidR="00290728" w:rsidRP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14:paraId="2097EF49" w14:textId="352DBDB7" w:rsidR="00290728" w:rsidRPr="00290728" w:rsidRDefault="008D534B" w:rsidP="00330ACD">
            <w:pPr>
              <w:spacing w:after="120"/>
              <w:jc w:val="left"/>
              <w:rPr>
                <w:i/>
                <w:iCs/>
                <w:rtl/>
                <w:lang w:bidi="ar-SY"/>
              </w:rPr>
            </w:pPr>
            <w:hyperlink r:id="rId9" w:history="1">
              <w:r w:rsidR="00330ACD" w:rsidRPr="00330ACD">
                <w:rPr>
                  <w:rStyle w:val="Hyperlink"/>
                  <w:i/>
                  <w:iCs/>
                  <w:rtl/>
                </w:rPr>
                <w:t xml:space="preserve">اللوائح المالية والقواعد المالية للاتحاد </w:t>
              </w:r>
              <w:r w:rsidR="00330ACD" w:rsidRPr="00330ACD">
                <w:rPr>
                  <w:rStyle w:val="Hyperlink"/>
                  <w:i/>
                  <w:iCs/>
                  <w:lang w:bidi="ar-SY"/>
                </w:rPr>
                <w:t>(2018)</w:t>
              </w:r>
              <w:r w:rsidR="00330ACD" w:rsidRPr="00330ACD">
                <w:rPr>
                  <w:rStyle w:val="Hyperlink"/>
                  <w:i/>
                  <w:iCs/>
                  <w:rtl/>
                </w:rPr>
                <w:t xml:space="preserve">، المادة </w:t>
              </w:r>
              <w:r w:rsidR="00330ACD" w:rsidRPr="00330ACD">
                <w:rPr>
                  <w:rStyle w:val="Hyperlink"/>
                  <w:i/>
                  <w:iCs/>
                  <w:lang w:bidi="ar-SY"/>
                </w:rPr>
                <w:t>29</w:t>
              </w:r>
            </w:hyperlink>
          </w:p>
        </w:tc>
      </w:tr>
    </w:tbl>
    <w:p w14:paraId="089F077A" w14:textId="77777777" w:rsidR="004E11DC" w:rsidRPr="00F974C5" w:rsidRDefault="004E11DC" w:rsidP="0026373E">
      <w:pPr>
        <w:rPr>
          <w:rtl/>
        </w:rPr>
      </w:pPr>
    </w:p>
    <w:p w14:paraId="02BA3AD5" w14:textId="760AAA1B" w:rsidR="007F3BD9" w:rsidRPr="00ED6CC9" w:rsidRDefault="007F3BD9" w:rsidP="002D18A0">
      <w:pPr>
        <w:pStyle w:val="Headingb"/>
        <w:rPr>
          <w:lang w:bidi="ar-EG"/>
        </w:rPr>
      </w:pPr>
      <w:r w:rsidRPr="00ED6CC9">
        <w:rPr>
          <w:rtl/>
        </w:rPr>
        <w:t>مقدمة</w:t>
      </w:r>
    </w:p>
    <w:p w14:paraId="3D6FC204" w14:textId="4BB6444C" w:rsidR="007F3BD9" w:rsidRPr="00ED6CC9" w:rsidRDefault="007F3BD9" w:rsidP="007F3BD9">
      <w:pPr>
        <w:rPr>
          <w:rtl/>
        </w:rPr>
      </w:pPr>
      <w:r w:rsidRPr="00ED6CC9">
        <w:rPr>
          <w:lang w:bidi="ar-SY"/>
        </w:rPr>
        <w:t>1</w:t>
      </w:r>
      <w:r w:rsidRPr="00ED6CC9">
        <w:rPr>
          <w:rtl/>
        </w:rPr>
        <w:tab/>
        <w:t>يُحال هذا التقرير إلى</w:t>
      </w:r>
      <w:r w:rsidRPr="00ED6CC9">
        <w:t xml:space="preserve"> </w:t>
      </w:r>
      <w:r w:rsidRPr="00ED6CC9">
        <w:rPr>
          <w:rtl/>
        </w:rPr>
        <w:t>مجلس</w:t>
      </w:r>
      <w:r w:rsidRPr="00ED6CC9">
        <w:rPr>
          <w:rFonts w:hint="cs"/>
          <w:rtl/>
          <w:lang w:bidi="ar-EG"/>
        </w:rPr>
        <w:t xml:space="preserve"> الاتحاد</w:t>
      </w:r>
      <w:r w:rsidRPr="00ED6CC9">
        <w:rPr>
          <w:rFonts w:hint="cs"/>
          <w:rtl/>
        </w:rPr>
        <w:t>، و</w:t>
      </w:r>
      <w:r w:rsidRPr="00ED6CC9">
        <w:rPr>
          <w:rtl/>
        </w:rPr>
        <w:t>قد أُعد عملاً بالمادة</w:t>
      </w:r>
      <w:r w:rsidRPr="00ED6CC9">
        <w:rPr>
          <w:rFonts w:hint="cs"/>
          <w:rtl/>
        </w:rPr>
        <w:t> </w:t>
      </w:r>
      <w:r w:rsidRPr="00ED6CC9">
        <w:rPr>
          <w:lang w:bidi="ar-SY"/>
        </w:rPr>
        <w:t>29</w:t>
      </w:r>
      <w:r w:rsidRPr="00ED6CC9">
        <w:rPr>
          <w:rtl/>
        </w:rPr>
        <w:t xml:space="preserve"> من اللوائح المالية</w:t>
      </w:r>
      <w:r w:rsidRPr="00ED6CC9">
        <w:rPr>
          <w:rFonts w:hint="cs"/>
          <w:rtl/>
        </w:rPr>
        <w:t> </w:t>
      </w:r>
      <w:r w:rsidRPr="00ED6CC9">
        <w:rPr>
          <w:lang w:bidi="ar-SY"/>
        </w:rPr>
        <w:t>(2010)</w:t>
      </w:r>
      <w:r w:rsidRPr="00ED6CC9">
        <w:rPr>
          <w:rtl/>
        </w:rPr>
        <w:t>. ووفقاً لميثاق المراجعة الداخلية في الاتحاد</w:t>
      </w:r>
      <w:r w:rsidRPr="00ED6CC9">
        <w:rPr>
          <w:rFonts w:hint="cs"/>
          <w:rtl/>
        </w:rPr>
        <w:t>،</w:t>
      </w:r>
      <w:r w:rsidRPr="00ED6CC9">
        <w:rPr>
          <w:rStyle w:val="FootnoteReference"/>
          <w:rtl/>
        </w:rPr>
        <w:footnoteReference w:id="1"/>
      </w:r>
      <w:r w:rsidRPr="00ED6CC9">
        <w:rPr>
          <w:rtl/>
        </w:rPr>
        <w:t xml:space="preserve"> يقدَّم هذا التقرير إلى الأمين العام ويُعرض على المجلس لكي ينظر فيه. وي</w:t>
      </w:r>
      <w:r w:rsidRPr="00ED6CC9">
        <w:rPr>
          <w:rFonts w:hint="cs"/>
          <w:rtl/>
        </w:rPr>
        <w:t>غطي</w:t>
      </w:r>
      <w:r w:rsidRPr="00ED6CC9">
        <w:rPr>
          <w:rtl/>
        </w:rPr>
        <w:t xml:space="preserve"> هذا التقرير الأنشطة </w:t>
      </w:r>
      <w:proofErr w:type="spellStart"/>
      <w:r w:rsidRPr="00ED6CC9">
        <w:rPr>
          <w:rtl/>
        </w:rPr>
        <w:t>المضطلَع</w:t>
      </w:r>
      <w:proofErr w:type="spellEnd"/>
      <w:r w:rsidRPr="00ED6CC9">
        <w:rPr>
          <w:rtl/>
        </w:rPr>
        <w:t xml:space="preserve"> بها في</w:t>
      </w:r>
      <w:r w:rsidRPr="00ED6CC9">
        <w:rPr>
          <w:rFonts w:hint="cs"/>
          <w:rtl/>
        </w:rPr>
        <w:t> </w:t>
      </w:r>
      <w:r w:rsidRPr="00ED6CC9">
        <w:rPr>
          <w:rtl/>
        </w:rPr>
        <w:t xml:space="preserve">الفترة الممتدة من </w:t>
      </w:r>
      <w:r w:rsidR="00F61215">
        <w:rPr>
          <w:rFonts w:hint="cs"/>
          <w:rtl/>
        </w:rPr>
        <w:t>أبريل</w:t>
      </w:r>
      <w:r w:rsidRPr="00ED6CC9">
        <w:rPr>
          <w:rFonts w:hint="cs"/>
          <w:rtl/>
        </w:rPr>
        <w:t> </w:t>
      </w:r>
      <w:r w:rsidR="00F61215">
        <w:rPr>
          <w:lang w:bidi="ar-SY"/>
        </w:rPr>
        <w:t>2021</w:t>
      </w:r>
      <w:r w:rsidRPr="00ED6CC9">
        <w:rPr>
          <w:rtl/>
        </w:rPr>
        <w:t xml:space="preserve"> </w:t>
      </w:r>
      <w:r w:rsidRPr="00ED6CC9">
        <w:rPr>
          <w:rFonts w:hint="cs"/>
          <w:rtl/>
        </w:rPr>
        <w:t>إلى</w:t>
      </w:r>
      <w:r w:rsidRPr="00ED6CC9">
        <w:rPr>
          <w:rtl/>
        </w:rPr>
        <w:t xml:space="preserve"> </w:t>
      </w:r>
      <w:r w:rsidR="00F61215">
        <w:rPr>
          <w:rFonts w:hint="cs"/>
          <w:rtl/>
          <w:lang w:bidi="ar-EG"/>
        </w:rPr>
        <w:t>يناير</w:t>
      </w:r>
      <w:r w:rsidRPr="00ED6CC9">
        <w:rPr>
          <w:rFonts w:hint="cs"/>
          <w:rtl/>
          <w:lang w:bidi="ar-EG"/>
        </w:rPr>
        <w:t xml:space="preserve"> </w:t>
      </w:r>
      <w:r w:rsidR="00F61215">
        <w:rPr>
          <w:lang w:bidi="ar-EG"/>
        </w:rPr>
        <w:t>2022</w:t>
      </w:r>
      <w:r w:rsidRPr="00ED6CC9">
        <w:rPr>
          <w:rtl/>
        </w:rPr>
        <w:t>.</w:t>
      </w:r>
    </w:p>
    <w:p w14:paraId="0372D59F" w14:textId="3C8F7897" w:rsidR="007F3BD9" w:rsidRPr="00ED6CC9" w:rsidRDefault="007F3BD9" w:rsidP="00117BFE">
      <w:pPr>
        <w:rPr>
          <w:rtl/>
          <w:lang w:bidi="ar-EG"/>
        </w:rPr>
      </w:pPr>
      <w:r w:rsidRPr="005600FE">
        <w:t>2</w:t>
      </w:r>
      <w:r w:rsidRPr="005600FE">
        <w:rPr>
          <w:rtl/>
          <w:lang w:bidi="ar-EG"/>
        </w:rPr>
        <w:tab/>
      </w:r>
      <w:r w:rsidRPr="005600FE">
        <w:rPr>
          <w:rFonts w:hint="cs"/>
          <w:rtl/>
        </w:rPr>
        <w:t>وخلال الفترة المشمولة بالتقرير،</w:t>
      </w:r>
      <w:r w:rsidR="009A7049">
        <w:rPr>
          <w:rFonts w:hint="cs"/>
          <w:rtl/>
        </w:rPr>
        <w:t xml:space="preserve"> </w:t>
      </w:r>
      <w:r w:rsidR="00B53537">
        <w:rPr>
          <w:rFonts w:hint="cs"/>
          <w:rtl/>
        </w:rPr>
        <w:t xml:space="preserve">أي </w:t>
      </w:r>
      <w:r w:rsidR="009A7049">
        <w:rPr>
          <w:rFonts w:hint="cs"/>
          <w:rtl/>
        </w:rPr>
        <w:t xml:space="preserve">حتى سبتمبر </w:t>
      </w:r>
      <w:r w:rsidR="009A7049">
        <w:t>2021</w:t>
      </w:r>
      <w:r w:rsidR="009A7049">
        <w:rPr>
          <w:rFonts w:hint="cs"/>
          <w:rtl/>
          <w:lang w:bidi="ar-EG"/>
        </w:rPr>
        <w:t>،</w:t>
      </w:r>
      <w:r w:rsidRPr="005600FE">
        <w:rPr>
          <w:rFonts w:hint="cs"/>
          <w:rtl/>
        </w:rPr>
        <w:t xml:space="preserve"> تألفت وحدة المراجعة الداخلية من ثلاثة موظفين من الفئة الفنية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-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موظف بدرجة</w:t>
      </w:r>
      <w:r w:rsidRPr="005600FE">
        <w:rPr>
          <w:rFonts w:hint="eastAsia"/>
          <w:rtl/>
        </w:rPr>
        <w:t> </w:t>
      </w:r>
      <w:r w:rsidRPr="005600FE">
        <w:rPr>
          <w:rFonts w:hint="cs"/>
          <w:rtl/>
        </w:rPr>
        <w:t>ف</w:t>
      </w:r>
      <w:r w:rsidRPr="005600FE">
        <w:rPr>
          <w:rtl/>
        </w:rPr>
        <w:noBreakHyphen/>
      </w:r>
      <w:r w:rsidRPr="005600FE">
        <w:rPr>
          <w:lang w:val="en-CA"/>
        </w:rPr>
        <w:t>5</w:t>
      </w:r>
      <w:r w:rsidRPr="005600FE">
        <w:rPr>
          <w:rFonts w:hint="cs"/>
          <w:rtl/>
          <w:lang w:val="en-CA" w:bidi="ar-EG"/>
        </w:rPr>
        <w:t xml:space="preserve"> (رئيس</w:t>
      </w:r>
      <w:r w:rsidRPr="005600FE">
        <w:rPr>
          <w:rFonts w:hint="eastAsia"/>
          <w:rtl/>
          <w:lang w:val="en-CA" w:bidi="ar-EG"/>
        </w:rPr>
        <w:t> </w:t>
      </w:r>
      <w:r w:rsidRPr="005600FE">
        <w:rPr>
          <w:rFonts w:hint="cs"/>
          <w:rtl/>
          <w:lang w:val="en-CA" w:bidi="ar-EG"/>
        </w:rPr>
        <w:t>الوحدة) وموظف بدرجة ف</w:t>
      </w:r>
      <w:r w:rsidRPr="005600FE">
        <w:rPr>
          <w:rtl/>
          <w:lang w:val="en-CA" w:bidi="ar-EG"/>
        </w:rPr>
        <w:noBreakHyphen/>
      </w:r>
      <w:r w:rsidRPr="005600FE">
        <w:rPr>
          <w:lang w:bidi="ar-EG"/>
        </w:rPr>
        <w:t>3</w:t>
      </w:r>
      <w:r w:rsidRPr="005600FE">
        <w:rPr>
          <w:rFonts w:hint="cs"/>
          <w:rtl/>
          <w:lang w:bidi="ar-EG"/>
        </w:rPr>
        <w:t xml:space="preserve"> (مراجع</w:t>
      </w:r>
      <w:r w:rsidRPr="005600FE">
        <w:rPr>
          <w:rFonts w:hint="eastAsia"/>
          <w:rtl/>
          <w:lang w:bidi="ar-EG"/>
        </w:rPr>
        <w:t> </w:t>
      </w:r>
      <w:r w:rsidRPr="005600FE">
        <w:rPr>
          <w:rFonts w:hint="cs"/>
          <w:rtl/>
          <w:lang w:bidi="ar-EG"/>
        </w:rPr>
        <w:t xml:space="preserve">داخلي) </w:t>
      </w:r>
      <w:r w:rsidRPr="005600FE">
        <w:rPr>
          <w:rFonts w:hint="cs"/>
          <w:rtl/>
          <w:lang w:val="en-CA" w:bidi="ar-EG"/>
        </w:rPr>
        <w:t>وكذلك موظف بدرجة ف-</w:t>
      </w:r>
      <w:r w:rsidRPr="005600FE">
        <w:rPr>
          <w:lang w:val="en-CA" w:bidi="ar-EG"/>
        </w:rPr>
        <w:t>2</w:t>
      </w:r>
      <w:r w:rsidRPr="005600FE">
        <w:rPr>
          <w:rFonts w:hint="cs"/>
          <w:rtl/>
          <w:lang w:val="en-CA" w:bidi="ar-EG"/>
        </w:rPr>
        <w:t xml:space="preserve"> (مراجع داخلي مبتدئ). </w:t>
      </w:r>
      <w:r w:rsidR="00220015">
        <w:rPr>
          <w:rFonts w:hint="cs"/>
          <w:rtl/>
          <w:lang w:bidi="ar-EG"/>
        </w:rPr>
        <w:t>وفي</w:t>
      </w:r>
      <w:r w:rsidR="003A7C5D" w:rsidRPr="003A7C5D">
        <w:rPr>
          <w:rtl/>
          <w:lang w:bidi="ar-EG"/>
        </w:rPr>
        <w:t xml:space="preserve"> أكتوبر </w:t>
      </w:r>
      <w:r w:rsidR="00220015" w:rsidRPr="003A7C5D">
        <w:rPr>
          <w:rFonts w:hint="cs"/>
          <w:rtl/>
          <w:lang w:bidi="ar-EG"/>
        </w:rPr>
        <w:t>2021،</w:t>
      </w:r>
      <w:r w:rsidR="003A7C5D" w:rsidRPr="003A7C5D">
        <w:rPr>
          <w:rtl/>
          <w:lang w:bidi="ar-EG"/>
        </w:rPr>
        <w:t xml:space="preserve"> </w:t>
      </w:r>
      <w:r w:rsidR="00220015">
        <w:rPr>
          <w:rFonts w:hint="cs"/>
          <w:rtl/>
          <w:lang w:bidi="ar-EG"/>
        </w:rPr>
        <w:t>شُغلت</w:t>
      </w:r>
      <w:r w:rsidR="003A7C5D" w:rsidRPr="003A7C5D">
        <w:rPr>
          <w:rtl/>
          <w:lang w:bidi="ar-EG"/>
        </w:rPr>
        <w:t xml:space="preserve"> وظيفة </w:t>
      </w:r>
      <w:r w:rsidR="00220015" w:rsidRPr="005600FE">
        <w:rPr>
          <w:rFonts w:hint="cs"/>
          <w:rtl/>
        </w:rPr>
        <w:t>موظف بدرجة</w:t>
      </w:r>
      <w:r w:rsidR="00220015" w:rsidRPr="005600FE">
        <w:rPr>
          <w:rFonts w:hint="eastAsia"/>
          <w:rtl/>
        </w:rPr>
        <w:t> </w:t>
      </w:r>
      <w:r w:rsidR="00220015" w:rsidRPr="005600FE">
        <w:rPr>
          <w:rFonts w:hint="cs"/>
          <w:rtl/>
        </w:rPr>
        <w:t>ف</w:t>
      </w:r>
      <w:r w:rsidR="00220015" w:rsidRPr="005600FE">
        <w:rPr>
          <w:rtl/>
        </w:rPr>
        <w:noBreakHyphen/>
      </w:r>
      <w:r w:rsidR="00220015">
        <w:rPr>
          <w:rFonts w:hint="cs"/>
          <w:rtl/>
          <w:lang w:val="en-CA"/>
        </w:rPr>
        <w:t>4</w:t>
      </w:r>
      <w:r w:rsidR="00220015" w:rsidRPr="005600FE">
        <w:rPr>
          <w:rFonts w:hint="cs"/>
          <w:rtl/>
          <w:lang w:val="en-CA" w:bidi="ar-EG"/>
        </w:rPr>
        <w:t xml:space="preserve"> </w:t>
      </w:r>
      <w:r w:rsidR="003A7C5D" w:rsidRPr="003A7C5D">
        <w:rPr>
          <w:rtl/>
          <w:lang w:bidi="ar-EG"/>
        </w:rPr>
        <w:t>(</w:t>
      </w:r>
      <w:r w:rsidR="00220015" w:rsidRPr="005600FE">
        <w:rPr>
          <w:rFonts w:hint="cs"/>
          <w:rtl/>
          <w:lang w:bidi="ar-EG"/>
        </w:rPr>
        <w:t>مراجع</w:t>
      </w:r>
      <w:r w:rsidR="00220015" w:rsidRPr="005600FE">
        <w:rPr>
          <w:rFonts w:hint="eastAsia"/>
          <w:rtl/>
          <w:lang w:bidi="ar-EG"/>
        </w:rPr>
        <w:t> </w:t>
      </w:r>
      <w:r w:rsidR="00220015" w:rsidRPr="005600FE">
        <w:rPr>
          <w:rFonts w:hint="cs"/>
          <w:rtl/>
          <w:lang w:bidi="ar-EG"/>
        </w:rPr>
        <w:t>داخلي</w:t>
      </w:r>
      <w:r w:rsidR="00220015">
        <w:rPr>
          <w:rFonts w:hint="cs"/>
          <w:rtl/>
          <w:lang w:bidi="ar-EG"/>
        </w:rPr>
        <w:t xml:space="preserve"> </w:t>
      </w:r>
      <w:r w:rsidR="00545E64">
        <w:rPr>
          <w:rFonts w:hint="cs"/>
          <w:rtl/>
          <w:lang w:bidi="ar-EG"/>
        </w:rPr>
        <w:t>أقدم</w:t>
      </w:r>
      <w:r w:rsidR="003A7C5D" w:rsidRPr="003A7C5D">
        <w:rPr>
          <w:rtl/>
          <w:lang w:bidi="ar-EG"/>
        </w:rPr>
        <w:t xml:space="preserve">)، </w:t>
      </w:r>
      <w:r w:rsidR="00220015">
        <w:rPr>
          <w:rFonts w:hint="cs"/>
          <w:rtl/>
          <w:lang w:bidi="ar-EG"/>
        </w:rPr>
        <w:t xml:space="preserve">وعُيّن موظف مؤقت </w:t>
      </w:r>
      <w:r w:rsidR="00220015" w:rsidRPr="005600FE">
        <w:rPr>
          <w:rFonts w:hint="cs"/>
          <w:rtl/>
        </w:rPr>
        <w:t>بدرجة</w:t>
      </w:r>
      <w:r w:rsidR="00220015" w:rsidRPr="005600FE">
        <w:rPr>
          <w:rFonts w:hint="eastAsia"/>
          <w:rtl/>
        </w:rPr>
        <w:t> </w:t>
      </w:r>
      <w:r w:rsidR="00220015" w:rsidRPr="005600FE">
        <w:rPr>
          <w:rFonts w:hint="cs"/>
          <w:rtl/>
        </w:rPr>
        <w:t>ف</w:t>
      </w:r>
      <w:r w:rsidR="00220015" w:rsidRPr="005600FE">
        <w:rPr>
          <w:rtl/>
        </w:rPr>
        <w:noBreakHyphen/>
      </w:r>
      <w:r w:rsidR="00220015">
        <w:rPr>
          <w:rFonts w:hint="cs"/>
          <w:rtl/>
          <w:lang w:val="en-CA"/>
        </w:rPr>
        <w:t>3</w:t>
      </w:r>
      <w:r w:rsidR="00220015" w:rsidRPr="005600FE">
        <w:rPr>
          <w:rFonts w:hint="cs"/>
          <w:rtl/>
          <w:lang w:val="en-CA" w:bidi="ar-EG"/>
        </w:rPr>
        <w:t xml:space="preserve"> </w:t>
      </w:r>
      <w:r w:rsidR="00220015">
        <w:rPr>
          <w:rFonts w:hint="cs"/>
          <w:rtl/>
          <w:lang w:bidi="ar-EG"/>
        </w:rPr>
        <w:t>للفترة الممتدة من</w:t>
      </w:r>
      <w:r w:rsidR="003A7C5D" w:rsidRPr="003A7C5D">
        <w:rPr>
          <w:rtl/>
          <w:lang w:bidi="ar-EG"/>
        </w:rPr>
        <w:t xml:space="preserve"> 1 نوفمبر 2021 </w:t>
      </w:r>
      <w:r w:rsidR="00220015">
        <w:rPr>
          <w:rFonts w:hint="cs"/>
          <w:rtl/>
          <w:lang w:bidi="ar-EG"/>
        </w:rPr>
        <w:t>إلى</w:t>
      </w:r>
      <w:r w:rsidR="003A7C5D" w:rsidRPr="003A7C5D">
        <w:rPr>
          <w:rtl/>
          <w:lang w:bidi="ar-EG"/>
        </w:rPr>
        <w:t xml:space="preserve"> 31 مارس 2022. </w:t>
      </w:r>
      <w:r w:rsidR="00245936">
        <w:rPr>
          <w:rFonts w:hint="cs"/>
          <w:rtl/>
          <w:lang w:bidi="ar-EG"/>
        </w:rPr>
        <w:t>وتم النشر عن</w:t>
      </w:r>
      <w:r w:rsidR="00245936" w:rsidRPr="003A7C5D">
        <w:rPr>
          <w:rtl/>
          <w:lang w:bidi="ar-EG"/>
        </w:rPr>
        <w:t xml:space="preserve"> </w:t>
      </w:r>
      <w:r w:rsidR="003A7C5D" w:rsidRPr="003A7C5D">
        <w:rPr>
          <w:rtl/>
          <w:lang w:bidi="ar-EG"/>
        </w:rPr>
        <w:t xml:space="preserve">الوظيفة الشاغرة </w:t>
      </w:r>
      <w:r w:rsidR="00245936" w:rsidRPr="00245936">
        <w:rPr>
          <w:rtl/>
          <w:lang w:bidi="ar-EG"/>
        </w:rPr>
        <w:t xml:space="preserve">بدرجة </w:t>
      </w:r>
      <w:r w:rsidR="00117BFE" w:rsidRPr="005600FE">
        <w:rPr>
          <w:rFonts w:hint="cs"/>
          <w:rtl/>
        </w:rPr>
        <w:t>ف</w:t>
      </w:r>
      <w:r w:rsidR="00117BFE" w:rsidRPr="005600FE">
        <w:rPr>
          <w:rtl/>
        </w:rPr>
        <w:noBreakHyphen/>
      </w:r>
      <w:r w:rsidR="00117BFE">
        <w:rPr>
          <w:rFonts w:hint="cs"/>
          <w:rtl/>
          <w:lang w:val="en-CA"/>
        </w:rPr>
        <w:t>3</w:t>
      </w:r>
      <w:r w:rsidR="00117BFE" w:rsidRPr="005600FE">
        <w:rPr>
          <w:rFonts w:hint="cs"/>
          <w:rtl/>
          <w:lang w:val="en-CA" w:bidi="ar-EG"/>
        </w:rPr>
        <w:t xml:space="preserve"> </w:t>
      </w:r>
      <w:r w:rsidR="00117BFE">
        <w:rPr>
          <w:rFonts w:hint="cs"/>
          <w:rtl/>
          <w:lang w:val="en-CA" w:bidi="ar-EG"/>
        </w:rPr>
        <w:t>ال</w:t>
      </w:r>
      <w:r w:rsidR="003A7C5D" w:rsidRPr="003A7C5D">
        <w:rPr>
          <w:rtl/>
          <w:lang w:bidi="ar-EG"/>
        </w:rPr>
        <w:t>محددة المدة</w:t>
      </w:r>
      <w:r w:rsidR="00117BFE">
        <w:rPr>
          <w:rFonts w:hint="cs"/>
          <w:rtl/>
          <w:lang w:bidi="ar-EG"/>
        </w:rPr>
        <w:t>،</w:t>
      </w:r>
      <w:r w:rsidR="003A7C5D" w:rsidRPr="003A7C5D">
        <w:rPr>
          <w:rtl/>
          <w:lang w:bidi="ar-EG"/>
        </w:rPr>
        <w:t xml:space="preserve"> ومن المتوقع </w:t>
      </w:r>
      <w:r w:rsidR="00117BFE">
        <w:rPr>
          <w:rFonts w:hint="cs"/>
          <w:rtl/>
          <w:lang w:bidi="ar-EG"/>
        </w:rPr>
        <w:t>أن يتم شُغلها</w:t>
      </w:r>
      <w:r w:rsidR="003A7C5D" w:rsidRPr="003A7C5D">
        <w:rPr>
          <w:rtl/>
          <w:lang w:bidi="ar-EG"/>
        </w:rPr>
        <w:t xml:space="preserve"> في منتصف عام 2022. </w:t>
      </w:r>
      <w:r w:rsidR="00117BFE">
        <w:rPr>
          <w:rFonts w:hint="cs"/>
          <w:rtl/>
          <w:lang w:bidi="ar-EG"/>
        </w:rPr>
        <w:t>وعلى نحو مشابه لعام 2021،</w:t>
      </w:r>
      <w:r w:rsidRPr="005600FE">
        <w:rPr>
          <w:rFonts w:hint="cs"/>
          <w:rtl/>
          <w:lang w:bidi="ar-EG"/>
        </w:rPr>
        <w:t xml:space="preserve"> تتألف الوحدة حالياً من أربع وظائف </w:t>
      </w:r>
      <w:r w:rsidR="00245936" w:rsidRPr="00245936">
        <w:rPr>
          <w:rtl/>
          <w:lang w:bidi="ar-EG"/>
        </w:rPr>
        <w:t>من الفئة الفنية</w:t>
      </w:r>
      <w:r w:rsidRPr="005600FE">
        <w:rPr>
          <w:rFonts w:hint="cs"/>
          <w:rtl/>
          <w:lang w:bidi="ar-EG"/>
        </w:rPr>
        <w:t>، إحداها شاغرة وقيد الملء في غضون</w:t>
      </w:r>
      <w:r w:rsidRPr="00ED6CC9">
        <w:rPr>
          <w:rFonts w:hint="cs"/>
          <w:rtl/>
          <w:lang w:bidi="ar-EG"/>
        </w:rPr>
        <w:t xml:space="preserve"> عام</w:t>
      </w:r>
      <w:r>
        <w:rPr>
          <w:rFonts w:hint="eastAsia"/>
          <w:rtl/>
          <w:lang w:bidi="ar-EG"/>
        </w:rPr>
        <w:t> </w:t>
      </w:r>
      <w:r w:rsidR="001B120D">
        <w:rPr>
          <w:lang w:bidi="ar-EG"/>
        </w:rPr>
        <w:t>2022</w:t>
      </w:r>
      <w:r w:rsidR="001B120D">
        <w:rPr>
          <w:rFonts w:hint="cs"/>
          <w:rtl/>
          <w:lang w:bidi="ar-EG"/>
        </w:rPr>
        <w:t>.</w:t>
      </w:r>
    </w:p>
    <w:p w14:paraId="6779E7C9" w14:textId="37CC31B9" w:rsidR="007F3BD9" w:rsidRPr="00ED6CC9" w:rsidRDefault="007F3BD9" w:rsidP="007F3BD9">
      <w:pPr>
        <w:rPr>
          <w:rtl/>
        </w:rPr>
      </w:pPr>
      <w:r w:rsidRPr="00ED6CC9">
        <w:lastRenderedPageBreak/>
        <w:t>3</w:t>
      </w:r>
      <w:r w:rsidRPr="00ED6CC9">
        <w:rPr>
          <w:rtl/>
        </w:rPr>
        <w:tab/>
      </w:r>
      <w:r w:rsidRPr="00ED6CC9">
        <w:rPr>
          <w:rFonts w:hint="cs"/>
          <w:rtl/>
        </w:rPr>
        <w:t>و</w:t>
      </w:r>
      <w:r w:rsidRPr="00ED6CC9">
        <w:rPr>
          <w:rtl/>
        </w:rPr>
        <w:t>تؤكد وحدة المراجعة الداخلية</w:t>
      </w:r>
      <w:r w:rsidRPr="00ED6CC9">
        <w:rPr>
          <w:rFonts w:hint="cs"/>
          <w:rtl/>
        </w:rPr>
        <w:t> </w:t>
      </w:r>
      <w:r w:rsidRPr="00ED6CC9">
        <w:t>(IA)</w:t>
      </w:r>
      <w:r w:rsidRPr="00ED6CC9">
        <w:rPr>
          <w:rtl/>
        </w:rPr>
        <w:t xml:space="preserve"> أنها تجري مراجعاتها وفقاً للمعايير الدولية للممارسة المهنية للمراجعة الداخلية ومدونة قواعد السلوك التي وضعها معهد المراجعين الداخليين</w:t>
      </w:r>
      <w:r>
        <w:rPr>
          <w:rFonts w:hint="cs"/>
          <w:rtl/>
        </w:rPr>
        <w:t xml:space="preserve"> </w:t>
      </w:r>
      <w:r w:rsidRPr="00ED6CC9">
        <w:t>(IIA)</w:t>
      </w:r>
      <w:r>
        <w:rPr>
          <w:rFonts w:hint="cs"/>
          <w:rtl/>
        </w:rPr>
        <w:t>،</w:t>
      </w:r>
      <w:r w:rsidRPr="00ED6CC9">
        <w:rPr>
          <w:rStyle w:val="FootnoteReference"/>
          <w:rtl/>
        </w:rPr>
        <w:footnoteReference w:id="2"/>
      </w:r>
      <w:r w:rsidRPr="00ED6CC9">
        <w:rPr>
          <w:rtl/>
        </w:rPr>
        <w:t xml:space="preserve"> ولأحكام ميثاق المراجعة الداخلية في</w:t>
      </w:r>
      <w:r w:rsidR="0011203B">
        <w:rPr>
          <w:rFonts w:hint="cs"/>
          <w:rtl/>
        </w:rPr>
        <w:t> </w:t>
      </w:r>
      <w:r w:rsidRPr="00ED6CC9">
        <w:rPr>
          <w:rtl/>
        </w:rPr>
        <w:t>الاتحاد</w:t>
      </w:r>
      <w:r w:rsidRPr="00ED6CC9">
        <w:rPr>
          <w:rFonts w:hint="cs"/>
          <w:rtl/>
        </w:rPr>
        <w:t>.</w:t>
      </w:r>
      <w:r w:rsidRPr="00ED6CC9">
        <w:rPr>
          <w:rStyle w:val="FootnoteReference"/>
          <w:rtl/>
        </w:rPr>
        <w:footnoteReference w:id="3"/>
      </w:r>
      <w:r w:rsidRPr="00ED6CC9">
        <w:rPr>
          <w:rtl/>
        </w:rPr>
        <w:t xml:space="preserve"> وبالإضافة</w:t>
      </w:r>
      <w:r w:rsidRPr="00ED6CC9">
        <w:rPr>
          <w:rFonts w:hint="eastAsia"/>
          <w:rtl/>
        </w:rPr>
        <w:t> </w:t>
      </w:r>
      <w:r w:rsidRPr="00ED6CC9">
        <w:rPr>
          <w:rtl/>
        </w:rPr>
        <w:t>إلى ذلك، تؤكد وحدة المراجعة الداخلية فيما</w:t>
      </w:r>
      <w:r w:rsidRPr="00ED6CC9">
        <w:rPr>
          <w:rFonts w:hint="cs"/>
          <w:rtl/>
        </w:rPr>
        <w:t> </w:t>
      </w:r>
      <w:r w:rsidRPr="00ED6CC9">
        <w:rPr>
          <w:rtl/>
        </w:rPr>
        <w:t>يخص الفترة المشمولة بهذا التقرير أنه لم يكن لموظفيها أي سلطة إدارية ولم</w:t>
      </w:r>
      <w:r w:rsidRPr="00ED6CC9">
        <w:rPr>
          <w:rFonts w:hint="cs"/>
          <w:rtl/>
        </w:rPr>
        <w:t> </w:t>
      </w:r>
      <w:r w:rsidRPr="00ED6CC9">
        <w:rPr>
          <w:rtl/>
        </w:rPr>
        <w:t>يتولوا أي مسؤولية عن أي من الأنشطة التي جرت مراجعتها ولم يؤدوا أي وظائف محاسبية أو</w:t>
      </w:r>
      <w:r w:rsidRPr="00ED6CC9">
        <w:rPr>
          <w:rFonts w:hint="cs"/>
          <w:rtl/>
        </w:rPr>
        <w:t> </w:t>
      </w:r>
      <w:r w:rsidRPr="00ED6CC9">
        <w:rPr>
          <w:rtl/>
        </w:rPr>
        <w:t>تشغيلية ضمن الاتحاد.</w:t>
      </w:r>
    </w:p>
    <w:p w14:paraId="4ABDFE9C" w14:textId="77777777" w:rsidR="007F3BD9" w:rsidRPr="00ED6CC9" w:rsidRDefault="007F3BD9" w:rsidP="007F3BD9">
      <w:pPr>
        <w:pStyle w:val="Headingb"/>
        <w:rPr>
          <w:rtl/>
        </w:rPr>
      </w:pPr>
      <w:r w:rsidRPr="006C4326">
        <w:rPr>
          <w:rtl/>
        </w:rPr>
        <w:t>توجُّه أنشطة المراجعة الداخلية ونطاقها</w:t>
      </w:r>
    </w:p>
    <w:p w14:paraId="75DD726C" w14:textId="19746832" w:rsidR="007F3BD9" w:rsidRPr="00ED6CC9" w:rsidRDefault="007F3BD9" w:rsidP="007F3BD9">
      <w:pPr>
        <w:rPr>
          <w:rtl/>
          <w:lang w:val="fr-FR" w:bidi="ar-EG"/>
        </w:rPr>
      </w:pPr>
      <w:r w:rsidRPr="00ED6CC9">
        <w:t>4</w:t>
      </w:r>
      <w:r w:rsidRPr="00ED6CC9">
        <w:rPr>
          <w:rtl/>
        </w:rPr>
        <w:tab/>
        <w:t>تماشياً مع ميثاق المراجعة الداخلية</w:t>
      </w:r>
      <w:r w:rsidR="00BD6B9A">
        <w:rPr>
          <w:rFonts w:hint="cs"/>
          <w:rtl/>
        </w:rPr>
        <w:t xml:space="preserve"> لعام 2021</w:t>
      </w:r>
      <w:r w:rsidRPr="00ED6CC9">
        <w:rPr>
          <w:rtl/>
        </w:rPr>
        <w:t>، استعرضت</w:t>
      </w:r>
      <w:r w:rsidRPr="00ED6CC9">
        <w:rPr>
          <w:rtl/>
          <w:lang w:bidi="ar-EG"/>
        </w:rPr>
        <w:t xml:space="preserve"> </w:t>
      </w:r>
      <w:r w:rsidRPr="00ED6CC9">
        <w:rPr>
          <w:rtl/>
        </w:rPr>
        <w:t>اللجنة الاستشارية المستقلة للإدارة </w:t>
      </w:r>
      <w:r w:rsidRPr="00ED6CC9">
        <w:t>(IMAC)</w:t>
      </w:r>
      <w:r w:rsidRPr="00ED6CC9">
        <w:rPr>
          <w:rtl/>
        </w:rPr>
        <w:t xml:space="preserve"> في</w:t>
      </w:r>
      <w:r w:rsidR="0011203B">
        <w:rPr>
          <w:rFonts w:hint="cs"/>
          <w:rtl/>
        </w:rPr>
        <w:t> </w:t>
      </w:r>
      <w:r w:rsidRPr="00ED6CC9">
        <w:rPr>
          <w:rtl/>
        </w:rPr>
        <w:t xml:space="preserve">اجتماعها الثامن والعشرين خطة المراجعة </w:t>
      </w:r>
      <w:r w:rsidR="00BD6B9A">
        <w:rPr>
          <w:rFonts w:hint="cs"/>
          <w:rtl/>
        </w:rPr>
        <w:t>السنوية</w:t>
      </w:r>
      <w:r w:rsidRPr="00ED6CC9">
        <w:rPr>
          <w:rtl/>
        </w:rPr>
        <w:t xml:space="preserve"> ووافق عليها الأمين العام في 29</w:t>
      </w:r>
      <w:r w:rsidRPr="00ED6CC9">
        <w:rPr>
          <w:rFonts w:hint="eastAsia"/>
          <w:rtl/>
          <w:lang w:bidi="ar-EG"/>
        </w:rPr>
        <w:t> </w:t>
      </w:r>
      <w:r w:rsidRPr="00ED6CC9">
        <w:rPr>
          <w:rtl/>
          <w:lang w:bidi="ar-EG"/>
        </w:rPr>
        <w:t>مارس</w:t>
      </w:r>
      <w:r w:rsidRPr="00ED6CC9">
        <w:rPr>
          <w:rFonts w:hint="eastAsia"/>
          <w:rtl/>
          <w:lang w:bidi="ar-EG"/>
        </w:rPr>
        <w:t> </w:t>
      </w:r>
      <w:r w:rsidRPr="00ED6CC9">
        <w:rPr>
          <w:rtl/>
          <w:lang w:bidi="ar-EG"/>
        </w:rPr>
        <w:t xml:space="preserve">2021. وقد قُلِّصت المدة الزمنية المخصصة لإجراء التحقيقات في عام </w:t>
      </w:r>
      <w:r w:rsidRPr="00ED6CC9">
        <w:rPr>
          <w:lang w:bidi="ar-EG"/>
        </w:rPr>
        <w:t>2021</w:t>
      </w:r>
      <w:r w:rsidRPr="00ED6CC9">
        <w:rPr>
          <w:rtl/>
          <w:lang w:bidi="ar-EG"/>
        </w:rPr>
        <w:t xml:space="preserve"> إلى أدنى حد ممكن للسماح لوحدة المراجعة الداخلية بأداء ولايتها الأساسية</w:t>
      </w:r>
      <w:r w:rsidRPr="00ED6CC9">
        <w:rPr>
          <w:rtl/>
          <w:lang w:bidi="ar"/>
        </w:rPr>
        <w:t>. ويستند عمل وحدة ال</w:t>
      </w:r>
      <w:r w:rsidRPr="00ED6CC9">
        <w:rPr>
          <w:rtl/>
        </w:rPr>
        <w:t xml:space="preserve">مراجعة الداخلية </w:t>
      </w:r>
      <w:r w:rsidRPr="00ED6CC9">
        <w:rPr>
          <w:rtl/>
          <w:lang w:bidi="ar"/>
        </w:rPr>
        <w:t>في مجال التحقيقات إلى</w:t>
      </w:r>
      <w:r w:rsidRPr="00ED6CC9">
        <w:rPr>
          <w:rtl/>
          <w:lang w:val="fr-FR" w:bidi="ar"/>
        </w:rPr>
        <w:t xml:space="preserve"> </w:t>
      </w:r>
      <w:r w:rsidRPr="00ED6CC9">
        <w:rPr>
          <w:rtl/>
          <w:lang w:bidi="ar-EG"/>
        </w:rPr>
        <w:t xml:space="preserve">ميثاق المراجعة الداخلية الذي ينص أيضاً </w:t>
      </w:r>
      <w:r w:rsidRPr="00ED6CC9">
        <w:rPr>
          <w:i/>
          <w:iCs/>
          <w:rtl/>
          <w:lang w:bidi="ar-EG"/>
        </w:rPr>
        <w:t>على أن تقوم وحدة المراجعة الداخلية بالتحقيق في ادعاءات أو شبهات الاحتيال أو</w:t>
      </w:r>
      <w:r w:rsidRPr="00ED6CC9">
        <w:rPr>
          <w:rFonts w:hint="eastAsia"/>
          <w:i/>
          <w:iCs/>
          <w:rtl/>
          <w:lang w:bidi="ar-EG"/>
        </w:rPr>
        <w:t> </w:t>
      </w:r>
      <w:r w:rsidRPr="00ED6CC9">
        <w:rPr>
          <w:i/>
          <w:iCs/>
          <w:rtl/>
          <w:lang w:bidi="ar-EG"/>
        </w:rPr>
        <w:t xml:space="preserve">سوء الإدارة </w:t>
      </w:r>
      <w:r w:rsidRPr="002D18A0">
        <w:rPr>
          <w:rtl/>
          <w:lang w:bidi="ar-EG"/>
        </w:rPr>
        <w:t>كما</w:t>
      </w:r>
      <w:r w:rsidRPr="00ED6CC9">
        <w:rPr>
          <w:i/>
          <w:iCs/>
          <w:rtl/>
          <w:lang w:bidi="ar-EG"/>
        </w:rPr>
        <w:t xml:space="preserve"> </w:t>
      </w:r>
      <w:r w:rsidRPr="001161A1">
        <w:rPr>
          <w:rtl/>
          <w:lang w:bidi="ar-EG"/>
        </w:rPr>
        <w:t>يمكنها</w:t>
      </w:r>
      <w:r w:rsidRPr="00ED6CC9">
        <w:rPr>
          <w:i/>
          <w:iCs/>
          <w:rtl/>
          <w:lang w:bidi="ar-EG"/>
        </w:rPr>
        <w:t xml:space="preserve"> تقديم خدمات استشارية داخل الاتحاد</w:t>
      </w:r>
      <w:r w:rsidRPr="00ED6CC9">
        <w:rPr>
          <w:rtl/>
          <w:lang w:bidi="ar-EG"/>
        </w:rPr>
        <w:t>.</w:t>
      </w:r>
      <w:r w:rsidR="006E01B9">
        <w:rPr>
          <w:rFonts w:hint="cs"/>
          <w:rtl/>
          <w:lang w:bidi="ar-EG"/>
        </w:rPr>
        <w:t xml:space="preserve"> </w:t>
      </w:r>
      <w:r w:rsidR="006C4326">
        <w:rPr>
          <w:rFonts w:hint="cs"/>
          <w:rtl/>
          <w:lang w:bidi="ar-EG"/>
        </w:rPr>
        <w:t>واقتصر</w:t>
      </w:r>
      <w:r w:rsidR="006C4326" w:rsidRPr="00BD6B9A">
        <w:rPr>
          <w:rtl/>
          <w:lang w:bidi="ar-EG"/>
        </w:rPr>
        <w:t xml:space="preserve"> </w:t>
      </w:r>
      <w:r w:rsidR="00BD6B9A" w:rsidRPr="00BD6B9A">
        <w:rPr>
          <w:rtl/>
          <w:lang w:bidi="ar-EG"/>
        </w:rPr>
        <w:t xml:space="preserve">الوقت </w:t>
      </w:r>
      <w:r w:rsidR="006C4326">
        <w:rPr>
          <w:rFonts w:hint="cs"/>
          <w:rtl/>
          <w:lang w:bidi="ar-EG"/>
        </w:rPr>
        <w:t>المستغرق</w:t>
      </w:r>
      <w:r w:rsidR="00BD6B9A" w:rsidRPr="00BD6B9A">
        <w:rPr>
          <w:rtl/>
          <w:lang w:bidi="ar-EG"/>
        </w:rPr>
        <w:t xml:space="preserve"> في أعمال التحقيق هذه بالفعل على الانتهاء من أعمال التحقيق السابقة و/أو تقديم مساعدة محدودة </w:t>
      </w:r>
      <w:r w:rsidR="00F96C1F">
        <w:rPr>
          <w:rFonts w:hint="cs"/>
          <w:rtl/>
          <w:lang w:bidi="ar-EG"/>
        </w:rPr>
        <w:t>إلى الاستشاريين الخارجيين في مجال</w:t>
      </w:r>
      <w:r w:rsidR="00BD6B9A" w:rsidRPr="00BD6B9A">
        <w:rPr>
          <w:rtl/>
          <w:lang w:bidi="ar-EG"/>
        </w:rPr>
        <w:t xml:space="preserve"> التحقيق. </w:t>
      </w:r>
      <w:r w:rsidR="00F96C1F">
        <w:rPr>
          <w:rFonts w:hint="cs"/>
          <w:rtl/>
          <w:lang w:bidi="ar-EG"/>
        </w:rPr>
        <w:t>وفيما يتعلق ب</w:t>
      </w:r>
      <w:r w:rsidR="00BD6B9A" w:rsidRPr="00BD6B9A">
        <w:rPr>
          <w:rtl/>
          <w:lang w:bidi="ar-EG"/>
        </w:rPr>
        <w:t xml:space="preserve">عام 2022، </w:t>
      </w:r>
      <w:r w:rsidR="00185E47">
        <w:rPr>
          <w:rFonts w:hint="cs"/>
          <w:rtl/>
          <w:lang w:bidi="ar-EG"/>
        </w:rPr>
        <w:t>التحق</w:t>
      </w:r>
      <w:r w:rsidR="00F96C1F">
        <w:rPr>
          <w:rFonts w:hint="cs"/>
          <w:rtl/>
          <w:lang w:bidi="ar-EG"/>
        </w:rPr>
        <w:t xml:space="preserve"> شاغل </w:t>
      </w:r>
      <w:r w:rsidR="00BD6B9A" w:rsidRPr="00BD6B9A">
        <w:rPr>
          <w:rtl/>
          <w:lang w:bidi="ar-EG"/>
        </w:rPr>
        <w:t xml:space="preserve">وظيفة </w:t>
      </w:r>
      <w:r w:rsidR="00185E47" w:rsidRPr="00BD6B9A">
        <w:rPr>
          <w:rtl/>
          <w:lang w:bidi="ar-EG"/>
        </w:rPr>
        <w:t xml:space="preserve">محقق الاتحاد </w:t>
      </w:r>
      <w:r w:rsidR="00BD6B9A" w:rsidRPr="00BD6B9A">
        <w:rPr>
          <w:rtl/>
          <w:lang w:bidi="ar-EG"/>
        </w:rPr>
        <w:t>(</w:t>
      </w:r>
      <w:r w:rsidR="00F96C1F" w:rsidRPr="00F96C1F">
        <w:rPr>
          <w:rtl/>
          <w:lang w:bidi="ar-EG"/>
        </w:rPr>
        <w:t>يقدم تقاريره مباشرة إلى الأمين العام</w:t>
      </w:r>
      <w:r w:rsidR="00BD6B9A" w:rsidRPr="00BD6B9A">
        <w:rPr>
          <w:rtl/>
          <w:lang w:bidi="ar-EG"/>
        </w:rPr>
        <w:t xml:space="preserve">) </w:t>
      </w:r>
      <w:r w:rsidR="00185E47">
        <w:rPr>
          <w:rFonts w:hint="cs"/>
          <w:rtl/>
          <w:lang w:bidi="ar-EG"/>
        </w:rPr>
        <w:t>بوظيفته</w:t>
      </w:r>
      <w:r w:rsidR="00BD6B9A" w:rsidRPr="00BD6B9A">
        <w:rPr>
          <w:rtl/>
          <w:lang w:bidi="ar-EG"/>
        </w:rPr>
        <w:t>.</w:t>
      </w:r>
    </w:p>
    <w:p w14:paraId="4B7B8B93" w14:textId="77777777" w:rsidR="007F3BD9" w:rsidRPr="00ED6CC9" w:rsidRDefault="007F3BD9" w:rsidP="007F3BD9">
      <w:pPr>
        <w:rPr>
          <w:spacing w:val="-2"/>
          <w:rtl/>
          <w:lang w:val="en-CA" w:bidi="ar-EG"/>
        </w:rPr>
      </w:pPr>
      <w:r w:rsidRPr="00ED6CC9">
        <w:rPr>
          <w:spacing w:val="-2"/>
        </w:rPr>
        <w:t>5</w:t>
      </w:r>
      <w:r w:rsidRPr="00ED6CC9">
        <w:rPr>
          <w:spacing w:val="-2"/>
          <w:rtl/>
        </w:rPr>
        <w:tab/>
        <w:t>وتقدِّم وحدة المراجعة الداخلية بشكل منهجي نسخاً من تقارير المراجعة الداخلية إلى المراجع الخارجي لحسابات الاتحاد واللجنة الاستشارية المستقلة للإدارة </w:t>
      </w:r>
      <w:r w:rsidRPr="00ED6CC9">
        <w:rPr>
          <w:spacing w:val="-2"/>
        </w:rPr>
        <w:t>(IMAC)</w:t>
      </w:r>
      <w:r w:rsidRPr="00ED6CC9">
        <w:rPr>
          <w:spacing w:val="-2"/>
          <w:rtl/>
        </w:rPr>
        <w:t>. ووفقاً للمادة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</w:rPr>
        <w:t>5.29</w:t>
      </w:r>
      <w:r w:rsidRPr="00ED6CC9">
        <w:rPr>
          <w:spacing w:val="-2"/>
          <w:rtl/>
        </w:rPr>
        <w:t xml:space="preserve"> من اللوائح المالية للاتحاد، يمكن أن تُتاح التقارير النهائية للمراجعة الداخلية للدول الأعضاء أو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  <w:rtl/>
        </w:rPr>
        <w:t>ممثليها المعيَّنين. وتم إنشاء آلية تيسير منذ أكتوبر</w:t>
      </w:r>
      <w:r w:rsidRPr="00ED6CC9">
        <w:rPr>
          <w:rFonts w:hint="eastAsia"/>
          <w:spacing w:val="-2"/>
          <w:rtl/>
        </w:rPr>
        <w:t> </w:t>
      </w:r>
      <w:r w:rsidRPr="00ED6CC9">
        <w:rPr>
          <w:spacing w:val="-2"/>
          <w:lang w:val="en-CA"/>
        </w:rPr>
        <w:t>2015</w:t>
      </w:r>
      <w:r w:rsidRPr="00ED6CC9">
        <w:rPr>
          <w:spacing w:val="-2"/>
          <w:rtl/>
          <w:lang w:val="en-CA" w:bidi="ar-EG"/>
        </w:rPr>
        <w:t xml:space="preserve"> للنفاذ إلى تقارير المراجعة الداخلية. وخلال الفترة المشمولة بالتقرير، لم</w:t>
      </w:r>
      <w:r w:rsidRPr="00ED6CC9">
        <w:rPr>
          <w:rFonts w:hint="eastAsia"/>
          <w:spacing w:val="-2"/>
          <w:rtl/>
          <w:lang w:val="en-CA" w:bidi="ar-EG"/>
        </w:rPr>
        <w:t> </w:t>
      </w:r>
      <w:r w:rsidRPr="00ED6CC9">
        <w:rPr>
          <w:spacing w:val="-2"/>
          <w:rtl/>
          <w:lang w:val="en-CA" w:bidi="ar-EG"/>
        </w:rPr>
        <w:t xml:space="preserve">ترد أي طلبات للحصول على تقارير المراجعة الداخلية </w:t>
      </w:r>
      <w:r w:rsidRPr="00ED6CC9">
        <w:rPr>
          <w:color w:val="000000"/>
          <w:spacing w:val="-2"/>
          <w:rtl/>
        </w:rPr>
        <w:t>من خلال الآلية المتاحة على الخط</w:t>
      </w:r>
      <w:r w:rsidRPr="00ED6CC9">
        <w:rPr>
          <w:spacing w:val="-2"/>
          <w:rtl/>
          <w:lang w:val="en-CA" w:bidi="ar-EG"/>
        </w:rPr>
        <w:t>.</w:t>
      </w:r>
    </w:p>
    <w:p w14:paraId="5DA6676F" w14:textId="77777777" w:rsidR="007F3BD9" w:rsidRPr="00ED6CC9" w:rsidRDefault="007F3BD9" w:rsidP="007F3BD9">
      <w:pPr>
        <w:pStyle w:val="Headingb"/>
        <w:rPr>
          <w:rtl/>
        </w:rPr>
      </w:pPr>
      <w:r w:rsidRPr="00ED6CC9">
        <w:rPr>
          <w:rtl/>
        </w:rPr>
        <w:t>أهداف المهام المتصلة بالتزامات تأكيد صحة البيانات واستنتاجاتها</w:t>
      </w:r>
    </w:p>
    <w:p w14:paraId="53DAEFC7" w14:textId="77777777" w:rsidR="007F3BD9" w:rsidRPr="00ED6CC9" w:rsidRDefault="007F3BD9" w:rsidP="007F3BD9">
      <w:pPr>
        <w:rPr>
          <w:rtl/>
        </w:rPr>
      </w:pPr>
      <w:r w:rsidRPr="00ED6CC9">
        <w:t>6</w:t>
      </w:r>
      <w:r w:rsidRPr="00ED6CC9">
        <w:rPr>
          <w:rtl/>
        </w:rPr>
        <w:tab/>
        <w:t>تتمثل أهداف المهام المتصلة بالتزامات تأكيد صحة البيانات في تقييم ما</w:t>
      </w:r>
      <w:r w:rsidRPr="00ED6CC9">
        <w:rPr>
          <w:rFonts w:hint="eastAsia"/>
          <w:rtl/>
        </w:rPr>
        <w:t> </w:t>
      </w:r>
      <w:r w:rsidRPr="00ED6CC9">
        <w:rPr>
          <w:rtl/>
        </w:rPr>
        <w:t>يلي: ’</w:t>
      </w:r>
      <w:proofErr w:type="gramStart"/>
      <w:r w:rsidRPr="00ED6CC9">
        <w:t>1</w:t>
      </w:r>
      <w:r w:rsidRPr="00ED6CC9">
        <w:rPr>
          <w:rtl/>
        </w:rPr>
        <w:t>‘</w:t>
      </w:r>
      <w:r w:rsidRPr="00ED6CC9">
        <w:rPr>
          <w:rtl/>
          <w:lang w:bidi="ar-EG"/>
        </w:rPr>
        <w:t xml:space="preserve"> </w:t>
      </w:r>
      <w:r w:rsidRPr="00ED6CC9">
        <w:rPr>
          <w:rtl/>
        </w:rPr>
        <w:t>جوانب</w:t>
      </w:r>
      <w:proofErr w:type="gramEnd"/>
      <w:r w:rsidRPr="00ED6CC9">
        <w:rPr>
          <w:rtl/>
        </w:rPr>
        <w:t xml:space="preserve"> الإدارة في</w:t>
      </w:r>
      <w:r w:rsidRPr="00ED6CC9">
        <w:rPr>
          <w:rFonts w:hint="eastAsia"/>
          <w:rtl/>
        </w:rPr>
        <w:t> </w:t>
      </w:r>
      <w:r w:rsidRPr="00ED6CC9">
        <w:rPr>
          <w:rtl/>
        </w:rPr>
        <w:t>عمليات الاتحاد التي جرت مراجعتها؛ ’</w:t>
      </w:r>
      <w:r w:rsidRPr="00ED6CC9">
        <w:t>2</w:t>
      </w:r>
      <w:r w:rsidRPr="00ED6CC9">
        <w:rPr>
          <w:rtl/>
        </w:rPr>
        <w:t>‘</w:t>
      </w:r>
      <w:r w:rsidRPr="00ED6CC9">
        <w:rPr>
          <w:rFonts w:hint="eastAsia"/>
          <w:rtl/>
        </w:rPr>
        <w:t> </w:t>
      </w:r>
      <w:r w:rsidRPr="00ED6CC9">
        <w:rPr>
          <w:rtl/>
        </w:rPr>
        <w:t>ممارسات إدارة المخاطر؛ ’</w:t>
      </w:r>
      <w:r w:rsidRPr="00ED6CC9">
        <w:t>3</w:t>
      </w:r>
      <w:r w:rsidRPr="00ED6CC9">
        <w:rPr>
          <w:rtl/>
        </w:rPr>
        <w:t>‘</w:t>
      </w:r>
      <w:r w:rsidRPr="00ED6CC9">
        <w:rPr>
          <w:rFonts w:hint="eastAsia"/>
          <w:rtl/>
        </w:rPr>
        <w:t> </w:t>
      </w:r>
      <w:r w:rsidRPr="00ED6CC9">
        <w:rPr>
          <w:rtl/>
        </w:rPr>
        <w:t>فعالية الضوابط (الداخلية). وتصنَّف التوصيات الناتجة عن أعمال المراجعة من حيث الأولوية بحسب أثر القصور المحتمل وأرجحية وقوعه (كبير، متوسط، ضئيل).</w:t>
      </w:r>
    </w:p>
    <w:p w14:paraId="112D990F" w14:textId="77777777" w:rsidR="007F3BD9" w:rsidRPr="00ED6CC9" w:rsidRDefault="007F3BD9" w:rsidP="007F3BD9">
      <w:pPr>
        <w:rPr>
          <w:rtl/>
          <w:lang w:bidi="ar-EG"/>
        </w:rPr>
      </w:pPr>
      <w:r w:rsidRPr="00ED6CC9">
        <w:t>7</w:t>
      </w:r>
      <w:r w:rsidRPr="00ED6CC9">
        <w:rPr>
          <w:rtl/>
        </w:rPr>
        <w:tab/>
      </w:r>
      <w:r w:rsidRPr="00ED6CC9">
        <w:rPr>
          <w:rtl/>
          <w:lang w:bidi="ar-EG"/>
        </w:rPr>
        <w:t>و</w:t>
      </w:r>
      <w:r w:rsidRPr="00ED6CC9">
        <w:rPr>
          <w:rtl/>
        </w:rPr>
        <w:t xml:space="preserve">تُتابع </w:t>
      </w:r>
      <w:bookmarkStart w:id="1" w:name="_Hlk98259180"/>
      <w:r w:rsidRPr="00ED6CC9">
        <w:rPr>
          <w:rtl/>
        </w:rPr>
        <w:t xml:space="preserve">وحدة المراجعة الداخلية </w:t>
      </w:r>
      <w:bookmarkEnd w:id="1"/>
      <w:r w:rsidRPr="00ED6CC9">
        <w:rPr>
          <w:rtl/>
        </w:rPr>
        <w:t xml:space="preserve">تنفيذ الإجراءات </w:t>
      </w:r>
      <w:proofErr w:type="spellStart"/>
      <w:r w:rsidRPr="00ED6CC9">
        <w:rPr>
          <w:rtl/>
        </w:rPr>
        <w:t>الموصى</w:t>
      </w:r>
      <w:proofErr w:type="spellEnd"/>
      <w:r w:rsidRPr="00ED6CC9">
        <w:rPr>
          <w:rtl/>
        </w:rPr>
        <w:t xml:space="preserve"> بها، وذلك بحسب الاقتضاء وعند الاقتضاء. ومنذ مطلع عام</w:t>
      </w:r>
      <w:r>
        <w:rPr>
          <w:rFonts w:hint="cs"/>
          <w:rtl/>
        </w:rPr>
        <w:t> </w:t>
      </w:r>
      <w:r w:rsidRPr="00ED6CC9">
        <w:t>2021</w:t>
      </w:r>
      <w:r w:rsidRPr="00ED6CC9">
        <w:rPr>
          <w:rtl/>
          <w:lang w:bidi="ar-EG"/>
        </w:rPr>
        <w:t xml:space="preserve">، أُتيح لهذا الغرض، على نطاق الاتحاد ككل، الاطّلاع على لوحة معلومات عن الامتثال تيسّر على المديرين المعنيين تتبّع تنفيذ التوصيات، لكنها لا تُعفي وحدة المراجعة الداخلية من مسؤوليتها </w:t>
      </w:r>
      <w:r w:rsidRPr="00ED6CC9">
        <w:rPr>
          <w:rtl/>
        </w:rPr>
        <w:t xml:space="preserve">في </w:t>
      </w:r>
      <w:r w:rsidRPr="00ED6CC9">
        <w:rPr>
          <w:rtl/>
          <w:lang w:bidi="ar-EG"/>
        </w:rPr>
        <w:t xml:space="preserve">متابعة تنفيذ التوصيات المقدمة سابقاً، وفقاً للمعيار </w:t>
      </w:r>
      <w:r w:rsidRPr="00ED6CC9">
        <w:rPr>
          <w:lang w:bidi="ar-EG"/>
        </w:rPr>
        <w:t>2500</w:t>
      </w:r>
      <w:r w:rsidRPr="00ED6CC9">
        <w:rPr>
          <w:rStyle w:val="FootnoteReference"/>
          <w:rtl/>
          <w:lang w:bidi="ar-EG"/>
        </w:rPr>
        <w:footnoteReference w:id="4"/>
      </w:r>
      <w:r w:rsidRPr="00ED6CC9">
        <w:rPr>
          <w:rtl/>
          <w:lang w:bidi="ar-EG"/>
        </w:rPr>
        <w:t xml:space="preserve"> المعتمد لدى معهد مراجعي الحسابات الداخليين </w:t>
      </w:r>
      <w:r w:rsidRPr="00ED6CC9">
        <w:rPr>
          <w:lang w:bidi="ar-EG"/>
        </w:rPr>
        <w:t>(IIA)</w:t>
      </w:r>
      <w:r w:rsidRPr="00ED6CC9">
        <w:rPr>
          <w:rtl/>
          <w:lang w:bidi="ar-EG"/>
        </w:rPr>
        <w:t>.</w:t>
      </w:r>
    </w:p>
    <w:p w14:paraId="51BF5051" w14:textId="13812EF1" w:rsidR="006E01B9" w:rsidRDefault="00F96C1F" w:rsidP="007F3BD9">
      <w:pPr>
        <w:rPr>
          <w:i/>
          <w:iCs/>
          <w:rtl/>
        </w:rPr>
      </w:pPr>
      <w:r w:rsidRPr="00F96C1F">
        <w:rPr>
          <w:i/>
          <w:iCs/>
          <w:rtl/>
        </w:rPr>
        <w:t xml:space="preserve">وقد نُفِّذ ما يلي من </w:t>
      </w:r>
      <w:r w:rsidR="006C4326" w:rsidRPr="00F96C1F">
        <w:rPr>
          <w:i/>
          <w:iCs/>
          <w:rtl/>
        </w:rPr>
        <w:t>المه</w:t>
      </w:r>
      <w:r w:rsidR="006C4326">
        <w:rPr>
          <w:rFonts w:hint="cs"/>
          <w:i/>
          <w:iCs/>
          <w:rtl/>
        </w:rPr>
        <w:t>ام</w:t>
      </w:r>
      <w:r w:rsidR="006C4326" w:rsidRPr="00F96C1F">
        <w:rPr>
          <w:i/>
          <w:iCs/>
          <w:rtl/>
        </w:rPr>
        <w:t xml:space="preserve"> </w:t>
      </w:r>
      <w:r w:rsidRPr="00F96C1F">
        <w:rPr>
          <w:i/>
          <w:iCs/>
          <w:rtl/>
        </w:rPr>
        <w:t>المتصلة بالتزامات تأكيد صحة البيانات:</w:t>
      </w:r>
    </w:p>
    <w:p w14:paraId="4E6EEC4F" w14:textId="4F4D8EDD" w:rsidR="006E01B9" w:rsidRPr="0074289A" w:rsidRDefault="006E01B9" w:rsidP="0074289A">
      <w:pPr>
        <w:pStyle w:val="Heading1"/>
        <w:rPr>
          <w:i/>
          <w:iCs/>
          <w:rtl/>
          <w:lang w:val="fr-FR" w:bidi="ar-EG"/>
        </w:rPr>
      </w:pPr>
      <w:r w:rsidRPr="0074289A">
        <w:rPr>
          <w:rFonts w:hint="cs"/>
          <w:i/>
          <w:iCs/>
          <w:rtl/>
          <w:lang w:val="fr-FR" w:bidi="ar-EG"/>
        </w:rPr>
        <w:t xml:space="preserve"> أ</w:t>
      </w:r>
      <w:r w:rsidR="00B72291" w:rsidRPr="0074289A">
        <w:rPr>
          <w:rFonts w:hint="cs"/>
          <w:i/>
          <w:iCs/>
          <w:rtl/>
          <w:lang w:val="fr-FR" w:bidi="ar-EG"/>
        </w:rPr>
        <w:t>لف</w:t>
      </w:r>
      <w:r w:rsidRPr="0074289A">
        <w:rPr>
          <w:rFonts w:hint="cs"/>
          <w:i/>
          <w:iCs/>
          <w:rtl/>
          <w:lang w:val="fr-FR" w:bidi="ar-EG"/>
        </w:rPr>
        <w:t xml:space="preserve"> </w:t>
      </w:r>
      <w:r w:rsidRPr="0074289A">
        <w:rPr>
          <w:i/>
          <w:iCs/>
          <w:rtl/>
          <w:lang w:val="fr-FR" w:bidi="ar-EG"/>
        </w:rPr>
        <w:tab/>
      </w:r>
      <w:r w:rsidR="003E20F4" w:rsidRPr="0074289A">
        <w:rPr>
          <w:rFonts w:hint="cs"/>
          <w:i/>
          <w:iCs/>
          <w:rtl/>
          <w:lang w:val="fr-FR" w:bidi="ar-EG"/>
        </w:rPr>
        <w:t>التفتيش المتعلق ب</w:t>
      </w:r>
      <w:r w:rsidR="00B72291" w:rsidRPr="0074289A">
        <w:rPr>
          <w:rFonts w:hint="cs"/>
          <w:i/>
          <w:iCs/>
          <w:rtl/>
          <w:lang w:val="fr-FR" w:bidi="ar-EG"/>
        </w:rPr>
        <w:t xml:space="preserve">مراجعة </w:t>
      </w:r>
      <w:r w:rsidR="003E20F4" w:rsidRPr="0074289A">
        <w:rPr>
          <w:rFonts w:hint="cs"/>
          <w:i/>
          <w:iCs/>
          <w:rtl/>
          <w:lang w:val="fr-FR" w:bidi="ar-EG"/>
        </w:rPr>
        <w:t>استحقاقات</w:t>
      </w:r>
      <w:r w:rsidR="00247741" w:rsidRPr="0074289A">
        <w:rPr>
          <w:i/>
          <w:iCs/>
          <w:rtl/>
          <w:lang w:val="fr-FR" w:bidi="ar-EG"/>
        </w:rPr>
        <w:t xml:space="preserve"> موظفي الاتحاد</w:t>
      </w:r>
    </w:p>
    <w:p w14:paraId="100C59D9" w14:textId="7691862A" w:rsidR="006E01B9" w:rsidRDefault="006E01B9" w:rsidP="00247741">
      <w:pPr>
        <w:rPr>
          <w:rtl/>
          <w:lang w:bidi="ar-EG"/>
        </w:rPr>
      </w:pPr>
      <w:r>
        <w:rPr>
          <w:lang w:bidi="ar-EG"/>
        </w:rPr>
        <w:t>8</w:t>
      </w:r>
      <w:r>
        <w:rPr>
          <w:rtl/>
          <w:lang w:bidi="ar-EG"/>
        </w:rPr>
        <w:tab/>
      </w:r>
      <w:r w:rsidR="00247741" w:rsidRPr="00247741">
        <w:rPr>
          <w:rtl/>
          <w:lang w:bidi="ar-EG"/>
        </w:rPr>
        <w:t>أجر</w:t>
      </w:r>
      <w:r w:rsidR="00DB5731">
        <w:rPr>
          <w:rFonts w:hint="cs"/>
          <w:rtl/>
          <w:lang w:bidi="ar-EG"/>
        </w:rPr>
        <w:t xml:space="preserve">ت </w:t>
      </w:r>
      <w:r w:rsidR="00B72291" w:rsidRPr="00B72291">
        <w:rPr>
          <w:rtl/>
          <w:lang w:bidi="ar-EG"/>
        </w:rPr>
        <w:t xml:space="preserve">وحدة المراجعة الداخلية </w:t>
      </w:r>
      <w:r w:rsidR="00247741" w:rsidRPr="00247741">
        <w:rPr>
          <w:rtl/>
          <w:lang w:bidi="ar-EG"/>
        </w:rPr>
        <w:t>تفتيش</w:t>
      </w:r>
      <w:r w:rsidR="00342BDB">
        <w:rPr>
          <w:rFonts w:hint="cs"/>
          <w:rtl/>
          <w:lang w:bidi="ar-EG"/>
        </w:rPr>
        <w:t>اً</w:t>
      </w:r>
      <w:r w:rsidR="00247741" w:rsidRPr="00247741">
        <w:rPr>
          <w:rtl/>
          <w:lang w:bidi="ar-EG"/>
        </w:rPr>
        <w:t xml:space="preserve"> </w:t>
      </w:r>
      <w:r w:rsidR="00B72291">
        <w:rPr>
          <w:rFonts w:hint="cs"/>
          <w:rtl/>
          <w:lang w:bidi="ar-EG"/>
        </w:rPr>
        <w:t>لمراجعة</w:t>
      </w:r>
      <w:r w:rsidR="00B72291" w:rsidRPr="00247741">
        <w:rPr>
          <w:rtl/>
          <w:lang w:bidi="ar-EG"/>
        </w:rPr>
        <w:t xml:space="preserve"> </w:t>
      </w:r>
      <w:r w:rsidR="00DB5731">
        <w:rPr>
          <w:rFonts w:hint="cs"/>
          <w:rtl/>
          <w:lang w:bidi="ar-EG"/>
        </w:rPr>
        <w:t>استحقاقات</w:t>
      </w:r>
      <w:r w:rsidR="00247741" w:rsidRPr="00247741">
        <w:rPr>
          <w:rtl/>
          <w:lang w:bidi="ar-EG"/>
        </w:rPr>
        <w:t xml:space="preserve"> موظفي الاتحاد </w:t>
      </w:r>
      <w:r w:rsidR="00DB5731">
        <w:rPr>
          <w:rFonts w:hint="cs"/>
          <w:rtl/>
          <w:lang w:bidi="ar-EG"/>
        </w:rPr>
        <w:t>شمل</w:t>
      </w:r>
      <w:r w:rsidR="00247741" w:rsidRPr="00247741">
        <w:rPr>
          <w:rtl/>
          <w:lang w:bidi="ar-EG"/>
        </w:rPr>
        <w:t xml:space="preserve"> الفترة </w:t>
      </w:r>
      <w:r w:rsidR="00DB5731">
        <w:rPr>
          <w:rFonts w:hint="cs"/>
          <w:rtl/>
          <w:lang w:bidi="ar-EG"/>
        </w:rPr>
        <w:t xml:space="preserve">الممتدة </w:t>
      </w:r>
      <w:r w:rsidR="00247741" w:rsidRPr="00247741">
        <w:rPr>
          <w:rtl/>
          <w:lang w:bidi="ar-EG"/>
        </w:rPr>
        <w:t>من يناير 2012 إلى ديسمبر 2019، و</w:t>
      </w:r>
      <w:r w:rsidR="00342BDB">
        <w:rPr>
          <w:rFonts w:hint="cs"/>
          <w:rtl/>
          <w:lang w:bidi="ar-EG"/>
        </w:rPr>
        <w:t>ي</w:t>
      </w:r>
      <w:r w:rsidR="00247741" w:rsidRPr="00247741">
        <w:rPr>
          <w:rtl/>
          <w:lang w:bidi="ar-EG"/>
        </w:rPr>
        <w:t>تعلق بشكل خاص بمنح التعليم وإعانات الإيجار و</w:t>
      </w:r>
      <w:r w:rsidR="007500C4">
        <w:rPr>
          <w:rFonts w:hint="cs"/>
          <w:rtl/>
          <w:lang w:bidi="ar-EG"/>
        </w:rPr>
        <w:t>بدلات</w:t>
      </w:r>
      <w:r w:rsidR="00247741" w:rsidRPr="00247741">
        <w:rPr>
          <w:rtl/>
          <w:lang w:bidi="ar-EG"/>
        </w:rPr>
        <w:t xml:space="preserve"> الأزواج.</w:t>
      </w:r>
    </w:p>
    <w:p w14:paraId="6A97BCA1" w14:textId="10E8783C" w:rsidR="006E01B9" w:rsidRDefault="006E01B9" w:rsidP="006E01B9">
      <w:pPr>
        <w:rPr>
          <w:lang w:bidi="ar-EG"/>
        </w:rPr>
      </w:pPr>
      <w:r>
        <w:rPr>
          <w:lang w:bidi="ar-EG"/>
        </w:rPr>
        <w:t>9</w:t>
      </w:r>
      <w:r>
        <w:rPr>
          <w:rtl/>
          <w:lang w:bidi="ar-EG"/>
        </w:rPr>
        <w:tab/>
      </w:r>
      <w:r w:rsidR="002107AE">
        <w:rPr>
          <w:rFonts w:hint="cs"/>
          <w:rtl/>
          <w:lang w:bidi="ar-EG"/>
        </w:rPr>
        <w:t>و</w:t>
      </w:r>
      <w:r w:rsidRPr="006E01B9">
        <w:rPr>
          <w:rFonts w:hint="cs"/>
          <w:rtl/>
          <w:lang w:bidi="ar-EG"/>
        </w:rPr>
        <w:t>خلصت وحدة المراجعة الداخلية إلى الاستنتاجات التالية</w:t>
      </w:r>
      <w:r w:rsidR="001B1104">
        <w:rPr>
          <w:rFonts w:hint="cs"/>
          <w:rtl/>
          <w:lang w:bidi="ar-EG"/>
        </w:rPr>
        <w:t>،</w:t>
      </w:r>
      <w:r w:rsidRPr="006E01B9">
        <w:rPr>
          <w:rFonts w:hint="cs"/>
          <w:rtl/>
          <w:lang w:bidi="ar-EG"/>
        </w:rPr>
        <w:t xml:space="preserve"> </w:t>
      </w:r>
      <w:r w:rsidR="001B1104">
        <w:rPr>
          <w:rFonts w:hint="cs"/>
          <w:rtl/>
          <w:lang w:bidi="ar-EG"/>
        </w:rPr>
        <w:t>ك</w:t>
      </w:r>
      <w:r w:rsidRPr="006E01B9">
        <w:rPr>
          <w:rFonts w:hint="cs"/>
          <w:rtl/>
          <w:lang w:bidi="ar-EG"/>
        </w:rPr>
        <w:t>أولوية عالية</w:t>
      </w:r>
      <w:r w:rsidR="001B1104">
        <w:rPr>
          <w:rFonts w:hint="cs"/>
          <w:rtl/>
          <w:lang w:bidi="ar-EG"/>
        </w:rPr>
        <w:t>، بشأن عدد من القضايا</w:t>
      </w:r>
      <w:r w:rsidRPr="006E01B9">
        <w:rPr>
          <w:rFonts w:hint="cs"/>
          <w:rtl/>
          <w:lang w:bidi="ar-EG"/>
        </w:rPr>
        <w:t>:</w:t>
      </w:r>
    </w:p>
    <w:p w14:paraId="4A0E0E0A" w14:textId="4A9CA986" w:rsidR="006E01B9" w:rsidRPr="00E92AC9" w:rsidRDefault="006E01B9" w:rsidP="00E217E5">
      <w:pPr>
        <w:pStyle w:val="enumlev1"/>
        <w:rPr>
          <w:spacing w:val="-2"/>
          <w:rtl/>
        </w:rPr>
      </w:pPr>
      <w:r w:rsidRPr="00E92AC9">
        <w:rPr>
          <w:rFonts w:hint="cs"/>
          <w:spacing w:val="-2"/>
          <w:rtl/>
        </w:rPr>
        <w:t xml:space="preserve"> </w:t>
      </w:r>
      <w:proofErr w:type="gramStart"/>
      <w:r w:rsidRPr="00E92AC9">
        <w:rPr>
          <w:rFonts w:hint="cs"/>
          <w:spacing w:val="-2"/>
          <w:rtl/>
        </w:rPr>
        <w:t xml:space="preserve">أ </w:t>
      </w:r>
      <w:r w:rsidR="008A3C4E">
        <w:rPr>
          <w:rFonts w:hint="cs"/>
          <w:spacing w:val="-2"/>
          <w:rtl/>
        </w:rPr>
        <w:t>)</w:t>
      </w:r>
      <w:proofErr w:type="gramEnd"/>
      <w:r w:rsidRPr="00E92AC9">
        <w:rPr>
          <w:spacing w:val="-2"/>
          <w:rtl/>
        </w:rPr>
        <w:tab/>
      </w:r>
      <w:r w:rsidR="002107AE" w:rsidRPr="00E92AC9">
        <w:rPr>
          <w:rFonts w:hint="cs"/>
          <w:spacing w:val="-2"/>
          <w:rtl/>
        </w:rPr>
        <w:t xml:space="preserve">أن </w:t>
      </w:r>
      <w:r w:rsidR="00247741" w:rsidRPr="00E92AC9">
        <w:rPr>
          <w:spacing w:val="-2"/>
          <w:rtl/>
        </w:rPr>
        <w:t xml:space="preserve">السياسات </w:t>
      </w:r>
      <w:r w:rsidR="002107AE" w:rsidRPr="00E92AC9">
        <w:rPr>
          <w:rFonts w:hint="cs"/>
          <w:spacing w:val="-2"/>
          <w:rtl/>
        </w:rPr>
        <w:t>القائمة</w:t>
      </w:r>
      <w:r w:rsidR="00247741" w:rsidRPr="00E92AC9">
        <w:rPr>
          <w:spacing w:val="-2"/>
          <w:rtl/>
        </w:rPr>
        <w:t xml:space="preserve"> ليست مفصلة بشكل كاف أو واضحة أو غنية بالمعلومات </w:t>
      </w:r>
      <w:r w:rsidR="002107AE" w:rsidRPr="00E92AC9">
        <w:rPr>
          <w:rFonts w:hint="cs"/>
          <w:spacing w:val="-2"/>
          <w:rtl/>
        </w:rPr>
        <w:t>بالنسبة إلى ال</w:t>
      </w:r>
      <w:r w:rsidR="00247741" w:rsidRPr="00E92AC9">
        <w:rPr>
          <w:spacing w:val="-2"/>
          <w:rtl/>
        </w:rPr>
        <w:t xml:space="preserve">موظفين. </w:t>
      </w:r>
      <w:r w:rsidR="002107AE" w:rsidRPr="00E92AC9">
        <w:rPr>
          <w:rFonts w:hint="cs"/>
          <w:spacing w:val="-2"/>
          <w:rtl/>
        </w:rPr>
        <w:t xml:space="preserve">وأن </w:t>
      </w:r>
      <w:r w:rsidR="00247741" w:rsidRPr="00E92AC9">
        <w:rPr>
          <w:spacing w:val="-2"/>
          <w:rtl/>
        </w:rPr>
        <w:t xml:space="preserve">السياسات الخاصة بالاتحاد </w:t>
      </w:r>
      <w:r w:rsidR="002107AE" w:rsidRPr="00E92AC9">
        <w:rPr>
          <w:rFonts w:hint="cs"/>
          <w:spacing w:val="-2"/>
          <w:rtl/>
        </w:rPr>
        <w:t>غير موجودة</w:t>
      </w:r>
      <w:r w:rsidR="00247741" w:rsidRPr="00E92AC9">
        <w:rPr>
          <w:spacing w:val="-2"/>
          <w:rtl/>
        </w:rPr>
        <w:t xml:space="preserve"> في حالة إعانات الإيجار</w:t>
      </w:r>
      <w:r w:rsidR="002107AE" w:rsidRPr="00E92AC9">
        <w:rPr>
          <w:rFonts w:hint="cs"/>
          <w:spacing w:val="-2"/>
          <w:rtl/>
        </w:rPr>
        <w:t xml:space="preserve"> مثلاً</w:t>
      </w:r>
      <w:r w:rsidR="00247741" w:rsidRPr="00E92AC9">
        <w:rPr>
          <w:spacing w:val="-2"/>
          <w:rtl/>
        </w:rPr>
        <w:t xml:space="preserve">. </w:t>
      </w:r>
      <w:r w:rsidR="002107AE" w:rsidRPr="00E92AC9">
        <w:rPr>
          <w:rFonts w:hint="cs"/>
          <w:spacing w:val="-2"/>
          <w:rtl/>
        </w:rPr>
        <w:t>و</w:t>
      </w:r>
      <w:r w:rsidR="00247741" w:rsidRPr="00E92AC9">
        <w:rPr>
          <w:spacing w:val="-2"/>
          <w:rtl/>
        </w:rPr>
        <w:t xml:space="preserve">تمت </w:t>
      </w:r>
      <w:r w:rsidR="00247741" w:rsidRPr="008A3C4E">
        <w:rPr>
          <w:spacing w:val="-2"/>
          <w:u w:val="single"/>
          <w:rtl/>
        </w:rPr>
        <w:t>التوصية</w:t>
      </w:r>
      <w:r w:rsidR="00247741" w:rsidRPr="00E92AC9">
        <w:rPr>
          <w:spacing w:val="-2"/>
          <w:rtl/>
        </w:rPr>
        <w:t xml:space="preserve"> </w:t>
      </w:r>
      <w:r w:rsidR="002107AE" w:rsidRPr="00E92AC9">
        <w:rPr>
          <w:rFonts w:hint="cs"/>
          <w:spacing w:val="-2"/>
          <w:rtl/>
        </w:rPr>
        <w:t>باستعراض</w:t>
      </w:r>
      <w:r w:rsidR="00247741" w:rsidRPr="00E92AC9">
        <w:rPr>
          <w:spacing w:val="-2"/>
          <w:rtl/>
        </w:rPr>
        <w:t xml:space="preserve"> </w:t>
      </w:r>
      <w:r w:rsidR="001D375E" w:rsidRPr="00E92AC9">
        <w:rPr>
          <w:rFonts w:hint="cs"/>
          <w:spacing w:val="-2"/>
          <w:rtl/>
          <w:lang w:bidi="ar-EG"/>
        </w:rPr>
        <w:t xml:space="preserve">استمارتي </w:t>
      </w:r>
      <w:r w:rsidR="00247741" w:rsidRPr="00E92AC9">
        <w:rPr>
          <w:spacing w:val="-2"/>
          <w:rtl/>
        </w:rPr>
        <w:t xml:space="preserve">سلفة منحة التعليم </w:t>
      </w:r>
      <w:r w:rsidR="001D375E" w:rsidRPr="00E92AC9">
        <w:rPr>
          <w:rFonts w:hint="cs"/>
          <w:spacing w:val="-2"/>
          <w:rtl/>
        </w:rPr>
        <w:t>و</w:t>
      </w:r>
      <w:r w:rsidR="00247741" w:rsidRPr="00E92AC9">
        <w:rPr>
          <w:spacing w:val="-2"/>
          <w:rtl/>
        </w:rPr>
        <w:t>المطالبات للموظفين</w:t>
      </w:r>
      <w:r w:rsidR="002107AE" w:rsidRPr="00E92AC9">
        <w:rPr>
          <w:rFonts w:hint="cs"/>
          <w:spacing w:val="-2"/>
          <w:rtl/>
        </w:rPr>
        <w:t>، وذلك لتشمل</w:t>
      </w:r>
      <w:r w:rsidR="00247741" w:rsidRPr="00E92AC9">
        <w:rPr>
          <w:spacing w:val="-2"/>
          <w:rtl/>
        </w:rPr>
        <w:t xml:space="preserve"> قائمة بالمتطلبات المتعلقة بالوثائق الداعمة المتوقع تقديمها من الموظف. </w:t>
      </w:r>
      <w:r w:rsidR="002107AE" w:rsidRPr="00E92AC9">
        <w:rPr>
          <w:rFonts w:hint="cs"/>
          <w:spacing w:val="-2"/>
          <w:rtl/>
        </w:rPr>
        <w:t>و</w:t>
      </w:r>
      <w:r w:rsidR="00247741" w:rsidRPr="00E92AC9">
        <w:rPr>
          <w:spacing w:val="-2"/>
          <w:rtl/>
        </w:rPr>
        <w:t xml:space="preserve">تمت </w:t>
      </w:r>
      <w:r w:rsidR="002107AE" w:rsidRPr="00E92AC9">
        <w:rPr>
          <w:rFonts w:hint="cs"/>
          <w:spacing w:val="-2"/>
          <w:rtl/>
        </w:rPr>
        <w:t xml:space="preserve">أيضاً </w:t>
      </w:r>
      <w:r w:rsidR="00247741" w:rsidRPr="00E92AC9">
        <w:rPr>
          <w:spacing w:val="-2"/>
          <w:rtl/>
        </w:rPr>
        <w:t xml:space="preserve">التوصية </w:t>
      </w:r>
      <w:r w:rsidR="002107AE" w:rsidRPr="00E92AC9">
        <w:rPr>
          <w:rFonts w:hint="cs"/>
          <w:spacing w:val="-2"/>
          <w:rtl/>
        </w:rPr>
        <w:t>باستعراض</w:t>
      </w:r>
      <w:r w:rsidR="00247741" w:rsidRPr="00E92AC9">
        <w:rPr>
          <w:spacing w:val="-2"/>
          <w:rtl/>
        </w:rPr>
        <w:t xml:space="preserve"> السياسة المتعلقة </w:t>
      </w:r>
      <w:r w:rsidR="00247741" w:rsidRPr="0059412A">
        <w:rPr>
          <w:spacing w:val="-2"/>
          <w:u w:val="single"/>
          <w:rtl/>
        </w:rPr>
        <w:t>بسلف</w:t>
      </w:r>
      <w:r w:rsidR="00247741" w:rsidRPr="00E92AC9">
        <w:rPr>
          <w:spacing w:val="-2"/>
          <w:rtl/>
        </w:rPr>
        <w:t xml:space="preserve"> منح التعليم وبأن</w:t>
      </w:r>
      <w:r w:rsidR="002107AE" w:rsidRPr="00E92AC9">
        <w:rPr>
          <w:rFonts w:hint="cs"/>
          <w:spacing w:val="-2"/>
          <w:rtl/>
        </w:rPr>
        <w:t>ه ينبغي أن</w:t>
      </w:r>
      <w:r w:rsidR="00247741" w:rsidRPr="00E92AC9">
        <w:rPr>
          <w:spacing w:val="-2"/>
          <w:rtl/>
        </w:rPr>
        <w:t xml:space="preserve"> تتضمن السياسة والتوجيهات الخاصة بإعانات الإيجار معلومات تتماشى مع عتبات لجنة الخدمة المدنية الدولية </w:t>
      </w:r>
      <w:r w:rsidR="002107AE" w:rsidRPr="00E92AC9">
        <w:rPr>
          <w:rFonts w:hint="cs"/>
          <w:spacing w:val="-2"/>
          <w:rtl/>
        </w:rPr>
        <w:t>وتوجيهاتها</w:t>
      </w:r>
      <w:r w:rsidR="00247741" w:rsidRPr="00E92AC9">
        <w:rPr>
          <w:spacing w:val="-2"/>
          <w:rtl/>
        </w:rPr>
        <w:t xml:space="preserve">. </w:t>
      </w:r>
      <w:r w:rsidR="002107AE" w:rsidRPr="00E92AC9">
        <w:rPr>
          <w:rFonts w:hint="cs"/>
          <w:spacing w:val="-2"/>
          <w:rtl/>
        </w:rPr>
        <w:t>و</w:t>
      </w:r>
      <w:r w:rsidR="00247741" w:rsidRPr="00E92AC9">
        <w:rPr>
          <w:spacing w:val="-2"/>
          <w:rtl/>
        </w:rPr>
        <w:t xml:space="preserve">علاوة </w:t>
      </w:r>
      <w:r w:rsidR="002107AE" w:rsidRPr="00E92AC9">
        <w:rPr>
          <w:rFonts w:hint="cs"/>
          <w:spacing w:val="-2"/>
          <w:rtl/>
        </w:rPr>
        <w:t>ً</w:t>
      </w:r>
      <w:r w:rsidR="00247741" w:rsidRPr="00E92AC9">
        <w:rPr>
          <w:spacing w:val="-2"/>
          <w:rtl/>
        </w:rPr>
        <w:t xml:space="preserve">على </w:t>
      </w:r>
      <w:r w:rsidR="00C748F4" w:rsidRPr="00E92AC9">
        <w:rPr>
          <w:rFonts w:hint="cs"/>
          <w:spacing w:val="-2"/>
          <w:rtl/>
        </w:rPr>
        <w:t>ذلك،</w:t>
      </w:r>
      <w:r w:rsidR="00247741" w:rsidRPr="00E92AC9">
        <w:rPr>
          <w:spacing w:val="-2"/>
          <w:rtl/>
        </w:rPr>
        <w:t xml:space="preserve"> </w:t>
      </w:r>
      <w:r w:rsidR="002107AE" w:rsidRPr="00E92AC9">
        <w:rPr>
          <w:rFonts w:hint="cs"/>
          <w:spacing w:val="-2"/>
          <w:rtl/>
        </w:rPr>
        <w:t>وفيما</w:t>
      </w:r>
      <w:r w:rsidR="0059412A">
        <w:rPr>
          <w:rFonts w:hint="eastAsia"/>
          <w:spacing w:val="-2"/>
          <w:rtl/>
        </w:rPr>
        <w:t> </w:t>
      </w:r>
      <w:r w:rsidR="002107AE" w:rsidRPr="00E92AC9">
        <w:rPr>
          <w:rFonts w:hint="cs"/>
          <w:spacing w:val="-2"/>
          <w:rtl/>
        </w:rPr>
        <w:t xml:space="preserve">يتعلق </w:t>
      </w:r>
      <w:r w:rsidR="002107AE" w:rsidRPr="00E92AC9">
        <w:rPr>
          <w:rFonts w:hint="cs"/>
          <w:spacing w:val="-2"/>
          <w:rtl/>
        </w:rPr>
        <w:lastRenderedPageBreak/>
        <w:t>ب</w:t>
      </w:r>
      <w:r w:rsidR="00247741" w:rsidRPr="00E92AC9">
        <w:rPr>
          <w:spacing w:val="-2"/>
          <w:rtl/>
        </w:rPr>
        <w:t>وثيقة السياس</w:t>
      </w:r>
      <w:r w:rsidR="002107AE" w:rsidRPr="00E92AC9">
        <w:rPr>
          <w:rFonts w:hint="cs"/>
          <w:spacing w:val="-2"/>
          <w:rtl/>
        </w:rPr>
        <w:t>ات</w:t>
      </w:r>
      <w:r w:rsidR="00247741" w:rsidRPr="00E92AC9">
        <w:rPr>
          <w:spacing w:val="-2"/>
          <w:rtl/>
        </w:rPr>
        <w:t xml:space="preserve"> المحدثة لبدل الإعالة، ينبغي النظر في (1) دخل الزوج</w:t>
      </w:r>
      <w:r w:rsidR="002107AE" w:rsidRPr="00E92AC9">
        <w:rPr>
          <w:rFonts w:hint="cs"/>
          <w:spacing w:val="-2"/>
          <w:rtl/>
        </w:rPr>
        <w:t>/الزوجة</w:t>
      </w:r>
      <w:r w:rsidR="00247741" w:rsidRPr="00E92AC9">
        <w:rPr>
          <w:spacing w:val="-2"/>
          <w:rtl/>
        </w:rPr>
        <w:t xml:space="preserve"> بما في ذلك جميع </w:t>
      </w:r>
      <w:r w:rsidR="001D375E" w:rsidRPr="00E92AC9">
        <w:rPr>
          <w:rFonts w:hint="cs"/>
          <w:spacing w:val="-2"/>
          <w:rtl/>
        </w:rPr>
        <w:t xml:space="preserve">مصادر </w:t>
      </w:r>
      <w:r w:rsidR="00247741" w:rsidRPr="00E92AC9">
        <w:rPr>
          <w:spacing w:val="-2"/>
          <w:rtl/>
        </w:rPr>
        <w:t>الدخل المباشر</w:t>
      </w:r>
      <w:r w:rsidR="007753F5" w:rsidRPr="00E92AC9">
        <w:rPr>
          <w:rFonts w:hint="cs"/>
          <w:spacing w:val="-2"/>
          <w:rtl/>
        </w:rPr>
        <w:t>ة</w:t>
      </w:r>
      <w:r w:rsidR="00247741" w:rsidRPr="00E92AC9">
        <w:rPr>
          <w:spacing w:val="-2"/>
          <w:rtl/>
        </w:rPr>
        <w:t xml:space="preserve"> وغير المباشر</w:t>
      </w:r>
      <w:r w:rsidR="007753F5" w:rsidRPr="00E92AC9">
        <w:rPr>
          <w:rFonts w:hint="cs"/>
          <w:spacing w:val="-2"/>
          <w:rtl/>
        </w:rPr>
        <w:t>ة</w:t>
      </w:r>
      <w:r w:rsidR="00247741" w:rsidRPr="00E92AC9">
        <w:rPr>
          <w:spacing w:val="-2"/>
          <w:rtl/>
        </w:rPr>
        <w:t xml:space="preserve"> بما في ذلك المعاشات التقاعدية، و</w:t>
      </w:r>
      <w:r w:rsidR="007753F5" w:rsidRPr="00E92AC9">
        <w:rPr>
          <w:rFonts w:hint="cs"/>
          <w:spacing w:val="-2"/>
          <w:rtl/>
        </w:rPr>
        <w:t>استحقاقات</w:t>
      </w:r>
      <w:r w:rsidR="00247741" w:rsidRPr="00E92AC9">
        <w:rPr>
          <w:spacing w:val="-2"/>
          <w:rtl/>
        </w:rPr>
        <w:t xml:space="preserve"> العجز، وإعانات البطالة،</w:t>
      </w:r>
      <w:r w:rsidR="001D375E" w:rsidRPr="00E92AC9">
        <w:rPr>
          <w:rFonts w:hint="cs"/>
          <w:spacing w:val="-2"/>
          <w:rtl/>
        </w:rPr>
        <w:t xml:space="preserve"> وعوائد</w:t>
      </w:r>
      <w:r w:rsidR="00247741" w:rsidRPr="00E92AC9">
        <w:rPr>
          <w:spacing w:val="-2"/>
          <w:rtl/>
        </w:rPr>
        <w:t xml:space="preserve"> الاستثمارات (2)</w:t>
      </w:r>
      <w:r w:rsidR="0059412A">
        <w:rPr>
          <w:rFonts w:hint="cs"/>
          <w:spacing w:val="-2"/>
          <w:rtl/>
        </w:rPr>
        <w:t> </w:t>
      </w:r>
      <w:r w:rsidR="001D375E" w:rsidRPr="00E92AC9">
        <w:rPr>
          <w:rFonts w:hint="cs"/>
          <w:spacing w:val="-2"/>
          <w:rtl/>
        </w:rPr>
        <w:t>بالنسبة لل</w:t>
      </w:r>
      <w:r w:rsidR="001D375E" w:rsidRPr="00E92AC9">
        <w:rPr>
          <w:spacing w:val="-2"/>
          <w:rtl/>
        </w:rPr>
        <w:t xml:space="preserve">موظف </w:t>
      </w:r>
      <w:r w:rsidR="00247741" w:rsidRPr="00E92AC9">
        <w:rPr>
          <w:spacing w:val="-2"/>
          <w:rtl/>
        </w:rPr>
        <w:t xml:space="preserve">الذي يطالب </w:t>
      </w:r>
      <w:r w:rsidR="007500C4" w:rsidRPr="00E92AC9">
        <w:rPr>
          <w:rFonts w:hint="cs"/>
          <w:spacing w:val="-2"/>
          <w:rtl/>
        </w:rPr>
        <w:t>ببدلات</w:t>
      </w:r>
      <w:r w:rsidR="00247741" w:rsidRPr="00E92AC9">
        <w:rPr>
          <w:spacing w:val="-2"/>
          <w:rtl/>
        </w:rPr>
        <w:t xml:space="preserve"> </w:t>
      </w:r>
      <w:r w:rsidR="00FC44A1" w:rsidRPr="00E92AC9">
        <w:rPr>
          <w:rFonts w:hint="cs"/>
          <w:spacing w:val="-2"/>
          <w:rtl/>
        </w:rPr>
        <w:t>الزوج</w:t>
      </w:r>
      <w:r w:rsidR="007753F5" w:rsidRPr="00E92AC9">
        <w:rPr>
          <w:rFonts w:hint="cs"/>
          <w:spacing w:val="-2"/>
          <w:rtl/>
        </w:rPr>
        <w:t>/</w:t>
      </w:r>
      <w:r w:rsidR="00FC44A1" w:rsidRPr="00E92AC9">
        <w:rPr>
          <w:rFonts w:hint="cs"/>
          <w:spacing w:val="-2"/>
          <w:rtl/>
        </w:rPr>
        <w:t>الزوجة</w:t>
      </w:r>
      <w:r w:rsidR="00247741" w:rsidRPr="00E92AC9">
        <w:rPr>
          <w:spacing w:val="-2"/>
          <w:rtl/>
        </w:rPr>
        <w:t xml:space="preserve"> الذي</w:t>
      </w:r>
      <w:r w:rsidR="00FC44A1" w:rsidRPr="00E92AC9">
        <w:rPr>
          <w:rFonts w:hint="cs"/>
          <w:spacing w:val="-2"/>
          <w:rtl/>
        </w:rPr>
        <w:t>/التي ليس له/لها</w:t>
      </w:r>
      <w:r w:rsidR="00247741" w:rsidRPr="00E92AC9">
        <w:rPr>
          <w:spacing w:val="-2"/>
          <w:rtl/>
        </w:rPr>
        <w:t xml:space="preserve"> </w:t>
      </w:r>
      <w:r w:rsidR="00FC44A1" w:rsidRPr="00E92AC9">
        <w:rPr>
          <w:rFonts w:hint="cs"/>
          <w:spacing w:val="-2"/>
          <w:rtl/>
        </w:rPr>
        <w:t>دخل</w:t>
      </w:r>
      <w:r w:rsidR="00247741" w:rsidRPr="00E92AC9">
        <w:rPr>
          <w:spacing w:val="-2"/>
          <w:rtl/>
        </w:rPr>
        <w:t xml:space="preserve">، </w:t>
      </w:r>
      <w:r w:rsidR="00341CA0" w:rsidRPr="00E92AC9">
        <w:rPr>
          <w:rFonts w:hint="cs"/>
          <w:spacing w:val="-2"/>
          <w:rtl/>
        </w:rPr>
        <w:t>أن يُشترط</w:t>
      </w:r>
      <w:r w:rsidR="00247741" w:rsidRPr="00E92AC9">
        <w:rPr>
          <w:spacing w:val="-2"/>
          <w:rtl/>
        </w:rPr>
        <w:t xml:space="preserve"> </w:t>
      </w:r>
      <w:r w:rsidR="00341CA0" w:rsidRPr="00E92AC9">
        <w:rPr>
          <w:rFonts w:hint="cs"/>
          <w:spacing w:val="-2"/>
          <w:rtl/>
        </w:rPr>
        <w:t xml:space="preserve">تقديم، </w:t>
      </w:r>
      <w:r w:rsidR="00247741" w:rsidRPr="00E92AC9">
        <w:rPr>
          <w:spacing w:val="-2"/>
          <w:rtl/>
        </w:rPr>
        <w:t xml:space="preserve">بالإضافة إلى نموذج إقرار موقع، دليل </w:t>
      </w:r>
      <w:r w:rsidR="00FC44A1" w:rsidRPr="00E92AC9">
        <w:rPr>
          <w:rFonts w:hint="cs"/>
          <w:spacing w:val="-2"/>
          <w:rtl/>
        </w:rPr>
        <w:t xml:space="preserve">مقدم من </w:t>
      </w:r>
      <w:r w:rsidR="00FC44A1" w:rsidRPr="00E92AC9">
        <w:rPr>
          <w:spacing w:val="-2"/>
          <w:rtl/>
        </w:rPr>
        <w:t xml:space="preserve">نظام الضرائب الوطني </w:t>
      </w:r>
      <w:r w:rsidR="00FC44A1" w:rsidRPr="00E92AC9">
        <w:rPr>
          <w:rFonts w:hint="cs"/>
          <w:spacing w:val="-2"/>
          <w:rtl/>
        </w:rPr>
        <w:t xml:space="preserve">المعترف به </w:t>
      </w:r>
      <w:r w:rsidR="00247741" w:rsidRPr="00E92AC9">
        <w:rPr>
          <w:spacing w:val="-2"/>
          <w:rtl/>
        </w:rPr>
        <w:t>على عدم وجود دخل</w:t>
      </w:r>
      <w:r w:rsidR="00306828" w:rsidRPr="00E92AC9">
        <w:rPr>
          <w:rFonts w:hint="cs"/>
          <w:spacing w:val="-2"/>
          <w:rtl/>
        </w:rPr>
        <w:t>.</w:t>
      </w:r>
    </w:p>
    <w:p w14:paraId="2E9417C3" w14:textId="71FFF16B" w:rsidR="006E01B9" w:rsidRDefault="006E01B9" w:rsidP="00FC44A1">
      <w:pPr>
        <w:pStyle w:val="enumlev1"/>
        <w:rPr>
          <w:rtl/>
        </w:rPr>
      </w:pPr>
      <w:r>
        <w:rPr>
          <w:rFonts w:hint="cs"/>
          <w:rtl/>
        </w:rPr>
        <w:t>ب</w:t>
      </w:r>
      <w:r w:rsidR="008A3C4E">
        <w:rPr>
          <w:rFonts w:hint="cs"/>
          <w:rtl/>
        </w:rPr>
        <w:t>)</w:t>
      </w:r>
      <w:r>
        <w:rPr>
          <w:rtl/>
        </w:rPr>
        <w:tab/>
      </w:r>
      <w:r w:rsidR="00E217E5">
        <w:rPr>
          <w:rFonts w:hint="cs"/>
          <w:rtl/>
        </w:rPr>
        <w:t xml:space="preserve">أن </w:t>
      </w:r>
      <w:r w:rsidR="009539AC">
        <w:rPr>
          <w:rFonts w:hint="cs"/>
          <w:rtl/>
        </w:rPr>
        <w:t xml:space="preserve">مسؤوليات </w:t>
      </w:r>
      <w:r w:rsidR="00FC44A1" w:rsidRPr="00FC44A1">
        <w:rPr>
          <w:rtl/>
        </w:rPr>
        <w:t>موظف</w:t>
      </w:r>
      <w:r w:rsidR="00E217E5">
        <w:rPr>
          <w:rFonts w:hint="cs"/>
          <w:rtl/>
        </w:rPr>
        <w:t>ي</w:t>
      </w:r>
      <w:r w:rsidR="00FC44A1" w:rsidRPr="00FC44A1">
        <w:rPr>
          <w:rtl/>
        </w:rPr>
        <w:t xml:space="preserve"> </w:t>
      </w:r>
      <w:r w:rsidR="009539AC">
        <w:rPr>
          <w:rFonts w:hint="cs"/>
          <w:rtl/>
        </w:rPr>
        <w:t xml:space="preserve">دائرة </w:t>
      </w:r>
      <w:r w:rsidR="00FC44A1" w:rsidRPr="00FC44A1">
        <w:rPr>
          <w:rtl/>
        </w:rPr>
        <w:t xml:space="preserve">إدارة الموارد البشرية </w:t>
      </w:r>
      <w:r w:rsidR="009539AC">
        <w:rPr>
          <w:rFonts w:hint="cs"/>
          <w:rtl/>
        </w:rPr>
        <w:t>ليست واضحة</w:t>
      </w:r>
      <w:r w:rsidR="00FC44A1" w:rsidRPr="00FC44A1">
        <w:rPr>
          <w:rtl/>
        </w:rPr>
        <w:t xml:space="preserve"> مما يؤدي إلى التغاضي عن </w:t>
      </w:r>
      <w:r w:rsidR="009539AC">
        <w:rPr>
          <w:rFonts w:hint="cs"/>
          <w:rtl/>
        </w:rPr>
        <w:t xml:space="preserve">بعض </w:t>
      </w:r>
      <w:r w:rsidR="00FC44A1" w:rsidRPr="00FC44A1">
        <w:rPr>
          <w:rtl/>
        </w:rPr>
        <w:t xml:space="preserve">المهام والملكية غير الواضحة. </w:t>
      </w:r>
      <w:r w:rsidR="00E217E5">
        <w:rPr>
          <w:rFonts w:hint="cs"/>
          <w:rtl/>
        </w:rPr>
        <w:t>و</w:t>
      </w:r>
      <w:r w:rsidR="00FC44A1" w:rsidRPr="00FC44A1">
        <w:rPr>
          <w:rtl/>
        </w:rPr>
        <w:t xml:space="preserve">تمت </w:t>
      </w:r>
      <w:r w:rsidR="00FC44A1" w:rsidRPr="00895975">
        <w:rPr>
          <w:u w:val="single"/>
          <w:rtl/>
        </w:rPr>
        <w:t>التوصية</w:t>
      </w:r>
      <w:r w:rsidR="00FC44A1" w:rsidRPr="00FC44A1">
        <w:rPr>
          <w:rtl/>
        </w:rPr>
        <w:t xml:space="preserve"> </w:t>
      </w:r>
      <w:r w:rsidR="00E217E5">
        <w:rPr>
          <w:rFonts w:hint="cs"/>
          <w:rtl/>
        </w:rPr>
        <w:t>باستعراض</w:t>
      </w:r>
      <w:r w:rsidR="00FC44A1" w:rsidRPr="00FC44A1">
        <w:rPr>
          <w:rtl/>
        </w:rPr>
        <w:t xml:space="preserve"> </w:t>
      </w:r>
      <w:r w:rsidR="00E217E5">
        <w:rPr>
          <w:rFonts w:hint="cs"/>
          <w:rtl/>
          <w:lang w:bidi="ar-EG"/>
        </w:rPr>
        <w:t xml:space="preserve">وتحديد </w:t>
      </w:r>
      <w:r w:rsidR="00FC44A1" w:rsidRPr="00FC44A1">
        <w:rPr>
          <w:rtl/>
        </w:rPr>
        <w:t>هيكل العمل وتقسيمه</w:t>
      </w:r>
      <w:r w:rsidR="00E217E5">
        <w:rPr>
          <w:rFonts w:hint="cs"/>
          <w:rtl/>
        </w:rPr>
        <w:t>،</w:t>
      </w:r>
      <w:r w:rsidR="00FC44A1" w:rsidRPr="00FC44A1">
        <w:rPr>
          <w:rtl/>
        </w:rPr>
        <w:t xml:space="preserve"> وتوضيح الإجراءات والأدوار والمسؤوليات الخاصة </w:t>
      </w:r>
      <w:r w:rsidR="00E217E5">
        <w:rPr>
          <w:rFonts w:hint="cs"/>
          <w:rtl/>
        </w:rPr>
        <w:t>بالأفرقة</w:t>
      </w:r>
      <w:r w:rsidR="00FC44A1" w:rsidRPr="00FC44A1">
        <w:rPr>
          <w:rtl/>
        </w:rPr>
        <w:t xml:space="preserve"> </w:t>
      </w:r>
      <w:r w:rsidR="00E217E5">
        <w:rPr>
          <w:rFonts w:hint="cs"/>
          <w:rtl/>
        </w:rPr>
        <w:t>المعنية في دائرة</w:t>
      </w:r>
      <w:r w:rsidR="00FC44A1" w:rsidRPr="00FC44A1">
        <w:rPr>
          <w:rtl/>
        </w:rPr>
        <w:t xml:space="preserve"> </w:t>
      </w:r>
      <w:r w:rsidR="009539AC">
        <w:rPr>
          <w:rFonts w:hint="cs"/>
          <w:rtl/>
        </w:rPr>
        <w:t xml:space="preserve">إدارة </w:t>
      </w:r>
      <w:r w:rsidR="00FC44A1" w:rsidRPr="00FC44A1">
        <w:rPr>
          <w:rtl/>
        </w:rPr>
        <w:t>الموارد البشرية.</w:t>
      </w:r>
    </w:p>
    <w:p w14:paraId="7B0599A4" w14:textId="778C88DF" w:rsidR="006E01B9" w:rsidRDefault="006E01B9" w:rsidP="00FC44A1">
      <w:pPr>
        <w:pStyle w:val="enumlev1"/>
        <w:rPr>
          <w:rtl/>
        </w:rPr>
      </w:pPr>
      <w:r>
        <w:rPr>
          <w:rFonts w:hint="cs"/>
          <w:rtl/>
        </w:rPr>
        <w:t>ج</w:t>
      </w:r>
      <w:r w:rsidR="008A3C4E">
        <w:rPr>
          <w:rFonts w:hint="cs"/>
          <w:rtl/>
        </w:rPr>
        <w:t>)</w:t>
      </w:r>
      <w:r>
        <w:rPr>
          <w:rtl/>
        </w:rPr>
        <w:tab/>
      </w:r>
      <w:r w:rsidR="00E217E5">
        <w:rPr>
          <w:rFonts w:hint="cs"/>
          <w:rtl/>
        </w:rPr>
        <w:t xml:space="preserve">أنه </w:t>
      </w:r>
      <w:r w:rsidR="00FC44A1" w:rsidRPr="00FC44A1">
        <w:rPr>
          <w:rtl/>
        </w:rPr>
        <w:t>لا يتم دائما</w:t>
      </w:r>
      <w:r w:rsidR="00E217E5">
        <w:rPr>
          <w:rFonts w:hint="cs"/>
          <w:rtl/>
        </w:rPr>
        <w:t>ً</w:t>
      </w:r>
      <w:r w:rsidR="00FC44A1" w:rsidRPr="00FC44A1">
        <w:rPr>
          <w:rtl/>
        </w:rPr>
        <w:t xml:space="preserve"> تحديد العلامات التحذيرية/الاحتيال/التحريفات في طلبات الاستحقاقات المقدمة من الموظفين مما</w:t>
      </w:r>
      <w:r w:rsidR="00895975">
        <w:rPr>
          <w:rFonts w:hint="cs"/>
          <w:rtl/>
        </w:rPr>
        <w:t> </w:t>
      </w:r>
      <w:r w:rsidR="00FC44A1" w:rsidRPr="00FC44A1">
        <w:rPr>
          <w:rtl/>
        </w:rPr>
        <w:t xml:space="preserve">يؤدي إلى عدم كفاية الوعي بالاحتيال/التخفيف من حدته. </w:t>
      </w:r>
      <w:r w:rsidR="00E217E5">
        <w:rPr>
          <w:rFonts w:hint="cs"/>
          <w:rtl/>
        </w:rPr>
        <w:t>و</w:t>
      </w:r>
      <w:r w:rsidR="00FC44A1" w:rsidRPr="00FC44A1">
        <w:rPr>
          <w:rtl/>
        </w:rPr>
        <w:t xml:space="preserve">تمت </w:t>
      </w:r>
      <w:r w:rsidR="00FC44A1" w:rsidRPr="00895975">
        <w:rPr>
          <w:u w:val="single"/>
          <w:rtl/>
        </w:rPr>
        <w:t>التوصية</w:t>
      </w:r>
      <w:r w:rsidR="00FC44A1" w:rsidRPr="00FC44A1">
        <w:rPr>
          <w:rtl/>
        </w:rPr>
        <w:t xml:space="preserve"> باستخدام التناوب على المهام لمنع موظف واحد من السيطرة الكاملة على </w:t>
      </w:r>
      <w:r w:rsidR="00E217E5">
        <w:rPr>
          <w:rFonts w:hint="cs"/>
          <w:rtl/>
        </w:rPr>
        <w:t>وظيفة ما،</w:t>
      </w:r>
      <w:r w:rsidR="00FC44A1" w:rsidRPr="00FC44A1">
        <w:rPr>
          <w:rtl/>
        </w:rPr>
        <w:t xml:space="preserve"> وتنظيم تدريب منتظم للتوعية بالاحتيال وتبادل </w:t>
      </w:r>
      <w:r w:rsidR="00E217E5">
        <w:rPr>
          <w:rFonts w:hint="cs"/>
          <w:rtl/>
        </w:rPr>
        <w:t>المعارف</w:t>
      </w:r>
      <w:r w:rsidR="00FC44A1" w:rsidRPr="00FC44A1">
        <w:rPr>
          <w:rtl/>
        </w:rPr>
        <w:t xml:space="preserve"> لموظفي </w:t>
      </w:r>
      <w:r w:rsidR="00E217E5">
        <w:rPr>
          <w:rFonts w:hint="cs"/>
          <w:rtl/>
        </w:rPr>
        <w:t>دائرة</w:t>
      </w:r>
      <w:r w:rsidR="00FC44A1" w:rsidRPr="00FC44A1">
        <w:rPr>
          <w:rtl/>
        </w:rPr>
        <w:t xml:space="preserve"> </w:t>
      </w:r>
      <w:r w:rsidR="00030D52">
        <w:rPr>
          <w:rFonts w:hint="cs"/>
          <w:rtl/>
        </w:rPr>
        <w:t xml:space="preserve">إدارة </w:t>
      </w:r>
      <w:r w:rsidR="00FC44A1" w:rsidRPr="00FC44A1">
        <w:rPr>
          <w:rtl/>
        </w:rPr>
        <w:t xml:space="preserve">الموارد البشرية المشاركين في معالجة </w:t>
      </w:r>
      <w:r w:rsidR="00E217E5">
        <w:rPr>
          <w:rFonts w:hint="cs"/>
          <w:rtl/>
        </w:rPr>
        <w:t xml:space="preserve">مسألة </w:t>
      </w:r>
      <w:r w:rsidR="00FC44A1" w:rsidRPr="00FC44A1">
        <w:rPr>
          <w:rtl/>
        </w:rPr>
        <w:t>الاستحقاقات.</w:t>
      </w:r>
    </w:p>
    <w:p w14:paraId="44E90CD9" w14:textId="73A70154" w:rsidR="006E01B9" w:rsidRDefault="006E01B9" w:rsidP="00FC44A1">
      <w:pPr>
        <w:pStyle w:val="enumlev1"/>
        <w:rPr>
          <w:rtl/>
        </w:rPr>
      </w:pPr>
      <w:proofErr w:type="gramStart"/>
      <w:r>
        <w:rPr>
          <w:rFonts w:hint="cs"/>
          <w:rtl/>
        </w:rPr>
        <w:t xml:space="preserve">د </w:t>
      </w:r>
      <w:r w:rsidR="008A3C4E">
        <w:rPr>
          <w:rFonts w:hint="cs"/>
          <w:rtl/>
        </w:rPr>
        <w:t>)</w:t>
      </w:r>
      <w:proofErr w:type="gramEnd"/>
      <w:r>
        <w:rPr>
          <w:rtl/>
        </w:rPr>
        <w:tab/>
      </w:r>
      <w:r w:rsidR="00E217E5">
        <w:rPr>
          <w:rFonts w:hint="cs"/>
          <w:rtl/>
        </w:rPr>
        <w:t xml:space="preserve">أنه </w:t>
      </w:r>
      <w:r w:rsidR="00030D52">
        <w:rPr>
          <w:rFonts w:hint="cs"/>
          <w:rtl/>
        </w:rPr>
        <w:t>لا</w:t>
      </w:r>
      <w:r w:rsidR="00030D52" w:rsidRPr="00FC44A1">
        <w:rPr>
          <w:rtl/>
        </w:rPr>
        <w:t xml:space="preserve"> </w:t>
      </w:r>
      <w:r w:rsidR="00030D52">
        <w:rPr>
          <w:rFonts w:hint="cs"/>
          <w:rtl/>
        </w:rPr>
        <w:t>يتم</w:t>
      </w:r>
      <w:r w:rsidR="00FC44A1" w:rsidRPr="00FC44A1">
        <w:rPr>
          <w:rtl/>
        </w:rPr>
        <w:t xml:space="preserve"> فحص/معالجة الاستحقاقات وأهلية الاستحقاقات بشكل صحيح مما يؤدي إلى </w:t>
      </w:r>
      <w:r w:rsidR="00030D52">
        <w:rPr>
          <w:rFonts w:hint="cs"/>
          <w:rtl/>
        </w:rPr>
        <w:t>عدم كفاية وعدم فعالية ال</w:t>
      </w:r>
      <w:r w:rsidR="00FC44A1" w:rsidRPr="00FC44A1">
        <w:rPr>
          <w:rtl/>
        </w:rPr>
        <w:t xml:space="preserve">ضوابط </w:t>
      </w:r>
      <w:r w:rsidR="00030D52">
        <w:rPr>
          <w:rFonts w:hint="cs"/>
          <w:rtl/>
        </w:rPr>
        <w:t>ال</w:t>
      </w:r>
      <w:r w:rsidR="00FC44A1" w:rsidRPr="00FC44A1">
        <w:rPr>
          <w:rtl/>
        </w:rPr>
        <w:t xml:space="preserve">داخلية. </w:t>
      </w:r>
      <w:r w:rsidR="00B63E37">
        <w:rPr>
          <w:rFonts w:hint="cs"/>
          <w:rtl/>
        </w:rPr>
        <w:t>و</w:t>
      </w:r>
      <w:r w:rsidR="00FC44A1" w:rsidRPr="00FC44A1">
        <w:rPr>
          <w:rtl/>
        </w:rPr>
        <w:t xml:space="preserve">تمت </w:t>
      </w:r>
      <w:r w:rsidR="00FC44A1" w:rsidRPr="00895975">
        <w:rPr>
          <w:u w:val="single"/>
          <w:rtl/>
        </w:rPr>
        <w:t>التوصية</w:t>
      </w:r>
      <w:r w:rsidR="00FC44A1" w:rsidRPr="00FC44A1">
        <w:rPr>
          <w:rtl/>
        </w:rPr>
        <w:t xml:space="preserve"> </w:t>
      </w:r>
      <w:r w:rsidR="00B63E37">
        <w:rPr>
          <w:rFonts w:hint="cs"/>
          <w:rtl/>
        </w:rPr>
        <w:t>باستعراض</w:t>
      </w:r>
      <w:r w:rsidR="00FC44A1" w:rsidRPr="00FC44A1">
        <w:rPr>
          <w:rtl/>
        </w:rPr>
        <w:t xml:space="preserve"> مستحقات منحة التعليم التي تمت تسويتها خلال السنوات الخمس إلى العشر الماضية (قبل التغييرات في عام 2017) و</w:t>
      </w:r>
      <w:r w:rsidR="00B63E37">
        <w:rPr>
          <w:rFonts w:hint="cs"/>
          <w:rtl/>
        </w:rPr>
        <w:t xml:space="preserve">أن ينظر في </w:t>
      </w:r>
      <w:r w:rsidR="00FC44A1" w:rsidRPr="00FC44A1">
        <w:rPr>
          <w:rtl/>
        </w:rPr>
        <w:t>أي أخطاء أخرى غير الأخطاء المحددة في</w:t>
      </w:r>
      <w:r w:rsidR="00895975">
        <w:rPr>
          <w:rFonts w:hint="cs"/>
          <w:rtl/>
        </w:rPr>
        <w:t> </w:t>
      </w:r>
      <w:r w:rsidR="00B63E37">
        <w:rPr>
          <w:rFonts w:hint="cs"/>
          <w:rtl/>
        </w:rPr>
        <w:t>عملية التفتيش هذه</w:t>
      </w:r>
      <w:r w:rsidR="00FC44A1" w:rsidRPr="00FC44A1">
        <w:rPr>
          <w:rtl/>
        </w:rPr>
        <w:t xml:space="preserve"> فيما يتعلق بالنفقات المقبولة </w:t>
      </w:r>
      <w:r w:rsidR="00B63E37">
        <w:rPr>
          <w:rFonts w:hint="cs"/>
          <w:rtl/>
        </w:rPr>
        <w:t>لأغراض</w:t>
      </w:r>
      <w:r w:rsidR="00FC44A1" w:rsidRPr="00FC44A1">
        <w:rPr>
          <w:rtl/>
        </w:rPr>
        <w:t xml:space="preserve"> </w:t>
      </w:r>
      <w:r w:rsidR="00B63E37">
        <w:rPr>
          <w:rFonts w:hint="cs"/>
          <w:rtl/>
        </w:rPr>
        <w:t>ال</w:t>
      </w:r>
      <w:r w:rsidR="00FC44A1" w:rsidRPr="00FC44A1">
        <w:rPr>
          <w:rtl/>
        </w:rPr>
        <w:t xml:space="preserve">تصحيح. </w:t>
      </w:r>
      <w:r w:rsidR="00B63E37">
        <w:rPr>
          <w:rFonts w:hint="cs"/>
          <w:rtl/>
        </w:rPr>
        <w:t>وبالإضافة إلى</w:t>
      </w:r>
      <w:r w:rsidR="00FC44A1" w:rsidRPr="00FC44A1">
        <w:rPr>
          <w:rtl/>
        </w:rPr>
        <w:t xml:space="preserve"> ذلك، </w:t>
      </w:r>
      <w:r w:rsidR="00B63E37">
        <w:rPr>
          <w:rFonts w:hint="cs"/>
          <w:rtl/>
        </w:rPr>
        <w:t xml:space="preserve">تمت </w:t>
      </w:r>
      <w:r w:rsidR="00B63E37" w:rsidRPr="00D25818">
        <w:rPr>
          <w:rFonts w:hint="cs"/>
          <w:u w:val="single"/>
          <w:rtl/>
        </w:rPr>
        <w:t>التوصية</w:t>
      </w:r>
      <w:r w:rsidR="00FC44A1" w:rsidRPr="00FC44A1">
        <w:rPr>
          <w:rtl/>
        </w:rPr>
        <w:t xml:space="preserve"> بأن تُقدَّم طلبات حالة الإعالة على أساس سنوي (أو على نحو أكثر تواترا</w:t>
      </w:r>
      <w:r w:rsidR="00B63E37">
        <w:rPr>
          <w:rFonts w:hint="cs"/>
          <w:rtl/>
        </w:rPr>
        <w:t>ً</w:t>
      </w:r>
      <w:r w:rsidR="00FC44A1" w:rsidRPr="00FC44A1">
        <w:rPr>
          <w:rtl/>
        </w:rPr>
        <w:t xml:space="preserve"> حسب الاقتضاء) وبطريقة متسقة، وألا تُدفع مدفوعات بدلات الإعالة إلا بناءً على معلومات مؤكدة ومثبتة ومحدثة يقدمها الموظفون. وأخيرا</w:t>
      </w:r>
      <w:r w:rsidR="00B63E37">
        <w:rPr>
          <w:rFonts w:hint="cs"/>
          <w:rtl/>
        </w:rPr>
        <w:t>ً</w:t>
      </w:r>
      <w:r w:rsidR="00FC44A1" w:rsidRPr="00FC44A1">
        <w:rPr>
          <w:rtl/>
        </w:rPr>
        <w:t xml:space="preserve">، تمت </w:t>
      </w:r>
      <w:r w:rsidR="00FC44A1" w:rsidRPr="00D25818">
        <w:rPr>
          <w:u w:val="single"/>
          <w:rtl/>
        </w:rPr>
        <w:t>التوصية</w:t>
      </w:r>
      <w:r w:rsidR="00FC44A1" w:rsidRPr="00FC44A1">
        <w:rPr>
          <w:rtl/>
        </w:rPr>
        <w:t xml:space="preserve"> بإنفاذ شرط يقضي بأن </w:t>
      </w:r>
      <w:r w:rsidR="00EC6268">
        <w:rPr>
          <w:rFonts w:hint="cs"/>
          <w:rtl/>
          <w:lang w:bidi="ar-EG"/>
        </w:rPr>
        <w:t>يُحتفظ</w:t>
      </w:r>
      <w:r w:rsidR="00FC44A1" w:rsidRPr="00FC44A1">
        <w:rPr>
          <w:rtl/>
        </w:rPr>
        <w:t xml:space="preserve"> بجميع </w:t>
      </w:r>
      <w:r w:rsidR="00EC6268">
        <w:rPr>
          <w:rFonts w:hint="cs"/>
          <w:rtl/>
        </w:rPr>
        <w:t>الوثائق</w:t>
      </w:r>
      <w:r w:rsidR="00FC44A1" w:rsidRPr="00FC44A1">
        <w:rPr>
          <w:rtl/>
        </w:rPr>
        <w:t xml:space="preserve"> الداعمة وأوراق </w:t>
      </w:r>
      <w:r w:rsidR="003F422E">
        <w:rPr>
          <w:rFonts w:hint="cs"/>
          <w:rtl/>
        </w:rPr>
        <w:t>الأعمال</w:t>
      </w:r>
      <w:r w:rsidR="003F422E" w:rsidRPr="00FC44A1">
        <w:rPr>
          <w:rtl/>
        </w:rPr>
        <w:t xml:space="preserve"> </w:t>
      </w:r>
      <w:r w:rsidR="00FC44A1" w:rsidRPr="00FC44A1">
        <w:rPr>
          <w:rtl/>
        </w:rPr>
        <w:t xml:space="preserve">الحسابية وأي وثائق أخرى تستخدمها </w:t>
      </w:r>
      <w:r w:rsidR="00EC6268">
        <w:rPr>
          <w:rFonts w:hint="cs"/>
          <w:rtl/>
        </w:rPr>
        <w:t>دائرة</w:t>
      </w:r>
      <w:r w:rsidR="00FC44A1" w:rsidRPr="00FC44A1">
        <w:rPr>
          <w:rtl/>
        </w:rPr>
        <w:t xml:space="preserve"> </w:t>
      </w:r>
      <w:r w:rsidR="003F422E">
        <w:rPr>
          <w:rFonts w:hint="cs"/>
          <w:rtl/>
        </w:rPr>
        <w:t xml:space="preserve">إدارة </w:t>
      </w:r>
      <w:r w:rsidR="00FC44A1" w:rsidRPr="00FC44A1">
        <w:rPr>
          <w:rtl/>
        </w:rPr>
        <w:t xml:space="preserve">الموارد البشرية للموافقة على </w:t>
      </w:r>
      <w:r w:rsidR="003F422E">
        <w:rPr>
          <w:rFonts w:hint="cs"/>
          <w:rtl/>
        </w:rPr>
        <w:t>ال</w:t>
      </w:r>
      <w:r w:rsidR="00FC44A1" w:rsidRPr="00FC44A1">
        <w:rPr>
          <w:rtl/>
        </w:rPr>
        <w:t xml:space="preserve">أهلية وحساب المبالغ المتعلقة بالبدلات في نظام ملفات كامل يسهل </w:t>
      </w:r>
      <w:r w:rsidR="00EC6268">
        <w:rPr>
          <w:rFonts w:hint="cs"/>
          <w:rtl/>
        </w:rPr>
        <w:t>النفاذ</w:t>
      </w:r>
      <w:r w:rsidR="00FC44A1" w:rsidRPr="00FC44A1">
        <w:rPr>
          <w:rtl/>
        </w:rPr>
        <w:t xml:space="preserve"> إليه.</w:t>
      </w:r>
    </w:p>
    <w:p w14:paraId="5415C286" w14:textId="55F7C14C" w:rsidR="006E01B9" w:rsidRDefault="006E01B9" w:rsidP="006E01B9">
      <w:pPr>
        <w:rPr>
          <w:rtl/>
          <w:lang w:bidi="ar-EG"/>
        </w:rPr>
      </w:pPr>
      <w:r>
        <w:rPr>
          <w:lang w:bidi="ar-EG"/>
        </w:rPr>
        <w:t>10</w:t>
      </w:r>
      <w:r>
        <w:rPr>
          <w:rtl/>
          <w:lang w:bidi="ar-EG"/>
        </w:rPr>
        <w:tab/>
      </w:r>
      <w:r w:rsidR="00EC6268">
        <w:rPr>
          <w:rFonts w:hint="cs"/>
          <w:rtl/>
          <w:lang w:bidi="ar-EG"/>
        </w:rPr>
        <w:t>و</w:t>
      </w:r>
      <w:r w:rsidR="00FC44A1" w:rsidRPr="00FC44A1">
        <w:rPr>
          <w:rtl/>
          <w:lang w:bidi="ar-EG"/>
        </w:rPr>
        <w:t xml:space="preserve">وافقت </w:t>
      </w:r>
      <w:r w:rsidR="00EC6268">
        <w:rPr>
          <w:rFonts w:hint="cs"/>
          <w:rtl/>
          <w:lang w:bidi="ar-EG"/>
        </w:rPr>
        <w:t>دائرة</w:t>
      </w:r>
      <w:r w:rsidR="00FC44A1" w:rsidRPr="00FC44A1">
        <w:rPr>
          <w:rtl/>
          <w:lang w:bidi="ar-EG"/>
        </w:rPr>
        <w:t xml:space="preserve"> </w:t>
      </w:r>
      <w:r w:rsidR="003F422E">
        <w:rPr>
          <w:rFonts w:hint="cs"/>
          <w:rtl/>
          <w:lang w:bidi="ar-EG"/>
        </w:rPr>
        <w:t xml:space="preserve">إدارة </w:t>
      </w:r>
      <w:r w:rsidR="00FC44A1" w:rsidRPr="00FC44A1">
        <w:rPr>
          <w:rtl/>
          <w:lang w:bidi="ar-EG"/>
        </w:rPr>
        <w:t>الموارد البشرية على العديد من التوصيات،</w:t>
      </w:r>
      <w:r w:rsidR="003F422E">
        <w:rPr>
          <w:rFonts w:hint="cs"/>
          <w:rtl/>
          <w:lang w:bidi="ar-EG"/>
        </w:rPr>
        <w:t xml:space="preserve"> مبدية</w:t>
      </w:r>
      <w:r w:rsidR="00FC44A1" w:rsidRPr="00FC44A1">
        <w:rPr>
          <w:rtl/>
          <w:lang w:bidi="ar-EG"/>
        </w:rPr>
        <w:t xml:space="preserve"> عدم </w:t>
      </w:r>
      <w:r w:rsidR="00EC6268">
        <w:rPr>
          <w:rFonts w:hint="cs"/>
          <w:rtl/>
          <w:lang w:bidi="ar-EG"/>
        </w:rPr>
        <w:t>ال</w:t>
      </w:r>
      <w:r w:rsidR="00FC44A1" w:rsidRPr="00FC44A1">
        <w:rPr>
          <w:rtl/>
          <w:lang w:bidi="ar-EG"/>
        </w:rPr>
        <w:t xml:space="preserve">موافقة </w:t>
      </w:r>
      <w:r w:rsidR="00EC6268">
        <w:rPr>
          <w:rFonts w:hint="cs"/>
          <w:rtl/>
          <w:lang w:bidi="ar-EG"/>
        </w:rPr>
        <w:t xml:space="preserve">على </w:t>
      </w:r>
      <w:r w:rsidR="00FC44A1" w:rsidRPr="00FC44A1">
        <w:rPr>
          <w:rtl/>
          <w:lang w:bidi="ar-EG"/>
        </w:rPr>
        <w:t xml:space="preserve">البعض </w:t>
      </w:r>
      <w:r w:rsidR="00EC6268">
        <w:rPr>
          <w:rFonts w:hint="cs"/>
          <w:rtl/>
          <w:lang w:bidi="ar-EG"/>
        </w:rPr>
        <w:t xml:space="preserve">منها </w:t>
      </w:r>
      <w:r w:rsidR="00FC44A1" w:rsidRPr="00FC44A1">
        <w:rPr>
          <w:rtl/>
          <w:lang w:bidi="ar-EG"/>
        </w:rPr>
        <w:t xml:space="preserve">لأن هذه الإجراءات المقترحة </w:t>
      </w:r>
      <w:r w:rsidR="003F422E">
        <w:rPr>
          <w:rFonts w:hint="cs"/>
          <w:rtl/>
          <w:lang w:bidi="ar-EG"/>
        </w:rPr>
        <w:t>هي</w:t>
      </w:r>
      <w:r w:rsidR="003F422E" w:rsidRPr="00FC44A1">
        <w:rPr>
          <w:rtl/>
          <w:lang w:bidi="ar-EG"/>
        </w:rPr>
        <w:t xml:space="preserve"> </w:t>
      </w:r>
      <w:r w:rsidR="00FC44A1" w:rsidRPr="00FC44A1">
        <w:rPr>
          <w:rtl/>
          <w:lang w:bidi="ar-EG"/>
        </w:rPr>
        <w:t xml:space="preserve">بالفعل ممارسات إدارية جارية. </w:t>
      </w:r>
      <w:r w:rsidR="00EC6268">
        <w:rPr>
          <w:rFonts w:hint="cs"/>
          <w:rtl/>
          <w:lang w:bidi="ar-EG"/>
        </w:rPr>
        <w:t>و</w:t>
      </w:r>
      <w:r w:rsidR="00FC44A1" w:rsidRPr="00FC44A1">
        <w:rPr>
          <w:rtl/>
          <w:lang w:bidi="ar-EG"/>
        </w:rPr>
        <w:t xml:space="preserve">لا </w:t>
      </w:r>
      <w:r w:rsidR="00EC6268">
        <w:rPr>
          <w:rFonts w:hint="cs"/>
          <w:rtl/>
          <w:lang w:bidi="ar-EG"/>
        </w:rPr>
        <w:t xml:space="preserve">ترى </w:t>
      </w:r>
      <w:r w:rsidR="003F422E" w:rsidRPr="003F422E">
        <w:rPr>
          <w:rtl/>
          <w:lang w:bidi="ar-EG"/>
        </w:rPr>
        <w:t>وحدة المراجعة الداخلية</w:t>
      </w:r>
      <w:r w:rsidR="00FC44A1" w:rsidRPr="00FC44A1">
        <w:rPr>
          <w:rtl/>
          <w:lang w:bidi="ar-EG"/>
        </w:rPr>
        <w:t xml:space="preserve"> أن هذه الممارسات الإدارية المستمرة قد أثبتت أنها تساهم في توفير ضمانات للأمين العام فيما يتعلق بالحوكمة وإدارة المخاطر وفعالية الضوابط ذات الصلة </w:t>
      </w:r>
      <w:r w:rsidR="00EC6268">
        <w:rPr>
          <w:rFonts w:hint="cs"/>
          <w:rtl/>
          <w:lang w:bidi="ar-EG"/>
        </w:rPr>
        <w:t>بمعالجة</w:t>
      </w:r>
      <w:r w:rsidR="00FC44A1" w:rsidRPr="00FC44A1">
        <w:rPr>
          <w:rtl/>
          <w:lang w:bidi="ar-EG"/>
        </w:rPr>
        <w:t xml:space="preserve"> استحقاقات الموظفين.</w:t>
      </w:r>
    </w:p>
    <w:p w14:paraId="6E27888D" w14:textId="3087FD42" w:rsidR="00754CE5" w:rsidRPr="009555BD" w:rsidRDefault="00754CE5" w:rsidP="0074289A">
      <w:pPr>
        <w:pStyle w:val="Heading1"/>
        <w:rPr>
          <w:i/>
          <w:iCs/>
          <w:rtl/>
          <w:lang w:bidi="ar-EG"/>
        </w:rPr>
      </w:pPr>
      <w:r w:rsidRPr="009555BD">
        <w:rPr>
          <w:rFonts w:hint="cs"/>
          <w:i/>
          <w:iCs/>
          <w:rtl/>
          <w:lang w:bidi="ar-EG"/>
        </w:rPr>
        <w:t>ب</w:t>
      </w:r>
      <w:r w:rsidRPr="009555BD">
        <w:rPr>
          <w:i/>
          <w:iCs/>
          <w:rtl/>
          <w:lang w:bidi="ar-EG"/>
        </w:rPr>
        <w:tab/>
      </w:r>
      <w:r w:rsidR="00A00AA4" w:rsidRPr="009555BD">
        <w:rPr>
          <w:rFonts w:hint="cs"/>
          <w:i/>
          <w:iCs/>
          <w:rtl/>
          <w:lang w:bidi="ar-EG"/>
        </w:rPr>
        <w:t>م</w:t>
      </w:r>
      <w:r w:rsidR="00A00AA4" w:rsidRPr="009555BD">
        <w:rPr>
          <w:i/>
          <w:iCs/>
          <w:rtl/>
          <w:lang w:bidi="ar-EG"/>
        </w:rPr>
        <w:t xml:space="preserve">راجعة البرامج </w:t>
      </w:r>
      <w:r w:rsidR="00681DF4" w:rsidRPr="009555BD">
        <w:rPr>
          <w:i/>
          <w:iCs/>
          <w:rtl/>
          <w:lang w:bidi="ar-EG"/>
        </w:rPr>
        <w:t>والمش</w:t>
      </w:r>
      <w:r w:rsidR="00681DF4" w:rsidRPr="009555BD">
        <w:rPr>
          <w:rFonts w:hint="cs"/>
          <w:i/>
          <w:iCs/>
          <w:rtl/>
          <w:lang w:bidi="ar-EG"/>
        </w:rPr>
        <w:t>اريع</w:t>
      </w:r>
      <w:r w:rsidR="00681DF4" w:rsidRPr="009555BD">
        <w:rPr>
          <w:i/>
          <w:iCs/>
          <w:rtl/>
          <w:lang w:bidi="ar-EG"/>
        </w:rPr>
        <w:t xml:space="preserve"> </w:t>
      </w:r>
      <w:r w:rsidR="00A00AA4" w:rsidRPr="009555BD">
        <w:rPr>
          <w:i/>
          <w:iCs/>
          <w:rtl/>
          <w:lang w:bidi="ar-EG"/>
        </w:rPr>
        <w:t>والأنشطة التكميلية الممولة من</w:t>
      </w:r>
      <w:r w:rsidR="003F422E" w:rsidRPr="009555BD">
        <w:rPr>
          <w:rFonts w:hint="cs"/>
          <w:i/>
          <w:iCs/>
          <w:rtl/>
          <w:lang w:bidi="ar-EG"/>
        </w:rPr>
        <w:t xml:space="preserve"> المساهمات الطوعية</w:t>
      </w:r>
      <w:r w:rsidR="00A00AA4" w:rsidRPr="009555BD">
        <w:rPr>
          <w:i/>
          <w:iCs/>
          <w:rtl/>
          <w:lang w:bidi="ar-EG"/>
        </w:rPr>
        <w:t xml:space="preserve"> والصناديق</w:t>
      </w:r>
      <w:r w:rsidR="00D25818" w:rsidRPr="009555BD">
        <w:rPr>
          <w:rFonts w:hint="cs"/>
          <w:i/>
          <w:iCs/>
          <w:rtl/>
          <w:lang w:bidi="ar-EG"/>
        </w:rPr>
        <w:t> </w:t>
      </w:r>
      <w:proofErr w:type="spellStart"/>
      <w:r w:rsidR="00A00AA4" w:rsidRPr="009555BD">
        <w:rPr>
          <w:i/>
          <w:iCs/>
          <w:rtl/>
          <w:lang w:bidi="ar-EG"/>
        </w:rPr>
        <w:t>الاستئمانية</w:t>
      </w:r>
      <w:proofErr w:type="spellEnd"/>
    </w:p>
    <w:p w14:paraId="6BF62CE6" w14:textId="396599EB" w:rsidR="00754CE5" w:rsidRDefault="00754CE5" w:rsidP="00AF715D">
      <w:pPr>
        <w:rPr>
          <w:rtl/>
          <w:lang w:bidi="ar-EG"/>
        </w:rPr>
      </w:pPr>
      <w:r>
        <w:rPr>
          <w:lang w:bidi="ar-EG"/>
        </w:rPr>
        <w:t>11</w:t>
      </w:r>
      <w:r>
        <w:rPr>
          <w:rtl/>
          <w:lang w:bidi="ar-EG"/>
        </w:rPr>
        <w:tab/>
      </w:r>
      <w:r w:rsidR="00A00AA4" w:rsidRPr="00A00AA4">
        <w:rPr>
          <w:rtl/>
          <w:lang w:bidi="ar-EG"/>
        </w:rPr>
        <w:t>أجر</w:t>
      </w:r>
      <w:r w:rsidR="00A00AA4">
        <w:rPr>
          <w:rFonts w:hint="cs"/>
          <w:rtl/>
          <w:lang w:bidi="ar-EG"/>
        </w:rPr>
        <w:t>ت</w:t>
      </w:r>
      <w:r w:rsidR="00A00AA4" w:rsidRPr="00A00AA4">
        <w:rPr>
          <w:rtl/>
          <w:lang w:bidi="ar-EG"/>
        </w:rPr>
        <w:t xml:space="preserve"> </w:t>
      </w:r>
      <w:r w:rsidR="00A00AA4" w:rsidRPr="00754CE5">
        <w:rPr>
          <w:rFonts w:hint="cs"/>
          <w:rtl/>
          <w:lang w:bidi="ar-EG"/>
        </w:rPr>
        <w:t xml:space="preserve">وحدة المراجعة الداخلية </w:t>
      </w:r>
      <w:r w:rsidR="00A00AA4" w:rsidRPr="00A00AA4">
        <w:rPr>
          <w:rtl/>
          <w:lang w:bidi="ar-EG"/>
        </w:rPr>
        <w:t xml:space="preserve">مراجعة للبرامج </w:t>
      </w:r>
      <w:r w:rsidR="00681DF4" w:rsidRPr="00A00AA4">
        <w:rPr>
          <w:rtl/>
          <w:lang w:bidi="ar-EG"/>
        </w:rPr>
        <w:t>والمش</w:t>
      </w:r>
      <w:r w:rsidR="00681DF4">
        <w:rPr>
          <w:rFonts w:hint="cs"/>
          <w:rtl/>
          <w:lang w:bidi="ar-EG"/>
        </w:rPr>
        <w:t>اريع</w:t>
      </w:r>
      <w:r w:rsidR="00681DF4" w:rsidRPr="00A00AA4">
        <w:rPr>
          <w:rtl/>
          <w:lang w:bidi="ar-EG"/>
        </w:rPr>
        <w:t xml:space="preserve"> </w:t>
      </w:r>
      <w:r w:rsidR="00A00AA4" w:rsidRPr="00A00AA4">
        <w:rPr>
          <w:rtl/>
          <w:lang w:bidi="ar-EG"/>
        </w:rPr>
        <w:t xml:space="preserve">والأنشطة </w:t>
      </w:r>
      <w:r w:rsidR="00A00AA4" w:rsidRPr="00A00AA4">
        <w:rPr>
          <w:rFonts w:hint="cs"/>
          <w:rtl/>
          <w:lang w:bidi="ar-EG"/>
        </w:rPr>
        <w:t>التكميلية</w:t>
      </w:r>
      <w:r w:rsidR="009555BD">
        <w:rPr>
          <w:rFonts w:hint="cs"/>
          <w:rtl/>
        </w:rPr>
        <w:t xml:space="preserve"> </w:t>
      </w:r>
      <w:r w:rsidR="009555BD">
        <w:t>(PPSA)</w:t>
      </w:r>
      <w:r w:rsidR="00A00AA4" w:rsidRPr="00A00AA4">
        <w:rPr>
          <w:rFonts w:hint="cs"/>
          <w:rtl/>
          <w:lang w:bidi="ar-EG"/>
        </w:rPr>
        <w:t xml:space="preserve"> الممولة</w:t>
      </w:r>
      <w:r w:rsidR="00A00AA4" w:rsidRPr="00A00AA4">
        <w:rPr>
          <w:rtl/>
          <w:lang w:bidi="ar-EG"/>
        </w:rPr>
        <w:t xml:space="preserve"> من المساهمات </w:t>
      </w:r>
      <w:r w:rsidR="00A00AA4" w:rsidRPr="00A00AA4">
        <w:rPr>
          <w:rFonts w:hint="cs"/>
          <w:rtl/>
          <w:lang w:bidi="ar-EG"/>
        </w:rPr>
        <w:t xml:space="preserve">الطوعية </w:t>
      </w:r>
      <w:r w:rsidR="00BD3F29">
        <w:rPr>
          <w:lang w:bidi="ar-EG"/>
        </w:rPr>
        <w:t>(VC)</w:t>
      </w:r>
      <w:r w:rsidR="00BD3F29">
        <w:rPr>
          <w:rFonts w:hint="cs"/>
          <w:rtl/>
        </w:rPr>
        <w:t xml:space="preserve"> </w:t>
      </w:r>
      <w:r w:rsidR="00A00AA4" w:rsidRPr="00A00AA4">
        <w:rPr>
          <w:rFonts w:hint="cs"/>
          <w:rtl/>
          <w:lang w:bidi="ar-EG"/>
        </w:rPr>
        <w:t>والصناديق</w:t>
      </w:r>
      <w:r w:rsidR="00A00AA4" w:rsidRPr="00A00AA4">
        <w:rPr>
          <w:rtl/>
          <w:lang w:bidi="ar-EG"/>
        </w:rPr>
        <w:t xml:space="preserve"> </w:t>
      </w:r>
      <w:proofErr w:type="spellStart"/>
      <w:r w:rsidR="00A00AA4" w:rsidRPr="00A00AA4">
        <w:rPr>
          <w:rtl/>
          <w:lang w:bidi="ar-EG"/>
        </w:rPr>
        <w:t>الاستئمانية</w:t>
      </w:r>
      <w:proofErr w:type="spellEnd"/>
      <w:r w:rsidR="00BD3F29">
        <w:rPr>
          <w:rFonts w:hint="cs"/>
          <w:rtl/>
          <w:lang w:bidi="ar-EG"/>
        </w:rPr>
        <w:t xml:space="preserve"> </w:t>
      </w:r>
      <w:r w:rsidR="00BD3F29">
        <w:rPr>
          <w:lang w:bidi="ar-EG"/>
        </w:rPr>
        <w:t>(</w:t>
      </w:r>
      <w:proofErr w:type="spellStart"/>
      <w:r w:rsidR="00BD3F29">
        <w:rPr>
          <w:lang w:bidi="ar-EG"/>
        </w:rPr>
        <w:t>FiT</w:t>
      </w:r>
      <w:proofErr w:type="spellEnd"/>
      <w:r w:rsidR="00BD3F29">
        <w:rPr>
          <w:lang w:bidi="ar-EG"/>
        </w:rPr>
        <w:t>)</w:t>
      </w:r>
      <w:r w:rsidR="00A00AA4">
        <w:rPr>
          <w:rFonts w:hint="cs"/>
          <w:rtl/>
          <w:lang w:bidi="ar-EG"/>
        </w:rPr>
        <w:t xml:space="preserve">، </w:t>
      </w:r>
      <w:r w:rsidR="00681DF4">
        <w:rPr>
          <w:rFonts w:hint="cs"/>
          <w:rtl/>
          <w:lang w:bidi="ar-EG"/>
        </w:rPr>
        <w:t xml:space="preserve">وتغطي </w:t>
      </w:r>
      <w:r w:rsidR="00A00AA4">
        <w:rPr>
          <w:rFonts w:hint="cs"/>
          <w:rtl/>
          <w:lang w:bidi="ar-EG"/>
        </w:rPr>
        <w:t xml:space="preserve">المراجعة </w:t>
      </w:r>
      <w:r w:rsidR="00A00AA4" w:rsidRPr="00A00AA4">
        <w:rPr>
          <w:rtl/>
          <w:lang w:bidi="ar-EG"/>
        </w:rPr>
        <w:t xml:space="preserve">الفترة </w:t>
      </w:r>
      <w:r w:rsidR="00A00AA4">
        <w:rPr>
          <w:rFonts w:hint="cs"/>
          <w:rtl/>
          <w:lang w:bidi="ar-EG"/>
        </w:rPr>
        <w:t xml:space="preserve">الممتدة </w:t>
      </w:r>
      <w:r w:rsidR="00A00AA4" w:rsidRPr="00A00AA4">
        <w:rPr>
          <w:rtl/>
          <w:lang w:bidi="ar-EG"/>
        </w:rPr>
        <w:t xml:space="preserve">من يناير 2016 إلى ديسمبر 2020. ولم يشمل نطاق المراجعة </w:t>
      </w:r>
      <w:r w:rsidR="00681DF4" w:rsidRPr="00A00AA4">
        <w:rPr>
          <w:rtl/>
          <w:lang w:bidi="ar-EG"/>
        </w:rPr>
        <w:t>مش</w:t>
      </w:r>
      <w:r w:rsidR="00681DF4">
        <w:rPr>
          <w:rFonts w:hint="cs"/>
          <w:rtl/>
          <w:lang w:bidi="ar-EG"/>
        </w:rPr>
        <w:t>اريع</w:t>
      </w:r>
      <w:r w:rsidR="00681DF4" w:rsidRPr="00A00AA4">
        <w:rPr>
          <w:rtl/>
          <w:lang w:bidi="ar-EG"/>
        </w:rPr>
        <w:t xml:space="preserve"> </w:t>
      </w:r>
      <w:r w:rsidR="00A00AA4" w:rsidRPr="00A00AA4">
        <w:rPr>
          <w:rtl/>
          <w:lang w:bidi="ar-EG"/>
        </w:rPr>
        <w:t>مكتب تنمية الاتصالات (</w:t>
      </w:r>
      <w:r w:rsidR="00A00AA4">
        <w:rPr>
          <w:rFonts w:hint="cs"/>
          <w:rtl/>
          <w:lang w:bidi="ar-EG"/>
        </w:rPr>
        <w:t xml:space="preserve">التي تمت مراجعتها بالفعل </w:t>
      </w:r>
      <w:r w:rsidR="00A00AA4" w:rsidRPr="00A00AA4">
        <w:rPr>
          <w:rtl/>
          <w:lang w:bidi="ar-EG"/>
        </w:rPr>
        <w:t>خلال 2019/2020) وتليكوم العالمي للاتحاد.</w:t>
      </w:r>
    </w:p>
    <w:p w14:paraId="5AD44DE2" w14:textId="5774AD75" w:rsidR="00754CE5" w:rsidRDefault="00754CE5" w:rsidP="00AF715D">
      <w:pPr>
        <w:keepNext/>
        <w:keepLines/>
        <w:rPr>
          <w:rtl/>
          <w:lang w:bidi="ar-EG"/>
        </w:rPr>
      </w:pPr>
      <w:r>
        <w:rPr>
          <w:lang w:bidi="ar-EG"/>
        </w:rPr>
        <w:t>12</w:t>
      </w:r>
      <w:r>
        <w:rPr>
          <w:rtl/>
          <w:lang w:bidi="ar-EG"/>
        </w:rPr>
        <w:tab/>
      </w:r>
      <w:r w:rsidR="00B4554B">
        <w:rPr>
          <w:rFonts w:hint="cs"/>
          <w:rtl/>
          <w:lang w:bidi="ar-EG"/>
        </w:rPr>
        <w:t>و</w:t>
      </w:r>
      <w:r w:rsidRPr="00754CE5">
        <w:rPr>
          <w:rFonts w:hint="cs"/>
          <w:rtl/>
          <w:lang w:bidi="ar-EG"/>
        </w:rPr>
        <w:t xml:space="preserve">خلصت وحدة المراجعة الداخلية إلى الاستنتاجات التالية </w:t>
      </w:r>
      <w:r w:rsidRPr="00754CE5">
        <w:rPr>
          <w:rtl/>
          <w:lang w:bidi="ar-EG"/>
        </w:rPr>
        <w:t>بشأن عدد من المسائل</w:t>
      </w:r>
      <w:r w:rsidRPr="00754CE5">
        <w:rPr>
          <w:rFonts w:hint="cs"/>
          <w:rtl/>
          <w:lang w:bidi="ar-EG"/>
        </w:rPr>
        <w:t>، باعتبارها مسائل حاسمة (الفقرة</w:t>
      </w:r>
      <w:r w:rsidR="00AF715D">
        <w:rPr>
          <w:rFonts w:hint="eastAsia"/>
          <w:rtl/>
          <w:lang w:bidi="ar-EG"/>
        </w:rPr>
        <w:t> </w:t>
      </w:r>
      <w:r w:rsidRPr="00754CE5">
        <w:rPr>
          <w:rFonts w:hint="cs"/>
          <w:rtl/>
          <w:lang w:bidi="ar-EG"/>
        </w:rPr>
        <w:t>أ) أدناه) وذات أولوية عالية (الفقرة ب) أدناه):</w:t>
      </w:r>
    </w:p>
    <w:p w14:paraId="1F26D7FE" w14:textId="3A43082E" w:rsidR="00754CE5" w:rsidRDefault="00754CE5" w:rsidP="001E4945">
      <w:pPr>
        <w:pStyle w:val="enumlev1"/>
        <w:rPr>
          <w:rtl/>
        </w:rPr>
      </w:pP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أ </w:t>
      </w:r>
      <w:r w:rsidR="00AF715D">
        <w:rPr>
          <w:rFonts w:hint="cs"/>
          <w:rtl/>
        </w:rPr>
        <w:t>)</w:t>
      </w:r>
      <w:proofErr w:type="gramEnd"/>
      <w:r>
        <w:rPr>
          <w:rtl/>
        </w:rPr>
        <w:tab/>
      </w:r>
      <w:r w:rsidR="00B4554B">
        <w:rPr>
          <w:rFonts w:hint="cs"/>
          <w:rtl/>
        </w:rPr>
        <w:t xml:space="preserve">على الرغم من </w:t>
      </w:r>
      <w:r w:rsidR="00681DF4">
        <w:rPr>
          <w:rFonts w:hint="cs"/>
          <w:rtl/>
        </w:rPr>
        <w:t xml:space="preserve">أهمية </w:t>
      </w:r>
      <w:r w:rsidR="008C1118" w:rsidRPr="008C1118">
        <w:rPr>
          <w:rtl/>
        </w:rPr>
        <w:t xml:space="preserve">الانخراط مع مانحين وشركاء جدد للمساهمة في تحقيق أهداف </w:t>
      </w:r>
      <w:r w:rsidR="00B4554B">
        <w:rPr>
          <w:rFonts w:hint="cs"/>
          <w:rtl/>
          <w:lang w:bidi="ar-EG"/>
        </w:rPr>
        <w:t>ال</w:t>
      </w:r>
      <w:r w:rsidR="00B4554B" w:rsidRPr="00A00AA4">
        <w:rPr>
          <w:rtl/>
          <w:lang w:bidi="ar-EG"/>
        </w:rPr>
        <w:t xml:space="preserve">برامج </w:t>
      </w:r>
      <w:r w:rsidR="00681DF4" w:rsidRPr="00A00AA4">
        <w:rPr>
          <w:rtl/>
          <w:lang w:bidi="ar-EG"/>
        </w:rPr>
        <w:t>والمش</w:t>
      </w:r>
      <w:r w:rsidR="00681DF4">
        <w:rPr>
          <w:rFonts w:hint="cs"/>
          <w:rtl/>
          <w:lang w:bidi="ar-EG"/>
        </w:rPr>
        <w:t xml:space="preserve">اريع </w:t>
      </w:r>
      <w:r w:rsidR="00B4554B" w:rsidRPr="00A00AA4">
        <w:rPr>
          <w:rtl/>
          <w:lang w:bidi="ar-EG"/>
        </w:rPr>
        <w:t xml:space="preserve">والأنشطة </w:t>
      </w:r>
      <w:r w:rsidR="00B4554B" w:rsidRPr="00A00AA4">
        <w:rPr>
          <w:rFonts w:hint="cs"/>
          <w:rtl/>
          <w:lang w:bidi="ar-EG"/>
        </w:rPr>
        <w:t>التكميلية</w:t>
      </w:r>
      <w:r w:rsidR="008C1118" w:rsidRPr="008C1118">
        <w:rPr>
          <w:rtl/>
        </w:rPr>
        <w:t xml:space="preserve">، </w:t>
      </w:r>
      <w:r w:rsidR="00B4554B">
        <w:rPr>
          <w:rFonts w:hint="cs"/>
          <w:rtl/>
        </w:rPr>
        <w:t xml:space="preserve">فإن </w:t>
      </w:r>
      <w:r w:rsidR="008C1118" w:rsidRPr="008C1118">
        <w:rPr>
          <w:rtl/>
        </w:rPr>
        <w:t>هناك خطر</w:t>
      </w:r>
      <w:r w:rsidR="00214A51">
        <w:rPr>
          <w:rFonts w:hint="cs"/>
          <w:rtl/>
        </w:rPr>
        <w:t>اً يتمثل في تعرض</w:t>
      </w:r>
      <w:r w:rsidR="008C1118" w:rsidRPr="008C1118">
        <w:rPr>
          <w:rtl/>
        </w:rPr>
        <w:t xml:space="preserve"> الاتحاد لمانحين جدد من القطاع الخاص قد لا تتماشى مصالحهم مع</w:t>
      </w:r>
      <w:r w:rsidR="001E4945">
        <w:rPr>
          <w:rFonts w:hint="cs"/>
          <w:rtl/>
        </w:rPr>
        <w:t> </w:t>
      </w:r>
      <w:r w:rsidR="008C1118" w:rsidRPr="008C1118">
        <w:rPr>
          <w:rtl/>
        </w:rPr>
        <w:t>مصالح</w:t>
      </w:r>
      <w:r w:rsidR="00B4554B">
        <w:rPr>
          <w:rFonts w:hint="cs"/>
          <w:rtl/>
        </w:rPr>
        <w:t>ه</w:t>
      </w:r>
      <w:r w:rsidR="008C1118" w:rsidRPr="008C1118">
        <w:rPr>
          <w:rtl/>
        </w:rPr>
        <w:t xml:space="preserve">. </w:t>
      </w:r>
      <w:r w:rsidR="00681DF4">
        <w:rPr>
          <w:rFonts w:hint="cs"/>
          <w:rtl/>
        </w:rPr>
        <w:t>وبالتالي</w:t>
      </w:r>
      <w:r w:rsidR="00B4554B">
        <w:rPr>
          <w:rFonts w:hint="cs"/>
          <w:rtl/>
        </w:rPr>
        <w:t>،</w:t>
      </w:r>
      <w:r w:rsidR="008C1118" w:rsidRPr="008C1118">
        <w:rPr>
          <w:rtl/>
        </w:rPr>
        <w:t xml:space="preserve"> </w:t>
      </w:r>
      <w:r w:rsidR="008C1118" w:rsidRPr="008C1118">
        <w:rPr>
          <w:rtl/>
          <w:lang w:bidi="ar-EG"/>
        </w:rPr>
        <w:t>من</w:t>
      </w:r>
      <w:r w:rsidR="008C1118" w:rsidRPr="008C1118">
        <w:rPr>
          <w:rtl/>
        </w:rPr>
        <w:t xml:space="preserve"> الضروري إجراء فحوصات العناية الواجبة وتوثيقها قبل قبول </w:t>
      </w:r>
      <w:r w:rsidR="003A3252">
        <w:rPr>
          <w:rFonts w:hint="cs"/>
          <w:rtl/>
        </w:rPr>
        <w:t xml:space="preserve">أي </w:t>
      </w:r>
      <w:r w:rsidR="008C1118" w:rsidRPr="008C1118">
        <w:rPr>
          <w:rtl/>
        </w:rPr>
        <w:t xml:space="preserve">مساهمة من مانحين جدد. </w:t>
      </w:r>
      <w:r w:rsidR="00B4554B">
        <w:rPr>
          <w:rFonts w:hint="cs"/>
          <w:rtl/>
        </w:rPr>
        <w:t xml:space="preserve">وبالتالي، تمت </w:t>
      </w:r>
      <w:r w:rsidR="00B4554B" w:rsidRPr="001E4945">
        <w:rPr>
          <w:rFonts w:hint="cs"/>
          <w:u w:val="single"/>
          <w:rtl/>
        </w:rPr>
        <w:t>التوصية</w:t>
      </w:r>
      <w:r w:rsidR="008C1118" w:rsidRPr="008C1118">
        <w:rPr>
          <w:rtl/>
        </w:rPr>
        <w:t xml:space="preserve"> بأن </w:t>
      </w:r>
      <w:r w:rsidR="00B4554B">
        <w:rPr>
          <w:rFonts w:hint="cs"/>
          <w:rtl/>
        </w:rPr>
        <w:t>تُنسق</w:t>
      </w:r>
      <w:r w:rsidR="008C1118" w:rsidRPr="008C1118">
        <w:rPr>
          <w:rtl/>
        </w:rPr>
        <w:t xml:space="preserve"> </w:t>
      </w:r>
      <w:r w:rsidR="003A3252">
        <w:rPr>
          <w:rFonts w:hint="cs"/>
          <w:rtl/>
        </w:rPr>
        <w:t xml:space="preserve">فحوصات </w:t>
      </w:r>
      <w:r w:rsidR="008C1118" w:rsidRPr="008C1118">
        <w:rPr>
          <w:rtl/>
        </w:rPr>
        <w:t>العناية</w:t>
      </w:r>
      <w:r w:rsidR="00B4554B">
        <w:rPr>
          <w:rFonts w:hint="cs"/>
          <w:rtl/>
        </w:rPr>
        <w:t xml:space="preserve"> </w:t>
      </w:r>
      <w:r w:rsidR="00B4554B" w:rsidRPr="008C1118">
        <w:rPr>
          <w:rtl/>
        </w:rPr>
        <w:t>الواجبة</w:t>
      </w:r>
      <w:r w:rsidR="008C1118" w:rsidRPr="008C1118">
        <w:rPr>
          <w:rtl/>
        </w:rPr>
        <w:t xml:space="preserve"> الرسمية للمانحين/الشركاء الجدد بين المديرين المعنيين. وعلقت </w:t>
      </w:r>
      <w:r w:rsidR="00452DF3">
        <w:rPr>
          <w:rFonts w:hint="cs"/>
          <w:rtl/>
        </w:rPr>
        <w:t>دائرة</w:t>
      </w:r>
      <w:r w:rsidR="008C1118" w:rsidRPr="008C1118">
        <w:rPr>
          <w:rtl/>
        </w:rPr>
        <w:t xml:space="preserve"> التخطيط الاستراتيجي </w:t>
      </w:r>
      <w:r w:rsidR="00452DF3">
        <w:rPr>
          <w:rFonts w:hint="cs"/>
          <w:rtl/>
        </w:rPr>
        <w:t>وشؤون الأعضاء</w:t>
      </w:r>
      <w:r w:rsidR="008C1118" w:rsidRPr="008C1118">
        <w:rPr>
          <w:rtl/>
        </w:rPr>
        <w:t xml:space="preserve"> على وجه التحديد بأنها يمكن أن تضطلع بدور </w:t>
      </w:r>
      <w:r w:rsidR="00452DF3">
        <w:rPr>
          <w:rFonts w:hint="cs"/>
          <w:rtl/>
        </w:rPr>
        <w:t>تنسيقي</w:t>
      </w:r>
      <w:r w:rsidR="008C1118" w:rsidRPr="008C1118">
        <w:rPr>
          <w:rtl/>
        </w:rPr>
        <w:t xml:space="preserve"> </w:t>
      </w:r>
      <w:r w:rsidR="00452DF3">
        <w:rPr>
          <w:rFonts w:hint="cs"/>
          <w:rtl/>
        </w:rPr>
        <w:t xml:space="preserve">على مستوى الاتحاد </w:t>
      </w:r>
      <w:r w:rsidR="003A3252">
        <w:rPr>
          <w:rFonts w:hint="cs"/>
          <w:rtl/>
        </w:rPr>
        <w:t>فيما يتعلق</w:t>
      </w:r>
      <w:r w:rsidR="00452DF3">
        <w:rPr>
          <w:rFonts w:hint="cs"/>
          <w:rtl/>
        </w:rPr>
        <w:t xml:space="preserve"> ب</w:t>
      </w:r>
      <w:r w:rsidR="003A3252">
        <w:rPr>
          <w:rFonts w:hint="cs"/>
          <w:rtl/>
        </w:rPr>
        <w:t xml:space="preserve">فحوصات </w:t>
      </w:r>
      <w:r w:rsidR="008C1118" w:rsidRPr="008C1118">
        <w:rPr>
          <w:rtl/>
        </w:rPr>
        <w:t>العناية الواجبة وقد بدأت</w:t>
      </w:r>
      <w:r w:rsidR="00452DF3">
        <w:rPr>
          <w:rFonts w:hint="cs"/>
          <w:rtl/>
        </w:rPr>
        <w:t xml:space="preserve"> فعلاً</w:t>
      </w:r>
      <w:r w:rsidR="008C1118" w:rsidRPr="008C1118">
        <w:rPr>
          <w:rtl/>
        </w:rPr>
        <w:t xml:space="preserve"> العمل على ذلك.</w:t>
      </w:r>
    </w:p>
    <w:p w14:paraId="3366AA81" w14:textId="56CF9950" w:rsidR="00754CE5" w:rsidRDefault="00754CE5" w:rsidP="001E4945">
      <w:pPr>
        <w:pStyle w:val="enumlev1"/>
        <w:rPr>
          <w:rtl/>
        </w:rPr>
      </w:pPr>
      <w:r>
        <w:rPr>
          <w:rFonts w:hint="cs"/>
          <w:rtl/>
        </w:rPr>
        <w:t>ب</w:t>
      </w:r>
      <w:r w:rsidR="00AF715D">
        <w:rPr>
          <w:rFonts w:hint="cs"/>
          <w:rtl/>
        </w:rPr>
        <w:t>)</w:t>
      </w:r>
      <w:r>
        <w:rPr>
          <w:rtl/>
        </w:rPr>
        <w:tab/>
      </w:r>
      <w:r w:rsidR="00452DF3">
        <w:rPr>
          <w:rFonts w:hint="cs"/>
          <w:rtl/>
        </w:rPr>
        <w:t>و</w:t>
      </w:r>
      <w:r w:rsidR="008C1118" w:rsidRPr="008C1118">
        <w:rPr>
          <w:rtl/>
        </w:rPr>
        <w:t xml:space="preserve">فيما يتعلق بالتمييز بين </w:t>
      </w:r>
      <w:r w:rsidR="00452DF3">
        <w:rPr>
          <w:rFonts w:hint="cs"/>
          <w:rtl/>
        </w:rPr>
        <w:t>المساهمات الطوعية</w:t>
      </w:r>
      <w:r w:rsidR="008C1118" w:rsidRPr="008C1118">
        <w:rPr>
          <w:rtl/>
        </w:rPr>
        <w:t xml:space="preserve"> </w:t>
      </w:r>
      <w:r w:rsidR="003F752C" w:rsidRPr="00A00AA4">
        <w:rPr>
          <w:rFonts w:hint="cs"/>
          <w:rtl/>
          <w:lang w:bidi="ar-EG"/>
        </w:rPr>
        <w:t>والصناديق</w:t>
      </w:r>
      <w:r w:rsidR="003F752C" w:rsidRPr="00A00AA4">
        <w:rPr>
          <w:rtl/>
          <w:lang w:bidi="ar-EG"/>
        </w:rPr>
        <w:t xml:space="preserve"> </w:t>
      </w:r>
      <w:proofErr w:type="spellStart"/>
      <w:r w:rsidR="003F752C" w:rsidRPr="00A00AA4">
        <w:rPr>
          <w:rtl/>
          <w:lang w:bidi="ar-EG"/>
        </w:rPr>
        <w:t>الاستئمانية</w:t>
      </w:r>
      <w:proofErr w:type="spellEnd"/>
      <w:r w:rsidR="008C1118" w:rsidRPr="008C1118">
        <w:rPr>
          <w:rtl/>
        </w:rPr>
        <w:t xml:space="preserve">، وتعريف </w:t>
      </w:r>
      <w:r w:rsidR="009F55C5" w:rsidRPr="008C1118">
        <w:rPr>
          <w:rFonts w:hint="cs"/>
          <w:rtl/>
        </w:rPr>
        <w:t>الأنشطة،</w:t>
      </w:r>
      <w:r w:rsidR="008C1118" w:rsidRPr="008C1118">
        <w:rPr>
          <w:rtl/>
        </w:rPr>
        <w:t xml:space="preserve"> فقد تم استخدام </w:t>
      </w:r>
      <w:r w:rsidR="009F55C5">
        <w:rPr>
          <w:rFonts w:hint="cs"/>
          <w:rtl/>
        </w:rPr>
        <w:t>كل من هذه المساهمات والصناديق</w:t>
      </w:r>
      <w:r w:rsidR="008C1118" w:rsidRPr="008C1118">
        <w:rPr>
          <w:rtl/>
        </w:rPr>
        <w:t xml:space="preserve"> بعدة طر</w:t>
      </w:r>
      <w:r w:rsidR="009F55C5">
        <w:rPr>
          <w:rFonts w:hint="cs"/>
          <w:rtl/>
        </w:rPr>
        <w:t>ائ</w:t>
      </w:r>
      <w:r w:rsidR="008C1118" w:rsidRPr="008C1118">
        <w:rPr>
          <w:rtl/>
        </w:rPr>
        <w:t xml:space="preserve">ق، من تمويل الميزانية العادية والأنشطة الخارجة عن </w:t>
      </w:r>
      <w:r w:rsidR="009F55C5" w:rsidRPr="008C1118">
        <w:rPr>
          <w:rFonts w:hint="cs"/>
          <w:rtl/>
        </w:rPr>
        <w:t>الميزانية،</w:t>
      </w:r>
      <w:r w:rsidR="008C1118" w:rsidRPr="008C1118">
        <w:rPr>
          <w:rtl/>
        </w:rPr>
        <w:t xml:space="preserve"> </w:t>
      </w:r>
      <w:r w:rsidR="003A3252">
        <w:rPr>
          <w:rFonts w:hint="cs"/>
          <w:rtl/>
        </w:rPr>
        <w:t xml:space="preserve">وصولاً </w:t>
      </w:r>
      <w:r w:rsidR="008C1118" w:rsidRPr="008C1118">
        <w:rPr>
          <w:rtl/>
        </w:rPr>
        <w:t xml:space="preserve">إلى كونها آلية محاسبية مرنة </w:t>
      </w:r>
      <w:r w:rsidR="008C1118" w:rsidRPr="008C1118">
        <w:rPr>
          <w:rtl/>
          <w:lang w:bidi="ar-EG"/>
        </w:rPr>
        <w:t>للسماح</w:t>
      </w:r>
      <w:r w:rsidR="008C1118" w:rsidRPr="008C1118">
        <w:rPr>
          <w:rtl/>
        </w:rPr>
        <w:t xml:space="preserve"> باستخدام الأموال بغض النظر عن أهداف </w:t>
      </w:r>
      <w:r w:rsidR="00D11732" w:rsidRPr="008C1118">
        <w:rPr>
          <w:rtl/>
        </w:rPr>
        <w:t>البر</w:t>
      </w:r>
      <w:r w:rsidR="00D11732">
        <w:rPr>
          <w:rFonts w:hint="cs"/>
          <w:rtl/>
        </w:rPr>
        <w:t>امج</w:t>
      </w:r>
      <w:r w:rsidR="00D11732" w:rsidRPr="008C1118">
        <w:rPr>
          <w:rtl/>
        </w:rPr>
        <w:t xml:space="preserve"> </w:t>
      </w:r>
      <w:r w:rsidR="008C1118" w:rsidRPr="008C1118">
        <w:rPr>
          <w:rtl/>
        </w:rPr>
        <w:t xml:space="preserve">أو الأنشطة أو الميزانيات المخصصة. </w:t>
      </w:r>
      <w:r w:rsidR="009F55C5">
        <w:rPr>
          <w:rFonts w:hint="cs"/>
          <w:rtl/>
        </w:rPr>
        <w:t>و</w:t>
      </w:r>
      <w:r w:rsidR="008C1118" w:rsidRPr="008C1118">
        <w:rPr>
          <w:rtl/>
        </w:rPr>
        <w:t>هناك أيض</w:t>
      </w:r>
      <w:r w:rsidR="00806EB3">
        <w:rPr>
          <w:rFonts w:hint="cs"/>
          <w:rtl/>
        </w:rPr>
        <w:t>اً</w:t>
      </w:r>
      <w:r w:rsidR="008C1118" w:rsidRPr="008C1118">
        <w:rPr>
          <w:rtl/>
        </w:rPr>
        <w:t xml:space="preserve"> تعريف/فهم غير واضح للأدوار والمسؤوليات</w:t>
      </w:r>
      <w:r w:rsidR="00761A17">
        <w:rPr>
          <w:rFonts w:hint="cs"/>
          <w:rtl/>
        </w:rPr>
        <w:t>،</w:t>
      </w:r>
      <w:r w:rsidR="008C1118" w:rsidRPr="008C1118">
        <w:rPr>
          <w:rtl/>
        </w:rPr>
        <w:t xml:space="preserve"> وقد يؤدي عدم </w:t>
      </w:r>
      <w:r w:rsidR="00D11732">
        <w:rPr>
          <w:rFonts w:hint="cs"/>
          <w:rtl/>
        </w:rPr>
        <w:t>ملاءمة</w:t>
      </w:r>
      <w:r w:rsidR="00D11732" w:rsidRPr="008C1118">
        <w:rPr>
          <w:rtl/>
        </w:rPr>
        <w:t xml:space="preserve"> </w:t>
      </w:r>
      <w:r w:rsidR="008C1118" w:rsidRPr="008C1118">
        <w:rPr>
          <w:rtl/>
        </w:rPr>
        <w:t>الهيكل التنظيمي والوضوح في</w:t>
      </w:r>
      <w:r w:rsidR="001E4945">
        <w:rPr>
          <w:rFonts w:hint="cs"/>
          <w:rtl/>
        </w:rPr>
        <w:t> </w:t>
      </w:r>
      <w:r w:rsidR="008C1118" w:rsidRPr="008C1118">
        <w:rPr>
          <w:rtl/>
        </w:rPr>
        <w:t xml:space="preserve">الأدوار والمسؤوليات إلى إعاقة الاتحاد </w:t>
      </w:r>
      <w:r w:rsidR="00D11732">
        <w:rPr>
          <w:rFonts w:hint="cs"/>
          <w:rtl/>
        </w:rPr>
        <w:t>فيما يتعلق</w:t>
      </w:r>
      <w:r w:rsidR="008C1118" w:rsidRPr="008C1118">
        <w:rPr>
          <w:rtl/>
        </w:rPr>
        <w:t xml:space="preserve"> </w:t>
      </w:r>
      <w:r w:rsidR="00761A17">
        <w:rPr>
          <w:rFonts w:hint="cs"/>
          <w:rtl/>
        </w:rPr>
        <w:t>ب</w:t>
      </w:r>
      <w:r w:rsidR="008C1118" w:rsidRPr="008C1118">
        <w:rPr>
          <w:rtl/>
        </w:rPr>
        <w:t xml:space="preserve">تحقيق أهدافه من خلال </w:t>
      </w:r>
      <w:r w:rsidR="00761A17">
        <w:rPr>
          <w:rFonts w:hint="cs"/>
          <w:rtl/>
          <w:lang w:bidi="ar-EG"/>
        </w:rPr>
        <w:t>ال</w:t>
      </w:r>
      <w:r w:rsidR="00761A17" w:rsidRPr="00A00AA4">
        <w:rPr>
          <w:rtl/>
          <w:lang w:bidi="ar-EG"/>
        </w:rPr>
        <w:t xml:space="preserve">برامج </w:t>
      </w:r>
      <w:r w:rsidR="00D11732" w:rsidRPr="00A00AA4">
        <w:rPr>
          <w:rtl/>
          <w:lang w:bidi="ar-EG"/>
        </w:rPr>
        <w:t>والمش</w:t>
      </w:r>
      <w:r w:rsidR="00D11732">
        <w:rPr>
          <w:rFonts w:hint="cs"/>
          <w:rtl/>
          <w:lang w:bidi="ar-EG"/>
        </w:rPr>
        <w:t>اريع</w:t>
      </w:r>
      <w:r w:rsidR="00D11732" w:rsidRPr="00A00AA4">
        <w:rPr>
          <w:rtl/>
          <w:lang w:bidi="ar-EG"/>
        </w:rPr>
        <w:t xml:space="preserve"> </w:t>
      </w:r>
      <w:r w:rsidR="00761A17" w:rsidRPr="00A00AA4">
        <w:rPr>
          <w:rtl/>
          <w:lang w:bidi="ar-EG"/>
        </w:rPr>
        <w:t xml:space="preserve">والأنشطة </w:t>
      </w:r>
      <w:r w:rsidR="00761A17" w:rsidRPr="00A00AA4">
        <w:rPr>
          <w:rFonts w:hint="cs"/>
          <w:rtl/>
          <w:lang w:bidi="ar-EG"/>
        </w:rPr>
        <w:t>التكميلية</w:t>
      </w:r>
      <w:r w:rsidR="008C1118" w:rsidRPr="008C1118">
        <w:rPr>
          <w:rtl/>
        </w:rPr>
        <w:t xml:space="preserve">. </w:t>
      </w:r>
      <w:r w:rsidR="00761A17">
        <w:rPr>
          <w:rFonts w:hint="cs"/>
          <w:rtl/>
        </w:rPr>
        <w:t>و</w:t>
      </w:r>
      <w:r w:rsidR="008C1118" w:rsidRPr="008C1118">
        <w:rPr>
          <w:rtl/>
        </w:rPr>
        <w:t xml:space="preserve">تمت </w:t>
      </w:r>
      <w:r w:rsidR="008C1118" w:rsidRPr="001824B9">
        <w:rPr>
          <w:u w:val="single"/>
          <w:rtl/>
        </w:rPr>
        <w:t>التوصية</w:t>
      </w:r>
      <w:r w:rsidR="008C1118" w:rsidRPr="008C1118">
        <w:rPr>
          <w:rtl/>
        </w:rPr>
        <w:t xml:space="preserve"> باعتماد </w:t>
      </w:r>
      <w:r w:rsidR="00761A17">
        <w:rPr>
          <w:rFonts w:hint="cs"/>
          <w:rtl/>
        </w:rPr>
        <w:t xml:space="preserve">توجيهات </w:t>
      </w:r>
      <w:proofErr w:type="spellStart"/>
      <w:r w:rsidR="00761A17">
        <w:rPr>
          <w:rFonts w:hint="cs"/>
          <w:rtl/>
        </w:rPr>
        <w:t>سياساتية</w:t>
      </w:r>
      <w:proofErr w:type="spellEnd"/>
      <w:r w:rsidR="008C1118" w:rsidRPr="008C1118">
        <w:rPr>
          <w:rtl/>
        </w:rPr>
        <w:t xml:space="preserve"> مفصلة </w:t>
      </w:r>
      <w:r w:rsidR="00761A17">
        <w:rPr>
          <w:rFonts w:hint="cs"/>
          <w:rtl/>
        </w:rPr>
        <w:t>بشأن</w:t>
      </w:r>
      <w:r w:rsidR="008C1118" w:rsidRPr="008C1118">
        <w:rPr>
          <w:rtl/>
        </w:rPr>
        <w:t xml:space="preserve"> </w:t>
      </w:r>
      <w:r w:rsidR="00761A17">
        <w:rPr>
          <w:rFonts w:hint="cs"/>
          <w:rtl/>
        </w:rPr>
        <w:t>المساهمات الطوعية</w:t>
      </w:r>
      <w:r w:rsidR="00761A17" w:rsidRPr="008C1118">
        <w:rPr>
          <w:rtl/>
        </w:rPr>
        <w:t xml:space="preserve"> </w:t>
      </w:r>
      <w:r w:rsidR="00761A17" w:rsidRPr="00A00AA4">
        <w:rPr>
          <w:rFonts w:hint="cs"/>
          <w:rtl/>
          <w:lang w:bidi="ar-EG"/>
        </w:rPr>
        <w:t>والصناديق</w:t>
      </w:r>
      <w:r w:rsidR="00761A17" w:rsidRPr="00A00AA4">
        <w:rPr>
          <w:rtl/>
          <w:lang w:bidi="ar-EG"/>
        </w:rPr>
        <w:t xml:space="preserve"> </w:t>
      </w:r>
      <w:proofErr w:type="spellStart"/>
      <w:r w:rsidR="00761A17" w:rsidRPr="00A00AA4">
        <w:rPr>
          <w:rtl/>
          <w:lang w:bidi="ar-EG"/>
        </w:rPr>
        <w:t>الاستئمانية</w:t>
      </w:r>
      <w:proofErr w:type="spellEnd"/>
      <w:r w:rsidR="00761A17" w:rsidRPr="008C1118">
        <w:rPr>
          <w:rtl/>
        </w:rPr>
        <w:t xml:space="preserve"> </w:t>
      </w:r>
      <w:r w:rsidR="008C1118" w:rsidRPr="008C1118">
        <w:rPr>
          <w:rtl/>
        </w:rPr>
        <w:t xml:space="preserve">وتوضيح الأدوار والمسؤوليات المتعلقة </w:t>
      </w:r>
      <w:r w:rsidR="00761A17">
        <w:rPr>
          <w:rFonts w:hint="cs"/>
          <w:rtl/>
        </w:rPr>
        <w:t>بأوجه الإدارة</w:t>
      </w:r>
      <w:r w:rsidR="008C1118" w:rsidRPr="008C1118">
        <w:rPr>
          <w:rtl/>
        </w:rPr>
        <w:t xml:space="preserve"> والضوابط الإدارية والتشغيلية.</w:t>
      </w:r>
    </w:p>
    <w:p w14:paraId="20CE155F" w14:textId="64627E67" w:rsidR="00761A17" w:rsidRDefault="00012B0F" w:rsidP="00012B0F">
      <w:pPr>
        <w:rPr>
          <w:rtl/>
        </w:rPr>
      </w:pPr>
      <w:r>
        <w:rPr>
          <w:rFonts w:hint="cs"/>
          <w:rtl/>
          <w:lang w:bidi="ar-SY"/>
        </w:rPr>
        <w:lastRenderedPageBreak/>
        <w:t xml:space="preserve">وإلى جانب </w:t>
      </w:r>
      <w:r w:rsidR="00806EB3">
        <w:rPr>
          <w:rFonts w:hint="cs"/>
          <w:rtl/>
          <w:lang w:bidi="ar-SY"/>
        </w:rPr>
        <w:t>ذلك</w:t>
      </w:r>
      <w:r w:rsidR="00761A17">
        <w:rPr>
          <w:rtl/>
          <w:lang w:bidi="ar-SY"/>
        </w:rPr>
        <w:t xml:space="preserve">، </w:t>
      </w:r>
      <w:r w:rsidR="00D11732">
        <w:rPr>
          <w:rFonts w:hint="cs"/>
          <w:rtl/>
          <w:lang w:bidi="ar-SY"/>
        </w:rPr>
        <w:t xml:space="preserve">فإنه في </w:t>
      </w:r>
      <w:r>
        <w:rPr>
          <w:rFonts w:hint="cs"/>
          <w:rtl/>
          <w:lang w:bidi="ar-SY"/>
        </w:rPr>
        <w:t xml:space="preserve">حال عدم وجود </w:t>
      </w:r>
      <w:r w:rsidR="00761A17">
        <w:rPr>
          <w:rtl/>
          <w:lang w:bidi="ar-SY"/>
        </w:rPr>
        <w:t xml:space="preserve">منهجية مناسبة </w:t>
      </w:r>
      <w:r w:rsidR="00275519">
        <w:rPr>
          <w:rFonts w:hint="cs"/>
          <w:rtl/>
          <w:lang w:bidi="ar-SY"/>
        </w:rPr>
        <w:t>للمشروع،</w:t>
      </w:r>
      <w:r w:rsidR="00761A17">
        <w:rPr>
          <w:rtl/>
          <w:lang w:bidi="ar-SY"/>
        </w:rPr>
        <w:t xml:space="preserve"> </w:t>
      </w:r>
      <w:r w:rsidR="00275519">
        <w:rPr>
          <w:rFonts w:hint="cs"/>
          <w:rtl/>
          <w:lang w:bidi="ar-SY"/>
        </w:rPr>
        <w:t xml:space="preserve">فإن </w:t>
      </w:r>
      <w:r w:rsidR="00D11732">
        <w:rPr>
          <w:rFonts w:hint="cs"/>
          <w:rtl/>
          <w:lang w:bidi="ar-SY"/>
        </w:rPr>
        <w:t>ال</w:t>
      </w:r>
      <w:r w:rsidR="00275519">
        <w:rPr>
          <w:rFonts w:hint="cs"/>
          <w:rtl/>
          <w:lang w:bidi="ar-SY"/>
        </w:rPr>
        <w:t xml:space="preserve">نتائج </w:t>
      </w:r>
      <w:r w:rsidR="00D11732">
        <w:rPr>
          <w:rFonts w:hint="cs"/>
          <w:rtl/>
          <w:lang w:bidi="ar-SY"/>
        </w:rPr>
        <w:t>المرجوة من المشروع</w:t>
      </w:r>
      <w:r w:rsidR="00761A17">
        <w:rPr>
          <w:rtl/>
          <w:lang w:bidi="ar-SY"/>
        </w:rPr>
        <w:t xml:space="preserve"> معرضة لخطر عدم </w:t>
      </w:r>
      <w:r w:rsidR="00275519">
        <w:rPr>
          <w:rFonts w:hint="cs"/>
          <w:rtl/>
          <w:lang w:bidi="ar-SY"/>
        </w:rPr>
        <w:t>التحقيق</w:t>
      </w:r>
      <w:r w:rsidR="00761A17">
        <w:rPr>
          <w:rtl/>
          <w:lang w:bidi="ar-SY"/>
        </w:rPr>
        <w:t xml:space="preserve">. </w:t>
      </w:r>
      <w:r w:rsidR="00275519">
        <w:rPr>
          <w:rFonts w:hint="cs"/>
          <w:rtl/>
          <w:lang w:bidi="ar-SY"/>
        </w:rPr>
        <w:t>و</w:t>
      </w:r>
      <w:r w:rsidR="00761A17">
        <w:rPr>
          <w:rtl/>
          <w:lang w:bidi="ar-SY"/>
        </w:rPr>
        <w:t>علاوة</w:t>
      </w:r>
      <w:r w:rsidR="00275519">
        <w:rPr>
          <w:rFonts w:hint="cs"/>
          <w:rtl/>
          <w:lang w:bidi="ar-SY"/>
        </w:rPr>
        <w:t>ً</w:t>
      </w:r>
      <w:r w:rsidR="00761A17">
        <w:rPr>
          <w:rtl/>
          <w:lang w:bidi="ar-SY"/>
        </w:rPr>
        <w:t xml:space="preserve"> على ذلك، قد يؤثر </w:t>
      </w:r>
      <w:r w:rsidR="00E9798E">
        <w:rPr>
          <w:rFonts w:hint="cs"/>
          <w:rtl/>
          <w:lang w:bidi="ar-SY"/>
        </w:rPr>
        <w:t>الإخفاق</w:t>
      </w:r>
      <w:r w:rsidR="00761A17">
        <w:rPr>
          <w:rtl/>
          <w:lang w:bidi="ar-SY"/>
        </w:rPr>
        <w:t xml:space="preserve"> في معالجة </w:t>
      </w:r>
      <w:r w:rsidR="00E9798E">
        <w:rPr>
          <w:rFonts w:hint="cs"/>
          <w:rtl/>
          <w:lang w:bidi="ar-SY"/>
        </w:rPr>
        <w:t>مواطن</w:t>
      </w:r>
      <w:r w:rsidR="00761A17">
        <w:rPr>
          <w:rtl/>
          <w:lang w:bidi="ar-SY"/>
        </w:rPr>
        <w:t xml:space="preserve"> الضعف في تصميم المشروع وتحديات التنفيذ اللاحقة </w:t>
      </w:r>
      <w:r w:rsidR="005B188F">
        <w:rPr>
          <w:rFonts w:hint="cs"/>
          <w:rtl/>
          <w:lang w:bidi="ar-SY"/>
        </w:rPr>
        <w:t>بشكل سلبي</w:t>
      </w:r>
      <w:r w:rsidR="00761A17">
        <w:rPr>
          <w:rtl/>
          <w:lang w:bidi="ar-SY"/>
        </w:rPr>
        <w:t xml:space="preserve"> على تحقيق أهداف المشروع. </w:t>
      </w:r>
      <w:r w:rsidR="005B188F">
        <w:rPr>
          <w:rFonts w:hint="cs"/>
          <w:rtl/>
          <w:lang w:bidi="ar-SY"/>
        </w:rPr>
        <w:t xml:space="preserve">وتمت </w:t>
      </w:r>
      <w:r w:rsidR="005B188F" w:rsidRPr="001824B9">
        <w:rPr>
          <w:rFonts w:hint="cs"/>
          <w:u w:val="single"/>
          <w:rtl/>
          <w:lang w:bidi="ar-SY"/>
        </w:rPr>
        <w:t>التوصية</w:t>
      </w:r>
      <w:r w:rsidR="00761A17">
        <w:rPr>
          <w:rtl/>
          <w:lang w:bidi="ar-SY"/>
        </w:rPr>
        <w:t xml:space="preserve"> </w:t>
      </w:r>
      <w:r w:rsidR="00761A17">
        <w:rPr>
          <w:rtl/>
          <w:lang w:bidi="ar-EG"/>
        </w:rPr>
        <w:t>بوضع</w:t>
      </w:r>
      <w:r w:rsidR="00761A17">
        <w:rPr>
          <w:rtl/>
          <w:lang w:bidi="ar-SY"/>
        </w:rPr>
        <w:t xml:space="preserve"> واعتماد مبادئ توجيهية مناسبة لإدارة المش</w:t>
      </w:r>
      <w:r w:rsidR="00D11732">
        <w:rPr>
          <w:rFonts w:hint="cs"/>
          <w:rtl/>
          <w:lang w:bidi="ar-SY"/>
        </w:rPr>
        <w:t>اريع</w:t>
      </w:r>
      <w:r w:rsidR="00761A17">
        <w:rPr>
          <w:rtl/>
          <w:lang w:bidi="ar-SY"/>
        </w:rPr>
        <w:t xml:space="preserve">. </w:t>
      </w:r>
      <w:r w:rsidR="00026EDB">
        <w:rPr>
          <w:rtl/>
          <w:lang w:bidi="ar-SY"/>
        </w:rPr>
        <w:t>و</w:t>
      </w:r>
      <w:r w:rsidR="00026EDB">
        <w:rPr>
          <w:rFonts w:hint="cs"/>
          <w:rtl/>
          <w:lang w:bidi="ar-SY"/>
        </w:rPr>
        <w:t>اكتشفت</w:t>
      </w:r>
      <w:r w:rsidR="00026EDB">
        <w:rPr>
          <w:rtl/>
          <w:lang w:bidi="ar-SY"/>
        </w:rPr>
        <w:t xml:space="preserve"> </w:t>
      </w:r>
      <w:r w:rsidR="005B188F">
        <w:rPr>
          <w:rFonts w:hint="cs"/>
          <w:rtl/>
        </w:rPr>
        <w:t>الوحدة</w:t>
      </w:r>
      <w:r w:rsidR="00761A17">
        <w:rPr>
          <w:rtl/>
          <w:lang w:bidi="ar-SY"/>
        </w:rPr>
        <w:t xml:space="preserve"> أيضا</w:t>
      </w:r>
      <w:r w:rsidR="005B188F">
        <w:rPr>
          <w:rFonts w:hint="cs"/>
          <w:rtl/>
          <w:lang w:bidi="ar-SY"/>
        </w:rPr>
        <w:t>ً</w:t>
      </w:r>
      <w:r w:rsidR="00761A17">
        <w:rPr>
          <w:rtl/>
          <w:lang w:bidi="ar-SY"/>
        </w:rPr>
        <w:t xml:space="preserve"> أنه في</w:t>
      </w:r>
      <w:r w:rsidR="001824B9">
        <w:rPr>
          <w:rFonts w:hint="cs"/>
          <w:rtl/>
          <w:lang w:bidi="ar-SY"/>
        </w:rPr>
        <w:t> </w:t>
      </w:r>
      <w:r w:rsidR="00761A17">
        <w:rPr>
          <w:rtl/>
          <w:lang w:bidi="ar-SY"/>
        </w:rPr>
        <w:t xml:space="preserve">بعض الأحيان لا </w:t>
      </w:r>
      <w:r w:rsidR="0055682A">
        <w:rPr>
          <w:rFonts w:hint="cs"/>
          <w:rtl/>
          <w:lang w:bidi="ar-SY"/>
        </w:rPr>
        <w:t>تُستخدم</w:t>
      </w:r>
      <w:r w:rsidR="00761A17">
        <w:rPr>
          <w:rtl/>
          <w:lang w:bidi="ar-SY"/>
        </w:rPr>
        <w:t xml:space="preserve"> </w:t>
      </w:r>
      <w:r w:rsidR="005B188F">
        <w:rPr>
          <w:rFonts w:hint="cs"/>
          <w:rtl/>
          <w:lang w:bidi="ar-SY"/>
        </w:rPr>
        <w:t>النماذج</w:t>
      </w:r>
      <w:r w:rsidR="00761A17">
        <w:rPr>
          <w:rtl/>
          <w:lang w:bidi="ar-SY"/>
        </w:rPr>
        <w:t xml:space="preserve"> القياسية </w:t>
      </w:r>
      <w:r w:rsidR="005B188F">
        <w:rPr>
          <w:rFonts w:hint="cs"/>
          <w:rtl/>
          <w:lang w:bidi="ar-SY"/>
        </w:rPr>
        <w:t>لل</w:t>
      </w:r>
      <w:r w:rsidR="005B188F" w:rsidRPr="005B188F">
        <w:rPr>
          <w:rtl/>
          <w:lang w:bidi="ar-SY"/>
        </w:rPr>
        <w:t xml:space="preserve">مساهمات الطوعية </w:t>
      </w:r>
      <w:r w:rsidR="005B188F">
        <w:rPr>
          <w:rFonts w:hint="cs"/>
          <w:rtl/>
          <w:lang w:bidi="ar-SY"/>
        </w:rPr>
        <w:t>أ</w:t>
      </w:r>
      <w:r w:rsidR="005B188F" w:rsidRPr="005B188F">
        <w:rPr>
          <w:rtl/>
          <w:lang w:bidi="ar-SY"/>
        </w:rPr>
        <w:t>و</w:t>
      </w:r>
      <w:r w:rsidR="005B188F">
        <w:rPr>
          <w:rFonts w:hint="cs"/>
          <w:rtl/>
          <w:lang w:bidi="ar-SY"/>
        </w:rPr>
        <w:t xml:space="preserve"> </w:t>
      </w:r>
      <w:r w:rsidR="005B188F" w:rsidRPr="005B188F">
        <w:rPr>
          <w:rtl/>
          <w:lang w:bidi="ar-SY"/>
        </w:rPr>
        <w:t xml:space="preserve">الصناديق </w:t>
      </w:r>
      <w:proofErr w:type="spellStart"/>
      <w:r w:rsidR="005B188F" w:rsidRPr="005B188F">
        <w:rPr>
          <w:rtl/>
          <w:lang w:bidi="ar-SY"/>
        </w:rPr>
        <w:t>الاستئمانية</w:t>
      </w:r>
      <w:proofErr w:type="spellEnd"/>
      <w:r w:rsidR="005B188F" w:rsidRPr="005B188F">
        <w:rPr>
          <w:rtl/>
          <w:lang w:bidi="ar-SY"/>
        </w:rPr>
        <w:t xml:space="preserve"> </w:t>
      </w:r>
      <w:r w:rsidR="005B188F">
        <w:rPr>
          <w:rFonts w:hint="cs"/>
          <w:rtl/>
          <w:lang w:bidi="ar-SY"/>
        </w:rPr>
        <w:t xml:space="preserve">أو </w:t>
      </w:r>
      <w:r w:rsidR="005B188F" w:rsidRPr="005B188F">
        <w:rPr>
          <w:rtl/>
          <w:lang w:bidi="ar-SY"/>
        </w:rPr>
        <w:t xml:space="preserve">أعمال الرعاية </w:t>
      </w:r>
      <w:r w:rsidR="00761A17">
        <w:rPr>
          <w:rtl/>
          <w:lang w:bidi="ar-SY"/>
        </w:rPr>
        <w:t>بشكل متسق وأن هناك خطرا</w:t>
      </w:r>
      <w:r w:rsidR="005B188F">
        <w:rPr>
          <w:rFonts w:hint="cs"/>
          <w:rtl/>
          <w:lang w:bidi="ar-SY"/>
        </w:rPr>
        <w:t>ً</w:t>
      </w:r>
      <w:r w:rsidR="00761A17">
        <w:rPr>
          <w:rtl/>
          <w:lang w:bidi="ar-SY"/>
        </w:rPr>
        <w:t xml:space="preserve"> فيما يتعلق باختيار الاستشاريين وإدارتهم. </w:t>
      </w:r>
      <w:r w:rsidR="00D2608F">
        <w:rPr>
          <w:rFonts w:hint="cs"/>
          <w:rtl/>
          <w:lang w:bidi="ar-SY"/>
        </w:rPr>
        <w:t>و</w:t>
      </w:r>
      <w:r w:rsidR="00761A17">
        <w:rPr>
          <w:rtl/>
          <w:lang w:bidi="ar-SY"/>
        </w:rPr>
        <w:t xml:space="preserve">فيما </w:t>
      </w:r>
      <w:r w:rsidR="00D2608F">
        <w:rPr>
          <w:rFonts w:hint="cs"/>
          <w:rtl/>
          <w:lang w:bidi="ar-SY"/>
        </w:rPr>
        <w:t>يتصل</w:t>
      </w:r>
      <w:r w:rsidR="00761A17">
        <w:rPr>
          <w:rtl/>
          <w:lang w:bidi="ar-SY"/>
        </w:rPr>
        <w:t xml:space="preserve"> بتقييم </w:t>
      </w:r>
      <w:proofErr w:type="gramStart"/>
      <w:r w:rsidR="00761A17">
        <w:rPr>
          <w:rtl/>
          <w:lang w:bidi="ar-SY"/>
        </w:rPr>
        <w:t>مخاطر</w:t>
      </w:r>
      <w:proofErr w:type="gramEnd"/>
      <w:r w:rsidR="00761A17">
        <w:rPr>
          <w:rtl/>
          <w:lang w:bidi="ar-SY"/>
        </w:rPr>
        <w:t xml:space="preserve"> 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026EDB" w:rsidRPr="00A00AA4">
        <w:rPr>
          <w:rtl/>
          <w:lang w:bidi="ar-EG"/>
        </w:rPr>
        <w:t>والمش</w:t>
      </w:r>
      <w:r w:rsidR="00026EDB">
        <w:rPr>
          <w:rFonts w:hint="cs"/>
          <w:rtl/>
          <w:lang w:bidi="ar-EG"/>
        </w:rPr>
        <w:t>اريع</w:t>
      </w:r>
      <w:r w:rsidR="00026EDB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761A17">
        <w:rPr>
          <w:rtl/>
          <w:lang w:bidi="ar-SY"/>
        </w:rPr>
        <w:t>، هناك غياب ل</w:t>
      </w:r>
      <w:r w:rsidR="00026EDB">
        <w:rPr>
          <w:rFonts w:hint="cs"/>
          <w:rtl/>
          <w:lang w:bidi="ar-SY"/>
        </w:rPr>
        <w:t>عملية محددة أو "حية" ل</w:t>
      </w:r>
      <w:r w:rsidR="00761A17">
        <w:rPr>
          <w:rtl/>
          <w:lang w:bidi="ar-SY"/>
        </w:rPr>
        <w:t xml:space="preserve">تحديد/تقييم/رصد </w:t>
      </w:r>
      <w:r w:rsidR="00026EDB">
        <w:rPr>
          <w:rFonts w:hint="cs"/>
          <w:rtl/>
          <w:lang w:bidi="ar-SY"/>
        </w:rPr>
        <w:t>ال</w:t>
      </w:r>
      <w:r w:rsidR="00761A17">
        <w:rPr>
          <w:rtl/>
          <w:lang w:bidi="ar-SY"/>
        </w:rPr>
        <w:t>مخاطر</w:t>
      </w:r>
      <w:r w:rsidR="00BA1748">
        <w:rPr>
          <w:rFonts w:hint="cs"/>
          <w:rtl/>
        </w:rPr>
        <w:t>،</w:t>
      </w:r>
      <w:r w:rsidR="00761A17">
        <w:rPr>
          <w:rtl/>
          <w:lang w:bidi="ar-SY"/>
        </w:rPr>
        <w:t xml:space="preserve"> </w:t>
      </w:r>
      <w:r w:rsidR="005E6FC2">
        <w:rPr>
          <w:rFonts w:hint="cs"/>
          <w:rtl/>
          <w:lang w:bidi="ar-SY"/>
        </w:rPr>
        <w:t>و</w:t>
      </w:r>
      <w:r w:rsidR="00761A17">
        <w:rPr>
          <w:rtl/>
          <w:lang w:bidi="ar-SY"/>
        </w:rPr>
        <w:t>يبدو أن تقييمات المخاطر في بعض اتفاقات المشاريع</w:t>
      </w:r>
      <w:r w:rsidR="005E6FC2">
        <w:rPr>
          <w:rFonts w:hint="cs"/>
          <w:rtl/>
          <w:lang w:bidi="ar-SY"/>
        </w:rPr>
        <w:t xml:space="preserve"> هي</w:t>
      </w:r>
      <w:r w:rsidR="0026457E">
        <w:rPr>
          <w:rFonts w:hint="eastAsia"/>
          <w:rtl/>
          <w:lang w:bidi="ar-SY"/>
        </w:rPr>
        <w:t> </w:t>
      </w:r>
      <w:r w:rsidR="005E6FC2">
        <w:rPr>
          <w:rFonts w:hint="cs"/>
          <w:rtl/>
          <w:lang w:bidi="ar-SY"/>
        </w:rPr>
        <w:t>تقييمات عامة</w:t>
      </w:r>
      <w:r w:rsidR="00761A17">
        <w:rPr>
          <w:rtl/>
          <w:lang w:bidi="ar-SY"/>
        </w:rPr>
        <w:t xml:space="preserve">. </w:t>
      </w:r>
      <w:r w:rsidR="005E6FC2">
        <w:rPr>
          <w:rFonts w:hint="cs"/>
          <w:rtl/>
          <w:lang w:bidi="ar-SY"/>
        </w:rPr>
        <w:t>و</w:t>
      </w:r>
      <w:r w:rsidR="00761A17">
        <w:rPr>
          <w:rtl/>
          <w:lang w:bidi="ar-SY"/>
        </w:rPr>
        <w:t xml:space="preserve">قد يكون لغياب عملية إدارة المخاطر تأثير سلبي على تنفيذ 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026EDB" w:rsidRPr="00A00AA4">
        <w:rPr>
          <w:rtl/>
          <w:lang w:bidi="ar-EG"/>
        </w:rPr>
        <w:t>والمش</w:t>
      </w:r>
      <w:r w:rsidR="00026EDB">
        <w:rPr>
          <w:rFonts w:hint="cs"/>
          <w:rtl/>
          <w:lang w:bidi="ar-EG"/>
        </w:rPr>
        <w:t>اريع</w:t>
      </w:r>
      <w:r w:rsidR="00026EDB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761A17">
        <w:rPr>
          <w:rtl/>
          <w:lang w:bidi="ar-SY"/>
        </w:rPr>
        <w:t xml:space="preserve">. </w:t>
      </w:r>
      <w:r w:rsidR="005E6FC2">
        <w:rPr>
          <w:rFonts w:hint="cs"/>
          <w:rtl/>
          <w:lang w:bidi="ar-SY"/>
        </w:rPr>
        <w:t>وبالإضافة</w:t>
      </w:r>
      <w:r w:rsidR="00761A17">
        <w:rPr>
          <w:rtl/>
          <w:lang w:bidi="ar-SY"/>
        </w:rPr>
        <w:t xml:space="preserve"> </w:t>
      </w:r>
      <w:r w:rsidR="0055682A">
        <w:rPr>
          <w:rFonts w:hint="cs"/>
          <w:rtl/>
          <w:lang w:bidi="ar-SY"/>
        </w:rPr>
        <w:t>إلى</w:t>
      </w:r>
      <w:r w:rsidR="00761A17">
        <w:rPr>
          <w:rtl/>
          <w:lang w:bidi="ar-SY"/>
        </w:rPr>
        <w:t xml:space="preserve"> ذلك، كان من الصعب تحديد المعلومات الأساسية </w:t>
      </w:r>
      <w:r w:rsidR="005E6FC2">
        <w:rPr>
          <w:rtl/>
          <w:lang w:bidi="ar-SY"/>
        </w:rPr>
        <w:t xml:space="preserve">بالنسبة لبعض 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026EDB" w:rsidRPr="00A00AA4">
        <w:rPr>
          <w:rtl/>
          <w:lang w:bidi="ar-EG"/>
        </w:rPr>
        <w:t>والمش</w:t>
      </w:r>
      <w:r w:rsidR="00026EDB">
        <w:rPr>
          <w:rFonts w:hint="cs"/>
          <w:rtl/>
          <w:lang w:bidi="ar-EG"/>
        </w:rPr>
        <w:t xml:space="preserve">اريع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5E6FC2">
        <w:rPr>
          <w:rtl/>
          <w:lang w:bidi="ar-SY"/>
        </w:rPr>
        <w:t xml:space="preserve"> التي تمت مراجعتها، </w:t>
      </w:r>
      <w:r w:rsidR="00026EDB">
        <w:rPr>
          <w:rtl/>
          <w:lang w:bidi="ar-SY"/>
        </w:rPr>
        <w:t>و</w:t>
      </w:r>
      <w:r w:rsidR="00026EDB">
        <w:rPr>
          <w:rFonts w:hint="cs"/>
          <w:rtl/>
          <w:lang w:bidi="ar-SY"/>
        </w:rPr>
        <w:t>اكتشفت</w:t>
      </w:r>
      <w:r w:rsidR="00026EDB">
        <w:rPr>
          <w:rtl/>
          <w:lang w:bidi="ar-SY"/>
        </w:rPr>
        <w:t xml:space="preserve"> </w:t>
      </w:r>
      <w:r w:rsidR="005E6FC2">
        <w:rPr>
          <w:rFonts w:hint="cs"/>
          <w:rtl/>
        </w:rPr>
        <w:t>الوحدة</w:t>
      </w:r>
      <w:r w:rsidR="00761A17">
        <w:rPr>
          <w:rtl/>
          <w:lang w:bidi="ar-SY"/>
        </w:rPr>
        <w:t xml:space="preserve"> أن أدوات المعلومات والاتصال المتعلقة بـ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82383F" w:rsidRPr="00A00AA4">
        <w:rPr>
          <w:rtl/>
          <w:lang w:bidi="ar-EG"/>
        </w:rPr>
        <w:t>والمش</w:t>
      </w:r>
      <w:r w:rsidR="0082383F">
        <w:rPr>
          <w:rFonts w:hint="cs"/>
          <w:rtl/>
          <w:lang w:bidi="ar-EG"/>
        </w:rPr>
        <w:t>اريع</w:t>
      </w:r>
      <w:r w:rsidR="0082383F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5E6FC2">
        <w:rPr>
          <w:rtl/>
          <w:lang w:bidi="ar-SY"/>
        </w:rPr>
        <w:t xml:space="preserve"> </w:t>
      </w:r>
      <w:r w:rsidR="005E6FC2">
        <w:rPr>
          <w:rFonts w:hint="cs"/>
          <w:rtl/>
          <w:lang w:bidi="ar-SY"/>
        </w:rPr>
        <w:t>الموجودة في</w:t>
      </w:r>
      <w:r w:rsidR="001824B9">
        <w:rPr>
          <w:rFonts w:hint="eastAsia"/>
          <w:rtl/>
          <w:lang w:bidi="ar-SY"/>
        </w:rPr>
        <w:t> </w:t>
      </w:r>
      <w:r w:rsidR="005E6FC2">
        <w:rPr>
          <w:rFonts w:hint="cs"/>
          <w:rtl/>
          <w:lang w:bidi="ar-SY"/>
        </w:rPr>
        <w:t>إطار</w:t>
      </w:r>
      <w:r w:rsidR="00761A17">
        <w:rPr>
          <w:rtl/>
          <w:lang w:bidi="ar-SY"/>
        </w:rPr>
        <w:t xml:space="preserve"> المراجعة غير فعالة ولا يمكن اعتبارها قادرة على دعم أهداف 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82383F" w:rsidRPr="00A00AA4">
        <w:rPr>
          <w:rtl/>
          <w:lang w:bidi="ar-EG"/>
        </w:rPr>
        <w:t>والمش</w:t>
      </w:r>
      <w:r w:rsidR="0082383F">
        <w:rPr>
          <w:rFonts w:hint="cs"/>
          <w:rtl/>
          <w:lang w:bidi="ar-EG"/>
        </w:rPr>
        <w:t>اريع</w:t>
      </w:r>
      <w:r w:rsidR="0082383F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761A17">
        <w:rPr>
          <w:rtl/>
          <w:lang w:bidi="ar-SY"/>
        </w:rPr>
        <w:t xml:space="preserve"> بشكل كامل. </w:t>
      </w:r>
      <w:r w:rsidR="005E6FC2">
        <w:rPr>
          <w:rFonts w:hint="cs"/>
          <w:rtl/>
          <w:lang w:bidi="ar-SY"/>
        </w:rPr>
        <w:t>وتمت</w:t>
      </w:r>
      <w:r w:rsidR="0026457E">
        <w:rPr>
          <w:rFonts w:hint="eastAsia"/>
          <w:rtl/>
          <w:lang w:bidi="ar-SY"/>
        </w:rPr>
        <w:t> </w:t>
      </w:r>
      <w:r w:rsidR="005E6FC2" w:rsidRPr="0026457E">
        <w:rPr>
          <w:rFonts w:hint="cs"/>
          <w:u w:val="single"/>
          <w:rtl/>
          <w:lang w:bidi="ar-SY"/>
        </w:rPr>
        <w:t>التوصية</w:t>
      </w:r>
      <w:r w:rsidR="00761A17">
        <w:rPr>
          <w:rtl/>
          <w:lang w:bidi="ar-SY"/>
        </w:rPr>
        <w:t xml:space="preserve"> بأن يتم تحديد وتنفيذ أدوات التوثيق والاتصال الكافية التي تدعم بشكل أفضل </w:t>
      </w:r>
      <w:r w:rsidR="005E6FC2">
        <w:rPr>
          <w:rFonts w:hint="cs"/>
          <w:rtl/>
          <w:lang w:bidi="ar-SY"/>
        </w:rPr>
        <w:t>النفاذ</w:t>
      </w:r>
      <w:r w:rsidR="00761A17">
        <w:rPr>
          <w:rtl/>
          <w:lang w:bidi="ar-SY"/>
        </w:rPr>
        <w:t xml:space="preserve"> </w:t>
      </w:r>
      <w:r w:rsidR="0082383F">
        <w:rPr>
          <w:rFonts w:hint="cs"/>
          <w:rtl/>
          <w:lang w:bidi="ar-SY"/>
        </w:rPr>
        <w:t xml:space="preserve">إلى </w:t>
      </w:r>
      <w:r w:rsidR="00761A17">
        <w:rPr>
          <w:rtl/>
          <w:lang w:bidi="ar-SY"/>
        </w:rPr>
        <w:t xml:space="preserve">المعلومات </w:t>
      </w:r>
      <w:r w:rsidR="005E6FC2">
        <w:rPr>
          <w:rFonts w:hint="cs"/>
          <w:rtl/>
          <w:lang w:bidi="ar-SY"/>
        </w:rPr>
        <w:t>المتعلقة</w:t>
      </w:r>
      <w:r w:rsidR="00761A17">
        <w:rPr>
          <w:rtl/>
          <w:lang w:bidi="ar-SY"/>
        </w:rPr>
        <w:t xml:space="preserve"> </w:t>
      </w:r>
      <w:r w:rsidR="005E6FC2">
        <w:rPr>
          <w:rFonts w:hint="cs"/>
          <w:rtl/>
          <w:lang w:bidi="ar-SY"/>
        </w:rPr>
        <w:t>ب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82383F" w:rsidRPr="00A00AA4">
        <w:rPr>
          <w:rtl/>
          <w:lang w:bidi="ar-EG"/>
        </w:rPr>
        <w:t>والمش</w:t>
      </w:r>
      <w:r w:rsidR="0082383F">
        <w:rPr>
          <w:rFonts w:hint="cs"/>
          <w:rtl/>
          <w:lang w:bidi="ar-EG"/>
        </w:rPr>
        <w:t>اريع</w:t>
      </w:r>
      <w:r w:rsidR="0082383F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5E6FC2">
        <w:rPr>
          <w:rtl/>
          <w:lang w:bidi="ar-SY"/>
        </w:rPr>
        <w:t xml:space="preserve"> </w:t>
      </w:r>
      <w:r w:rsidR="0055682A">
        <w:rPr>
          <w:rFonts w:hint="cs"/>
          <w:rtl/>
          <w:lang w:bidi="ar-SY"/>
        </w:rPr>
        <w:t xml:space="preserve">وتدفقها </w:t>
      </w:r>
      <w:r w:rsidR="00761A17">
        <w:rPr>
          <w:rtl/>
          <w:lang w:bidi="ar-SY"/>
        </w:rPr>
        <w:t xml:space="preserve">(بما في ذلك مستودع مؤسسي مركزي للوثائق والمعلومات المتعلقة </w:t>
      </w:r>
      <w:r w:rsidR="005E6FC2">
        <w:rPr>
          <w:rFonts w:hint="cs"/>
          <w:rtl/>
          <w:lang w:bidi="ar-SY"/>
        </w:rPr>
        <w:t>ب</w:t>
      </w:r>
      <w:r w:rsidR="005E6FC2">
        <w:rPr>
          <w:rFonts w:hint="cs"/>
          <w:rtl/>
          <w:lang w:bidi="ar-EG"/>
        </w:rPr>
        <w:t>ال</w:t>
      </w:r>
      <w:r w:rsidR="005E6FC2" w:rsidRPr="00A00AA4">
        <w:rPr>
          <w:rtl/>
          <w:lang w:bidi="ar-EG"/>
        </w:rPr>
        <w:t xml:space="preserve">برامج </w:t>
      </w:r>
      <w:r w:rsidR="0082383F" w:rsidRPr="00A00AA4">
        <w:rPr>
          <w:rtl/>
          <w:lang w:bidi="ar-EG"/>
        </w:rPr>
        <w:t>والمش</w:t>
      </w:r>
      <w:r w:rsidR="0082383F">
        <w:rPr>
          <w:rFonts w:hint="cs"/>
          <w:rtl/>
          <w:lang w:bidi="ar-EG"/>
        </w:rPr>
        <w:t>اريع</w:t>
      </w:r>
      <w:r w:rsidR="0082383F" w:rsidRPr="00A00AA4">
        <w:rPr>
          <w:rtl/>
          <w:lang w:bidi="ar-EG"/>
        </w:rPr>
        <w:t xml:space="preserve"> </w:t>
      </w:r>
      <w:r w:rsidR="005E6FC2" w:rsidRPr="00A00AA4">
        <w:rPr>
          <w:rtl/>
          <w:lang w:bidi="ar-EG"/>
        </w:rPr>
        <w:t xml:space="preserve">والأنشطة </w:t>
      </w:r>
      <w:r w:rsidR="005E6FC2" w:rsidRPr="00A00AA4">
        <w:rPr>
          <w:rFonts w:hint="cs"/>
          <w:rtl/>
          <w:lang w:bidi="ar-EG"/>
        </w:rPr>
        <w:t>التكميلية</w:t>
      </w:r>
      <w:r w:rsidR="00761A17">
        <w:rPr>
          <w:rtl/>
          <w:lang w:bidi="ar-SY"/>
        </w:rPr>
        <w:t>).</w:t>
      </w:r>
    </w:p>
    <w:p w14:paraId="4998119C" w14:textId="31982CB4" w:rsidR="00754CE5" w:rsidRDefault="005E6FC2" w:rsidP="00012B0F">
      <w:pPr>
        <w:rPr>
          <w:rtl/>
        </w:rPr>
      </w:pPr>
      <w:r>
        <w:rPr>
          <w:rFonts w:hint="cs"/>
          <w:rtl/>
          <w:lang w:bidi="ar-SY"/>
        </w:rPr>
        <w:t>وختاماً</w:t>
      </w:r>
      <w:r w:rsidR="00761A17">
        <w:rPr>
          <w:rtl/>
          <w:lang w:bidi="ar-SY"/>
        </w:rPr>
        <w:t xml:space="preserve">، لاحظت </w:t>
      </w:r>
      <w:r>
        <w:rPr>
          <w:rFonts w:hint="cs"/>
          <w:rtl/>
        </w:rPr>
        <w:t>الوحدة</w:t>
      </w:r>
      <w:r w:rsidR="00761A17">
        <w:rPr>
          <w:rtl/>
          <w:lang w:bidi="ar-SY"/>
        </w:rPr>
        <w:t xml:space="preserve"> أن الضوابط الداخلية </w:t>
      </w:r>
      <w:r>
        <w:rPr>
          <w:rFonts w:hint="cs"/>
          <w:rtl/>
          <w:lang w:bidi="ar-SY"/>
        </w:rPr>
        <w:t>التي تقع في نطاق المراجعة والمتعلقة</w:t>
      </w:r>
      <w:r w:rsidR="00761A17">
        <w:rPr>
          <w:rtl/>
          <w:lang w:bidi="ar-SY"/>
        </w:rPr>
        <w:t xml:space="preserve"> بالإدارة المالية وإدارة </w:t>
      </w:r>
      <w:r>
        <w:rPr>
          <w:rFonts w:hint="cs"/>
          <w:rtl/>
          <w:lang w:bidi="ar-SY"/>
        </w:rPr>
        <w:t>الأصول،</w:t>
      </w:r>
      <w:r w:rsidR="00761A17">
        <w:rPr>
          <w:rtl/>
          <w:lang w:bidi="ar-SY"/>
        </w:rPr>
        <w:t xml:space="preserve"> وسفر </w:t>
      </w:r>
      <w:r>
        <w:rPr>
          <w:rFonts w:hint="cs"/>
          <w:rtl/>
          <w:lang w:bidi="ar-SY"/>
        </w:rPr>
        <w:t>الخبراء،</w:t>
      </w:r>
      <w:r w:rsidR="00761A17">
        <w:rPr>
          <w:rtl/>
          <w:lang w:bidi="ar-SY"/>
        </w:rPr>
        <w:t xml:space="preserve"> و</w:t>
      </w:r>
      <w:r>
        <w:rPr>
          <w:rFonts w:hint="cs"/>
          <w:rtl/>
          <w:lang w:bidi="ar-SY"/>
        </w:rPr>
        <w:t>منح</w:t>
      </w:r>
      <w:r w:rsidR="00761A17">
        <w:rPr>
          <w:rtl/>
          <w:lang w:bidi="ar-SY"/>
        </w:rPr>
        <w:t xml:space="preserve"> </w:t>
      </w:r>
      <w:r>
        <w:rPr>
          <w:rFonts w:hint="cs"/>
          <w:rtl/>
          <w:lang w:bidi="ar-EG"/>
        </w:rPr>
        <w:t>ال</w:t>
      </w:r>
      <w:r w:rsidRPr="00A00AA4">
        <w:rPr>
          <w:rtl/>
          <w:lang w:bidi="ar-EG"/>
        </w:rPr>
        <w:t xml:space="preserve">برامج </w:t>
      </w:r>
      <w:r w:rsidR="0082383F" w:rsidRPr="00A00AA4">
        <w:rPr>
          <w:rtl/>
          <w:lang w:bidi="ar-EG"/>
        </w:rPr>
        <w:t>والمش</w:t>
      </w:r>
      <w:r w:rsidR="0082383F">
        <w:rPr>
          <w:rFonts w:hint="cs"/>
          <w:rtl/>
          <w:lang w:bidi="ar-EG"/>
        </w:rPr>
        <w:t>اريع</w:t>
      </w:r>
      <w:r w:rsidR="0082383F" w:rsidRPr="00A00AA4">
        <w:rPr>
          <w:rtl/>
          <w:lang w:bidi="ar-EG"/>
        </w:rPr>
        <w:t xml:space="preserve"> </w:t>
      </w:r>
      <w:r w:rsidRPr="00A00AA4">
        <w:rPr>
          <w:rtl/>
          <w:lang w:bidi="ar-EG"/>
        </w:rPr>
        <w:t xml:space="preserve">والأنشطة </w:t>
      </w:r>
      <w:r w:rsidRPr="00A00AA4">
        <w:rPr>
          <w:rFonts w:hint="cs"/>
          <w:rtl/>
          <w:lang w:bidi="ar-EG"/>
        </w:rPr>
        <w:t>التكميلية</w:t>
      </w:r>
      <w:r>
        <w:rPr>
          <w:rtl/>
          <w:lang w:bidi="ar-SY"/>
        </w:rPr>
        <w:t xml:space="preserve"> </w:t>
      </w:r>
      <w:r w:rsidR="00761A17">
        <w:rPr>
          <w:rtl/>
          <w:lang w:bidi="ar-SY"/>
        </w:rPr>
        <w:t>فعالة جزئيا</w:t>
      </w:r>
      <w:r>
        <w:rPr>
          <w:rFonts w:hint="cs"/>
          <w:rtl/>
          <w:lang w:bidi="ar-SY"/>
        </w:rPr>
        <w:t>ً</w:t>
      </w:r>
      <w:r w:rsidR="00761A17">
        <w:rPr>
          <w:rtl/>
          <w:lang w:bidi="ar-SY"/>
        </w:rPr>
        <w:t xml:space="preserve">. </w:t>
      </w:r>
      <w:r>
        <w:rPr>
          <w:rFonts w:hint="cs"/>
          <w:rtl/>
          <w:lang w:bidi="ar-SY"/>
        </w:rPr>
        <w:t xml:space="preserve">وبالنسبة إلى </w:t>
      </w:r>
      <w:r w:rsidR="00761A17">
        <w:rPr>
          <w:rtl/>
          <w:lang w:bidi="ar-SY"/>
        </w:rPr>
        <w:t xml:space="preserve">الضوابط الداخلية </w:t>
      </w:r>
      <w:r>
        <w:rPr>
          <w:rFonts w:hint="cs"/>
          <w:rtl/>
          <w:lang w:bidi="ar-SY"/>
        </w:rPr>
        <w:t>المتعلقة</w:t>
      </w:r>
      <w:r w:rsidR="00761A17">
        <w:rPr>
          <w:rtl/>
          <w:lang w:bidi="ar-SY"/>
        </w:rPr>
        <w:t xml:space="preserve"> بالاستشاريين </w:t>
      </w:r>
      <w:r>
        <w:rPr>
          <w:rFonts w:hint="cs"/>
          <w:rtl/>
          <w:lang w:bidi="ar-SY"/>
        </w:rPr>
        <w:t xml:space="preserve">فهي </w:t>
      </w:r>
      <w:r w:rsidR="00761A17">
        <w:rPr>
          <w:rtl/>
          <w:lang w:bidi="ar-SY"/>
        </w:rPr>
        <w:t xml:space="preserve">غير فعالة. </w:t>
      </w:r>
      <w:r>
        <w:rPr>
          <w:rFonts w:hint="cs"/>
          <w:rtl/>
          <w:lang w:bidi="ar-SY"/>
        </w:rPr>
        <w:t>و</w:t>
      </w:r>
      <w:r w:rsidR="00827EFC">
        <w:rPr>
          <w:rFonts w:hint="cs"/>
          <w:rtl/>
          <w:lang w:bidi="ar-SY"/>
        </w:rPr>
        <w:t>كما سبق وأن</w:t>
      </w:r>
      <w:r>
        <w:rPr>
          <w:rFonts w:hint="cs"/>
          <w:rtl/>
          <w:lang w:bidi="ar-SY"/>
        </w:rPr>
        <w:t xml:space="preserve"> </w:t>
      </w:r>
      <w:r w:rsidR="00761A17">
        <w:rPr>
          <w:rtl/>
          <w:lang w:bidi="ar-SY"/>
        </w:rPr>
        <w:t xml:space="preserve">أوصت </w:t>
      </w:r>
      <w:r>
        <w:rPr>
          <w:rFonts w:hint="cs"/>
          <w:rtl/>
        </w:rPr>
        <w:t>الوحدة أيضاً</w:t>
      </w:r>
      <w:r w:rsidR="00761A17">
        <w:rPr>
          <w:rtl/>
          <w:lang w:bidi="ar-SY"/>
        </w:rPr>
        <w:t xml:space="preserve"> خلال </w:t>
      </w:r>
      <w:r w:rsidR="0082383F">
        <w:rPr>
          <w:rFonts w:hint="cs"/>
          <w:rtl/>
          <w:lang w:bidi="ar-SY"/>
        </w:rPr>
        <w:t>عملية</w:t>
      </w:r>
      <w:r w:rsidR="0082383F">
        <w:rPr>
          <w:rtl/>
          <w:lang w:bidi="ar-SY"/>
        </w:rPr>
        <w:t xml:space="preserve"> </w:t>
      </w:r>
      <w:r w:rsidR="00827EFC">
        <w:rPr>
          <w:rFonts w:hint="cs"/>
          <w:rtl/>
          <w:lang w:bidi="ar-SY"/>
        </w:rPr>
        <w:t>مراجعة</w:t>
      </w:r>
      <w:r w:rsidR="00761A17">
        <w:rPr>
          <w:rtl/>
          <w:lang w:bidi="ar-SY"/>
        </w:rPr>
        <w:t xml:space="preserve"> سابقة </w:t>
      </w:r>
      <w:r w:rsidR="00827EFC">
        <w:rPr>
          <w:rFonts w:hint="cs"/>
          <w:rtl/>
          <w:lang w:bidi="ar-SY"/>
        </w:rPr>
        <w:t>ب</w:t>
      </w:r>
      <w:r w:rsidR="00761A17">
        <w:rPr>
          <w:rtl/>
          <w:lang w:bidi="ar-SY"/>
        </w:rPr>
        <w:t>تعزيز الضوابط على اتفاقات</w:t>
      </w:r>
      <w:r w:rsidR="00F15EB8">
        <w:rPr>
          <w:rFonts w:hint="cs"/>
          <w:rtl/>
          <w:lang w:bidi="ar-SY"/>
        </w:rPr>
        <w:t xml:space="preserve"> الخدمة</w:t>
      </w:r>
      <w:r w:rsidR="00BA1748">
        <w:rPr>
          <w:rFonts w:hint="cs"/>
          <w:rtl/>
          <w:lang w:bidi="ar-SY"/>
        </w:rPr>
        <w:t xml:space="preserve"> </w:t>
      </w:r>
      <w:r w:rsidR="00827EFC">
        <w:rPr>
          <w:rFonts w:hint="cs"/>
          <w:rtl/>
          <w:lang w:bidi="ar-SY"/>
        </w:rPr>
        <w:t>الخاصة</w:t>
      </w:r>
      <w:r w:rsidR="00650CC3">
        <w:rPr>
          <w:rFonts w:hint="cs"/>
          <w:rtl/>
          <w:lang w:bidi="ar-SY"/>
        </w:rPr>
        <w:t xml:space="preserve"> كأولوية حاسمة</w:t>
      </w:r>
      <w:r w:rsidR="00827EFC">
        <w:rPr>
          <w:rFonts w:hint="cs"/>
          <w:rtl/>
          <w:lang w:bidi="ar-SY"/>
        </w:rPr>
        <w:t>،</w:t>
      </w:r>
      <w:r w:rsidR="00761A17">
        <w:rPr>
          <w:rtl/>
          <w:lang w:bidi="ar-SY"/>
        </w:rPr>
        <w:t xml:space="preserve"> </w:t>
      </w:r>
      <w:r w:rsidR="00827EFC">
        <w:rPr>
          <w:rFonts w:hint="cs"/>
          <w:rtl/>
          <w:lang w:bidi="ar-SY"/>
        </w:rPr>
        <w:t xml:space="preserve">فقد </w:t>
      </w:r>
      <w:r w:rsidR="00F15EB8">
        <w:rPr>
          <w:rFonts w:hint="cs"/>
          <w:rtl/>
          <w:lang w:bidi="ar-SY"/>
        </w:rPr>
        <w:t>كررت</w:t>
      </w:r>
      <w:r w:rsidR="00F15EB8">
        <w:rPr>
          <w:rtl/>
          <w:lang w:bidi="ar-SY"/>
        </w:rPr>
        <w:t xml:space="preserve"> </w:t>
      </w:r>
      <w:r w:rsidR="00761A17">
        <w:rPr>
          <w:rtl/>
          <w:lang w:bidi="ar-SY"/>
        </w:rPr>
        <w:t xml:space="preserve">التوصية </w:t>
      </w:r>
      <w:r w:rsidR="00827EFC">
        <w:rPr>
          <w:rFonts w:hint="cs"/>
          <w:rtl/>
          <w:lang w:bidi="ar-SY"/>
        </w:rPr>
        <w:t>بال</w:t>
      </w:r>
      <w:r w:rsidR="00761A17">
        <w:rPr>
          <w:rtl/>
          <w:lang w:bidi="ar-SY"/>
        </w:rPr>
        <w:t>نظر في الحاجة الملحة و</w:t>
      </w:r>
      <w:r w:rsidR="00F15EB8">
        <w:rPr>
          <w:rFonts w:hint="cs"/>
          <w:rtl/>
          <w:lang w:bidi="ar-SY"/>
        </w:rPr>
        <w:t>الماسة</w:t>
      </w:r>
      <w:r w:rsidR="00761A17">
        <w:rPr>
          <w:rtl/>
          <w:lang w:bidi="ar-SY"/>
        </w:rPr>
        <w:t xml:space="preserve"> للإجراءات والممارسات الخاصة بالاتحاد </w:t>
      </w:r>
      <w:r w:rsidR="00827EFC">
        <w:rPr>
          <w:rFonts w:hint="cs"/>
          <w:rtl/>
          <w:lang w:bidi="ar-SY"/>
        </w:rPr>
        <w:t xml:space="preserve">من أجل </w:t>
      </w:r>
      <w:r w:rsidR="00650CC3">
        <w:rPr>
          <w:rFonts w:hint="cs"/>
          <w:rtl/>
          <w:lang w:bidi="ar-SY"/>
        </w:rPr>
        <w:t>ال</w:t>
      </w:r>
      <w:r w:rsidR="00761A17">
        <w:rPr>
          <w:rtl/>
          <w:lang w:bidi="ar-SY"/>
        </w:rPr>
        <w:t xml:space="preserve">تعامل بشكل مناسب مع </w:t>
      </w:r>
      <w:r w:rsidR="00F15EB8">
        <w:rPr>
          <w:rFonts w:hint="cs"/>
          <w:rtl/>
          <w:lang w:bidi="ar-SY"/>
        </w:rPr>
        <w:t xml:space="preserve">عمليات </w:t>
      </w:r>
      <w:r w:rsidR="00761A17">
        <w:rPr>
          <w:rtl/>
          <w:lang w:bidi="ar-SY"/>
        </w:rPr>
        <w:t>التوظيف و</w:t>
      </w:r>
      <w:r w:rsidR="00F15EB8">
        <w:rPr>
          <w:rFonts w:hint="cs"/>
          <w:rtl/>
          <w:lang w:bidi="ar-SY"/>
        </w:rPr>
        <w:t>ال</w:t>
      </w:r>
      <w:r w:rsidR="00761A17">
        <w:rPr>
          <w:rtl/>
          <w:lang w:bidi="ar-SY"/>
        </w:rPr>
        <w:t>إدار</w:t>
      </w:r>
      <w:r w:rsidR="00827EFC">
        <w:rPr>
          <w:rFonts w:hint="cs"/>
          <w:rtl/>
          <w:lang w:bidi="ar-SY"/>
        </w:rPr>
        <w:t>ة</w:t>
      </w:r>
      <w:r w:rsidR="00761A17">
        <w:rPr>
          <w:rtl/>
          <w:lang w:bidi="ar-SY"/>
        </w:rPr>
        <w:t xml:space="preserve"> </w:t>
      </w:r>
      <w:r w:rsidR="00F15EB8">
        <w:rPr>
          <w:rFonts w:hint="cs"/>
          <w:rtl/>
          <w:lang w:bidi="ar-SY"/>
        </w:rPr>
        <w:t>المتعلقة ب</w:t>
      </w:r>
      <w:r w:rsidR="00761A17">
        <w:rPr>
          <w:rtl/>
          <w:lang w:bidi="ar-SY"/>
        </w:rPr>
        <w:t xml:space="preserve">اتفاقات </w:t>
      </w:r>
      <w:r w:rsidR="00F15EB8">
        <w:rPr>
          <w:rFonts w:hint="cs"/>
          <w:rtl/>
          <w:lang w:bidi="ar-SY"/>
        </w:rPr>
        <w:t xml:space="preserve">الخدمة </w:t>
      </w:r>
      <w:r w:rsidR="00761A17">
        <w:rPr>
          <w:rtl/>
          <w:lang w:bidi="ar-SY"/>
        </w:rPr>
        <w:t xml:space="preserve">الخاصة. </w:t>
      </w:r>
      <w:r w:rsidR="00827EFC">
        <w:rPr>
          <w:rFonts w:hint="cs"/>
          <w:rtl/>
          <w:lang w:bidi="ar-SY"/>
        </w:rPr>
        <w:t xml:space="preserve">وتمت </w:t>
      </w:r>
      <w:r w:rsidR="00827EFC" w:rsidRPr="00BA1748">
        <w:rPr>
          <w:rFonts w:hint="cs"/>
          <w:u w:val="single"/>
          <w:rtl/>
          <w:lang w:bidi="ar-SY"/>
        </w:rPr>
        <w:t>التوصية</w:t>
      </w:r>
      <w:r w:rsidR="00827EFC">
        <w:rPr>
          <w:rFonts w:hint="cs"/>
          <w:rtl/>
          <w:lang w:bidi="ar-SY"/>
        </w:rPr>
        <w:t xml:space="preserve"> أيضاً</w:t>
      </w:r>
      <w:r w:rsidR="00761A17">
        <w:rPr>
          <w:rtl/>
          <w:lang w:bidi="ar-SY"/>
        </w:rPr>
        <w:t xml:space="preserve"> بتعزيز الضوابط على مختلف المجالات المذكورة أعلاه وبتصفية الأموال المتبقية المتعلقة بالمشاريع </w:t>
      </w:r>
      <w:r w:rsidR="00F15EB8">
        <w:rPr>
          <w:rtl/>
          <w:lang w:bidi="ar-SY"/>
        </w:rPr>
        <w:t>الم</w:t>
      </w:r>
      <w:r w:rsidR="00F15EB8">
        <w:rPr>
          <w:rFonts w:hint="cs"/>
          <w:rtl/>
          <w:lang w:bidi="ar-SY"/>
        </w:rPr>
        <w:t>نتهية</w:t>
      </w:r>
      <w:r w:rsidR="00761A17">
        <w:rPr>
          <w:rtl/>
          <w:lang w:bidi="ar-SY"/>
        </w:rPr>
        <w:t>.</w:t>
      </w:r>
    </w:p>
    <w:p w14:paraId="238DD4A3" w14:textId="4C9F96DB" w:rsidR="00754CE5" w:rsidRPr="00754CE5" w:rsidRDefault="00754CE5" w:rsidP="00012B0F">
      <w:pPr>
        <w:rPr>
          <w:rtl/>
          <w:lang w:bidi="ar-EG"/>
        </w:rPr>
      </w:pPr>
      <w:r>
        <w:rPr>
          <w:lang w:bidi="ar-EG"/>
        </w:rPr>
        <w:t>13</w:t>
      </w:r>
      <w:r>
        <w:rPr>
          <w:rtl/>
          <w:lang w:bidi="ar-EG"/>
        </w:rPr>
        <w:tab/>
      </w:r>
      <w:r w:rsidR="00B5597D">
        <w:rPr>
          <w:rFonts w:hint="cs"/>
          <w:rtl/>
          <w:lang w:bidi="ar-EG"/>
        </w:rPr>
        <w:t>و</w:t>
      </w:r>
      <w:r w:rsidR="00761A17" w:rsidRPr="00761A17">
        <w:rPr>
          <w:rtl/>
          <w:lang w:bidi="ar-EG"/>
        </w:rPr>
        <w:t>وافقت الإدارة على التوصيات وأبدت التزامها بتنفيذها على وجه السرعة.</w:t>
      </w:r>
    </w:p>
    <w:p w14:paraId="53B98237" w14:textId="77777777" w:rsidR="007F3BD9" w:rsidRPr="00ED6CC9" w:rsidRDefault="007F3BD9" w:rsidP="0026457E">
      <w:pPr>
        <w:pStyle w:val="Headingb"/>
        <w:keepLines/>
        <w:rPr>
          <w:rtl/>
        </w:rPr>
      </w:pPr>
      <w:r w:rsidRPr="00ED6CC9">
        <w:rPr>
          <w:rtl/>
        </w:rPr>
        <w:t>الخدمات الاستشارية لوحدة المراجعة الداخلية</w:t>
      </w:r>
    </w:p>
    <w:p w14:paraId="22681D71" w14:textId="77777777" w:rsidR="007F3BD9" w:rsidRPr="00ED6CC9" w:rsidRDefault="007F3BD9" w:rsidP="0026457E">
      <w:pPr>
        <w:pStyle w:val="Headingb"/>
        <w:keepLines/>
        <w:rPr>
          <w:i/>
          <w:iCs/>
        </w:rPr>
      </w:pPr>
      <w:r w:rsidRPr="00ED6CC9">
        <w:rPr>
          <w:i/>
          <w:iCs/>
          <w:rtl/>
        </w:rPr>
        <w:t>المراجعة المحاسبية الجنائية</w:t>
      </w:r>
    </w:p>
    <w:p w14:paraId="21B95730" w14:textId="2C62D037" w:rsidR="008015CC" w:rsidRDefault="00754CE5" w:rsidP="0026457E">
      <w:pPr>
        <w:keepNext/>
        <w:keepLines/>
        <w:rPr>
          <w:spacing w:val="-2"/>
          <w:rtl/>
          <w:lang w:bidi="ar"/>
        </w:rPr>
      </w:pPr>
      <w:r w:rsidRPr="0026457E">
        <w:rPr>
          <w:spacing w:val="-2"/>
        </w:rPr>
        <w:t>14</w:t>
      </w:r>
      <w:r w:rsidR="007F3BD9" w:rsidRPr="0026457E">
        <w:rPr>
          <w:spacing w:val="-2"/>
          <w:rtl/>
          <w:lang w:bidi="ar-EG"/>
        </w:rPr>
        <w:tab/>
      </w:r>
      <w:r w:rsidR="007F3BD9" w:rsidRPr="0026457E">
        <w:rPr>
          <w:spacing w:val="-2"/>
          <w:rtl/>
          <w:lang w:bidi="ar"/>
        </w:rPr>
        <w:t xml:space="preserve">اعتمد المجلس في دورته لعام 2019 </w:t>
      </w:r>
      <w:hyperlink r:id="rId10" w:history="1">
        <w:r w:rsidR="007F3BD9" w:rsidRPr="0026457E">
          <w:rPr>
            <w:rStyle w:val="Hyperlink"/>
            <w:spacing w:val="-2"/>
            <w:rtl/>
            <w:lang w:bidi="ar"/>
          </w:rPr>
          <w:t>المقرَّر 613</w:t>
        </w:r>
      </w:hyperlink>
      <w:r w:rsidR="007F3BD9" w:rsidRPr="0026457E">
        <w:rPr>
          <w:spacing w:val="-2"/>
          <w:rtl/>
          <w:lang w:bidi="ar"/>
        </w:rPr>
        <w:t xml:space="preserve"> الذي يكلف الأمين العام بإجراء مراجعة محاسبية جنائية. </w:t>
      </w:r>
      <w:r w:rsidR="004F6832" w:rsidRPr="0026457E">
        <w:rPr>
          <w:rFonts w:hint="cs"/>
          <w:spacing w:val="-2"/>
          <w:rtl/>
          <w:lang w:bidi="ar"/>
        </w:rPr>
        <w:t>و</w:t>
      </w:r>
      <w:r w:rsidR="008015CC" w:rsidRPr="0026457E">
        <w:rPr>
          <w:spacing w:val="-2"/>
          <w:rtl/>
          <w:lang w:bidi="ar"/>
        </w:rPr>
        <w:t xml:space="preserve">تم التعاقد مع مؤسسة خارجية متخصصة في تحقيقات الجرائم المالية في يناير 2021 </w:t>
      </w:r>
      <w:r w:rsidR="001F47B2" w:rsidRPr="0026457E">
        <w:rPr>
          <w:rFonts w:hint="cs"/>
          <w:spacing w:val="-2"/>
          <w:rtl/>
          <w:lang w:bidi="ar"/>
        </w:rPr>
        <w:t xml:space="preserve">وقامت بإجراء </w:t>
      </w:r>
      <w:r w:rsidR="004F6832" w:rsidRPr="0026457E">
        <w:rPr>
          <w:spacing w:val="-2"/>
          <w:rtl/>
          <w:lang w:bidi="ar"/>
        </w:rPr>
        <w:t xml:space="preserve">المراجعة المحاسبية الجنائية مع وحدة المراجعة الداخلية بصفة منسّق </w:t>
      </w:r>
      <w:r w:rsidR="004F6832" w:rsidRPr="0026457E">
        <w:rPr>
          <w:rFonts w:hint="cs"/>
          <w:spacing w:val="-2"/>
          <w:rtl/>
          <w:lang w:bidi="ar"/>
        </w:rPr>
        <w:t>لل</w:t>
      </w:r>
      <w:r w:rsidR="008015CC" w:rsidRPr="0026457E">
        <w:rPr>
          <w:spacing w:val="-2"/>
          <w:rtl/>
          <w:lang w:bidi="ar"/>
        </w:rPr>
        <w:t xml:space="preserve">أمانة. </w:t>
      </w:r>
      <w:r w:rsidR="004653FD" w:rsidRPr="0026457E">
        <w:rPr>
          <w:rFonts w:hint="cs"/>
          <w:spacing w:val="-2"/>
          <w:rtl/>
          <w:lang w:bidi="ar"/>
        </w:rPr>
        <w:t>و</w:t>
      </w:r>
      <w:r w:rsidR="008015CC" w:rsidRPr="0026457E">
        <w:rPr>
          <w:spacing w:val="-2"/>
          <w:rtl/>
          <w:lang w:bidi="ar"/>
        </w:rPr>
        <w:t>قدم</w:t>
      </w:r>
      <w:r w:rsidR="004653FD" w:rsidRPr="0026457E">
        <w:rPr>
          <w:rFonts w:hint="cs"/>
          <w:spacing w:val="-2"/>
          <w:rtl/>
          <w:lang w:bidi="ar"/>
        </w:rPr>
        <w:t>ت</w:t>
      </w:r>
      <w:r w:rsidR="008015CC" w:rsidRPr="0026457E">
        <w:rPr>
          <w:spacing w:val="-2"/>
          <w:rtl/>
          <w:lang w:bidi="ar"/>
        </w:rPr>
        <w:t xml:space="preserve"> </w:t>
      </w:r>
      <w:r w:rsidR="004653FD" w:rsidRPr="0026457E">
        <w:rPr>
          <w:spacing w:val="-2"/>
          <w:rtl/>
          <w:lang w:bidi="ar"/>
        </w:rPr>
        <w:t xml:space="preserve">مؤسسة برايس </w:t>
      </w:r>
      <w:proofErr w:type="spellStart"/>
      <w:r w:rsidR="004653FD" w:rsidRPr="0026457E">
        <w:rPr>
          <w:spacing w:val="-2"/>
          <w:rtl/>
          <w:lang w:bidi="ar"/>
        </w:rPr>
        <w:t>ووترهاوس</w:t>
      </w:r>
      <w:proofErr w:type="spellEnd"/>
      <w:r w:rsidR="004653FD" w:rsidRPr="0026457E">
        <w:rPr>
          <w:spacing w:val="-2"/>
          <w:rtl/>
          <w:lang w:bidi="ar"/>
        </w:rPr>
        <w:t xml:space="preserve"> </w:t>
      </w:r>
      <w:proofErr w:type="gramStart"/>
      <w:r w:rsidR="004653FD" w:rsidRPr="0026457E">
        <w:rPr>
          <w:spacing w:val="-2"/>
          <w:rtl/>
          <w:lang w:bidi="ar"/>
        </w:rPr>
        <w:t xml:space="preserve">كوبرز </w:t>
      </w:r>
      <w:r w:rsidR="00BA1748">
        <w:rPr>
          <w:rFonts w:hint="cs"/>
          <w:spacing w:val="-2"/>
          <w:rtl/>
          <w:lang w:bidi="ar"/>
        </w:rPr>
        <w:t xml:space="preserve"> </w:t>
      </w:r>
      <w:r w:rsidR="00BA1748">
        <w:rPr>
          <w:spacing w:val="-2"/>
          <w:lang w:bidi="ar"/>
        </w:rPr>
        <w:t>(</w:t>
      </w:r>
      <w:proofErr w:type="gramEnd"/>
      <w:r w:rsidR="00BA1748">
        <w:rPr>
          <w:spacing w:val="-2"/>
          <w:lang w:bidi="ar"/>
        </w:rPr>
        <w:t>PwC)</w:t>
      </w:r>
      <w:r w:rsidR="00BA1748">
        <w:rPr>
          <w:rFonts w:hint="cs"/>
          <w:spacing w:val="-2"/>
          <w:rtl/>
        </w:rPr>
        <w:t xml:space="preserve"> </w:t>
      </w:r>
      <w:r w:rsidR="004653FD" w:rsidRPr="0026457E">
        <w:rPr>
          <w:spacing w:val="-2"/>
          <w:rtl/>
          <w:lang w:bidi="ar"/>
        </w:rPr>
        <w:t xml:space="preserve">الاستشارية </w:t>
      </w:r>
      <w:r w:rsidR="008015CC" w:rsidRPr="0026457E">
        <w:rPr>
          <w:spacing w:val="-2"/>
          <w:rtl/>
          <w:lang w:bidi="ar"/>
        </w:rPr>
        <w:t xml:space="preserve">تقرير </w:t>
      </w:r>
      <w:r w:rsidR="004653FD" w:rsidRPr="0026457E">
        <w:rPr>
          <w:spacing w:val="-2"/>
          <w:rtl/>
          <w:lang w:bidi="ar"/>
        </w:rPr>
        <w:t>المراجعة المحاسبية الجنائية</w:t>
      </w:r>
      <w:r w:rsidR="004653FD" w:rsidRPr="0026457E">
        <w:rPr>
          <w:rFonts w:hint="cs"/>
          <w:spacing w:val="-2"/>
          <w:rtl/>
          <w:lang w:bidi="ar"/>
        </w:rPr>
        <w:t xml:space="preserve"> </w:t>
      </w:r>
      <w:r w:rsidR="008015CC" w:rsidRPr="0026457E">
        <w:rPr>
          <w:spacing w:val="-2"/>
          <w:rtl/>
          <w:lang w:bidi="ar"/>
        </w:rPr>
        <w:t>الخاص به</w:t>
      </w:r>
      <w:r w:rsidR="004653FD" w:rsidRPr="0026457E">
        <w:rPr>
          <w:rFonts w:hint="cs"/>
          <w:spacing w:val="-2"/>
          <w:rtl/>
          <w:lang w:bidi="ar"/>
        </w:rPr>
        <w:t>ا</w:t>
      </w:r>
      <w:r w:rsidR="008015CC" w:rsidRPr="0026457E">
        <w:rPr>
          <w:spacing w:val="-2"/>
          <w:rtl/>
          <w:lang w:bidi="ar"/>
        </w:rPr>
        <w:t xml:space="preserve"> إلى المشاورة الافتراضية </w:t>
      </w:r>
      <w:r w:rsidR="00E46209" w:rsidRPr="0026457E">
        <w:rPr>
          <w:spacing w:val="-2"/>
          <w:rtl/>
          <w:lang w:bidi="ar"/>
        </w:rPr>
        <w:t xml:space="preserve">لأعضاء المجلس </w:t>
      </w:r>
      <w:r w:rsidR="008015CC" w:rsidRPr="0026457E">
        <w:rPr>
          <w:spacing w:val="-2"/>
          <w:rtl/>
          <w:lang w:bidi="ar"/>
        </w:rPr>
        <w:t>لعام 2021</w:t>
      </w:r>
      <w:r w:rsidR="00E46209" w:rsidRPr="0026457E">
        <w:rPr>
          <w:rFonts w:hint="cs"/>
          <w:spacing w:val="-2"/>
          <w:rtl/>
          <w:lang w:bidi="ar"/>
        </w:rPr>
        <w:t>،</w:t>
      </w:r>
      <w:r w:rsidR="008015CC" w:rsidRPr="0026457E">
        <w:rPr>
          <w:spacing w:val="-2"/>
          <w:rtl/>
          <w:lang w:bidi="ar"/>
        </w:rPr>
        <w:t xml:space="preserve"> وذكر</w:t>
      </w:r>
      <w:r w:rsidR="00E46209" w:rsidRPr="0026457E">
        <w:rPr>
          <w:rFonts w:hint="cs"/>
          <w:spacing w:val="-2"/>
          <w:rtl/>
          <w:lang w:bidi="ar"/>
        </w:rPr>
        <w:t>ت</w:t>
      </w:r>
      <w:r w:rsidR="008015CC" w:rsidRPr="0026457E">
        <w:rPr>
          <w:spacing w:val="-2"/>
          <w:rtl/>
          <w:lang w:bidi="ar"/>
        </w:rPr>
        <w:t xml:space="preserve"> أن التقرير النهائي سيكون متاحا</w:t>
      </w:r>
      <w:r w:rsidR="00E46209" w:rsidRPr="0026457E">
        <w:rPr>
          <w:rFonts w:hint="cs"/>
          <w:spacing w:val="-2"/>
          <w:rtl/>
          <w:lang w:bidi="ar"/>
        </w:rPr>
        <w:t>ً</w:t>
      </w:r>
      <w:r w:rsidR="008015CC" w:rsidRPr="0026457E">
        <w:rPr>
          <w:spacing w:val="-2"/>
          <w:rtl/>
          <w:lang w:bidi="ar"/>
        </w:rPr>
        <w:t xml:space="preserve"> في سبتمبر 2021 والذي سي</w:t>
      </w:r>
      <w:r w:rsidR="00650CC3" w:rsidRPr="0026457E">
        <w:rPr>
          <w:rFonts w:hint="cs"/>
          <w:spacing w:val="-2"/>
          <w:rtl/>
          <w:lang w:bidi="ar"/>
        </w:rPr>
        <w:t>ُ</w:t>
      </w:r>
      <w:r w:rsidR="008015CC" w:rsidRPr="0026457E">
        <w:rPr>
          <w:spacing w:val="-2"/>
          <w:rtl/>
          <w:lang w:bidi="ar"/>
        </w:rPr>
        <w:t>كمل النتائج الواردة في تقرير ال</w:t>
      </w:r>
      <w:r w:rsidR="00E46209" w:rsidRPr="0026457E">
        <w:rPr>
          <w:rFonts w:hint="cs"/>
          <w:spacing w:val="-2"/>
          <w:rtl/>
          <w:lang w:bidi="ar"/>
        </w:rPr>
        <w:t>ت</w:t>
      </w:r>
      <w:r w:rsidR="008015CC" w:rsidRPr="0026457E">
        <w:rPr>
          <w:spacing w:val="-2"/>
          <w:rtl/>
          <w:lang w:bidi="ar"/>
        </w:rPr>
        <w:t xml:space="preserve">فحص الأولي. </w:t>
      </w:r>
      <w:r w:rsidR="009C5EC3" w:rsidRPr="0026457E">
        <w:rPr>
          <w:rFonts w:hint="cs"/>
          <w:spacing w:val="-2"/>
          <w:rtl/>
          <w:lang w:bidi="ar"/>
        </w:rPr>
        <w:t xml:space="preserve">وقُدمت </w:t>
      </w:r>
      <w:r w:rsidR="009C5EC3" w:rsidRPr="0026457E">
        <w:rPr>
          <w:spacing w:val="-2"/>
          <w:rtl/>
          <w:lang w:bidi="ar"/>
        </w:rPr>
        <w:t xml:space="preserve">مؤسسة برايس </w:t>
      </w:r>
      <w:proofErr w:type="spellStart"/>
      <w:r w:rsidR="009C5EC3" w:rsidRPr="0026457E">
        <w:rPr>
          <w:spacing w:val="-2"/>
          <w:rtl/>
          <w:lang w:bidi="ar"/>
        </w:rPr>
        <w:t>ووترهاوس</w:t>
      </w:r>
      <w:proofErr w:type="spellEnd"/>
      <w:r w:rsidR="009C5EC3" w:rsidRPr="0026457E">
        <w:rPr>
          <w:spacing w:val="-2"/>
          <w:rtl/>
          <w:lang w:bidi="ar"/>
        </w:rPr>
        <w:t xml:space="preserve"> كوبرز</w:t>
      </w:r>
      <w:r w:rsidR="008015CC" w:rsidRPr="0026457E">
        <w:rPr>
          <w:spacing w:val="-2"/>
          <w:rtl/>
          <w:lang w:bidi="ar"/>
        </w:rPr>
        <w:t xml:space="preserve"> تقرير </w:t>
      </w:r>
      <w:r w:rsidR="009C5EC3" w:rsidRPr="0026457E">
        <w:rPr>
          <w:spacing w:val="-2"/>
          <w:rtl/>
          <w:lang w:bidi="ar"/>
        </w:rPr>
        <w:t>المراجعة المحاسبية الجنائية</w:t>
      </w:r>
      <w:r w:rsidR="009C5EC3" w:rsidRPr="0026457E">
        <w:rPr>
          <w:rFonts w:hint="cs"/>
          <w:spacing w:val="-2"/>
          <w:rtl/>
          <w:lang w:bidi="ar"/>
        </w:rPr>
        <w:t xml:space="preserve"> </w:t>
      </w:r>
      <w:r w:rsidR="008015CC" w:rsidRPr="0026457E">
        <w:rPr>
          <w:spacing w:val="-2"/>
          <w:rtl/>
          <w:lang w:bidi="ar"/>
        </w:rPr>
        <w:t xml:space="preserve">النهائي خلال الاجتماع الرابع عشر لفريق </w:t>
      </w:r>
      <w:r w:rsidR="00955E56" w:rsidRPr="0026457E">
        <w:rPr>
          <w:spacing w:val="-2"/>
          <w:rtl/>
          <w:lang w:bidi="ar"/>
        </w:rPr>
        <w:t xml:space="preserve">العمل التابع للمجلس المعني </w:t>
      </w:r>
      <w:r w:rsidR="00815AB9">
        <w:rPr>
          <w:rFonts w:hint="cs"/>
          <w:spacing w:val="-2"/>
          <w:rtl/>
          <w:lang w:bidi="ar"/>
        </w:rPr>
        <w:t>بالموارد المالية والبشرية</w:t>
      </w:r>
      <w:r w:rsidR="00983290">
        <w:rPr>
          <w:rFonts w:hint="cs"/>
          <w:spacing w:val="-2"/>
          <w:rtl/>
          <w:lang w:bidi="ar"/>
        </w:rPr>
        <w:t xml:space="preserve"> </w:t>
      </w:r>
      <w:r w:rsidR="00983290">
        <w:rPr>
          <w:spacing w:val="-2"/>
          <w:lang w:bidi="ar"/>
        </w:rPr>
        <w:t>(CWG-FHR)</w:t>
      </w:r>
      <w:r w:rsidR="00955E56" w:rsidRPr="0026457E">
        <w:rPr>
          <w:rFonts w:hint="cs"/>
          <w:spacing w:val="-2"/>
          <w:rtl/>
          <w:lang w:bidi="ar"/>
        </w:rPr>
        <w:t xml:space="preserve"> الذ</w:t>
      </w:r>
      <w:r w:rsidR="00955E56" w:rsidRPr="0026457E">
        <w:rPr>
          <w:spacing w:val="-2"/>
          <w:rtl/>
          <w:lang w:bidi="ar"/>
        </w:rPr>
        <w:t>ي</w:t>
      </w:r>
      <w:r w:rsidR="008015CC" w:rsidRPr="0026457E">
        <w:rPr>
          <w:spacing w:val="-2"/>
          <w:rtl/>
          <w:lang w:bidi="ar"/>
        </w:rPr>
        <w:t xml:space="preserve"> عُقد </w:t>
      </w:r>
      <w:r w:rsidR="00955E56" w:rsidRPr="0026457E">
        <w:rPr>
          <w:rFonts w:hint="cs"/>
          <w:spacing w:val="-2"/>
          <w:rtl/>
          <w:lang w:bidi="ar"/>
        </w:rPr>
        <w:t>افتراضياً</w:t>
      </w:r>
      <w:r w:rsidR="008015CC" w:rsidRPr="0026457E">
        <w:rPr>
          <w:spacing w:val="-2"/>
          <w:rtl/>
          <w:lang w:bidi="ar"/>
        </w:rPr>
        <w:t xml:space="preserve"> في</w:t>
      </w:r>
      <w:r w:rsidR="00397F03">
        <w:rPr>
          <w:rFonts w:hint="cs"/>
          <w:spacing w:val="-2"/>
          <w:rtl/>
          <w:lang w:bidi="ar"/>
        </w:rPr>
        <w:t> </w:t>
      </w:r>
      <w:r w:rsidR="008015CC" w:rsidRPr="0026457E">
        <w:rPr>
          <w:spacing w:val="-2"/>
          <w:rtl/>
          <w:lang w:bidi="ar"/>
        </w:rPr>
        <w:t xml:space="preserve">20 و21 سبتمبر 2021. وخلص </w:t>
      </w:r>
      <w:r w:rsidR="00ED7152" w:rsidRPr="0026457E">
        <w:rPr>
          <w:rFonts w:hint="cs"/>
          <w:spacing w:val="-2"/>
          <w:rtl/>
          <w:lang w:bidi="ar"/>
        </w:rPr>
        <w:t xml:space="preserve">التقرير </w:t>
      </w:r>
      <w:r w:rsidR="008015CC" w:rsidRPr="0026457E">
        <w:rPr>
          <w:spacing w:val="-2"/>
          <w:rtl/>
          <w:lang w:bidi="ar"/>
        </w:rPr>
        <w:t xml:space="preserve">إلى أن </w:t>
      </w:r>
      <w:r w:rsidR="008015CC" w:rsidRPr="0026457E">
        <w:rPr>
          <w:i/>
          <w:iCs/>
          <w:spacing w:val="-2"/>
          <w:rtl/>
          <w:lang w:bidi="ar"/>
        </w:rPr>
        <w:t xml:space="preserve">"الأمانة </w:t>
      </w:r>
      <w:r w:rsidR="00A57369" w:rsidRPr="0026457E">
        <w:rPr>
          <w:rFonts w:hint="cs"/>
          <w:i/>
          <w:iCs/>
          <w:spacing w:val="-2"/>
          <w:rtl/>
          <w:lang w:bidi="ar"/>
        </w:rPr>
        <w:t>ستقدم تحديثاً بشأن</w:t>
      </w:r>
      <w:r w:rsidR="008015CC" w:rsidRPr="0026457E">
        <w:rPr>
          <w:i/>
          <w:iCs/>
          <w:spacing w:val="-2"/>
          <w:rtl/>
          <w:lang w:bidi="ar"/>
        </w:rPr>
        <w:t xml:space="preserve"> </w:t>
      </w:r>
      <w:r w:rsidR="00A57369" w:rsidRPr="0026457E">
        <w:rPr>
          <w:i/>
          <w:iCs/>
          <w:spacing w:val="-2"/>
          <w:rtl/>
          <w:lang w:bidi="ar"/>
        </w:rPr>
        <w:t xml:space="preserve">متابعة الإجراءات </w:t>
      </w:r>
      <w:r w:rsidR="00A57369" w:rsidRPr="0026457E">
        <w:rPr>
          <w:rFonts w:hint="cs"/>
          <w:i/>
          <w:iCs/>
          <w:spacing w:val="-2"/>
          <w:rtl/>
          <w:lang w:bidi="ar"/>
        </w:rPr>
        <w:t xml:space="preserve">في </w:t>
      </w:r>
      <w:r w:rsidR="00650CC3" w:rsidRPr="0026457E">
        <w:rPr>
          <w:rFonts w:hint="cs"/>
          <w:i/>
          <w:iCs/>
          <w:spacing w:val="-2"/>
          <w:rtl/>
          <w:lang w:bidi="ar"/>
        </w:rPr>
        <w:t>الاجتماع التالي</w:t>
      </w:r>
      <w:r w:rsidR="008015CC" w:rsidRPr="0026457E">
        <w:rPr>
          <w:i/>
          <w:iCs/>
          <w:spacing w:val="-2"/>
          <w:rtl/>
          <w:lang w:bidi="ar"/>
        </w:rPr>
        <w:t xml:space="preserve"> </w:t>
      </w:r>
      <w:r w:rsidR="00650CC3" w:rsidRPr="0026457E">
        <w:rPr>
          <w:rFonts w:hint="cs"/>
          <w:i/>
          <w:iCs/>
          <w:spacing w:val="-2"/>
          <w:rtl/>
          <w:lang w:bidi="ar"/>
        </w:rPr>
        <w:t>ل</w:t>
      </w:r>
      <w:r w:rsidR="00A57369" w:rsidRPr="0026457E">
        <w:rPr>
          <w:i/>
          <w:iCs/>
          <w:spacing w:val="-2"/>
          <w:rtl/>
          <w:lang w:bidi="ar"/>
        </w:rPr>
        <w:t xml:space="preserve">فريق العمل التابع للمجلس المعني </w:t>
      </w:r>
      <w:r w:rsidR="00936776">
        <w:rPr>
          <w:rFonts w:hint="cs"/>
          <w:i/>
          <w:iCs/>
          <w:spacing w:val="-2"/>
          <w:rtl/>
          <w:lang w:bidi="ar"/>
        </w:rPr>
        <w:t>بالموارد المالية والبشرية</w:t>
      </w:r>
      <w:r w:rsidR="008015CC" w:rsidRPr="0026457E">
        <w:rPr>
          <w:i/>
          <w:iCs/>
          <w:spacing w:val="-2"/>
          <w:rtl/>
          <w:lang w:bidi="ar"/>
        </w:rPr>
        <w:t>"</w:t>
      </w:r>
      <w:r w:rsidR="008015CC" w:rsidRPr="0026457E">
        <w:rPr>
          <w:spacing w:val="-2"/>
          <w:rtl/>
          <w:lang w:bidi="ar"/>
        </w:rPr>
        <w:t xml:space="preserve">. </w:t>
      </w:r>
      <w:r w:rsidR="00A57369" w:rsidRPr="0026457E">
        <w:rPr>
          <w:rFonts w:hint="cs"/>
          <w:spacing w:val="-2"/>
          <w:rtl/>
          <w:lang w:bidi="ar"/>
        </w:rPr>
        <w:t>و</w:t>
      </w:r>
      <w:r w:rsidR="008015CC" w:rsidRPr="0026457E">
        <w:rPr>
          <w:spacing w:val="-2"/>
          <w:rtl/>
          <w:lang w:bidi="ar"/>
        </w:rPr>
        <w:t xml:space="preserve">نسقت </w:t>
      </w:r>
      <w:r w:rsidR="00A57369" w:rsidRPr="0026457E">
        <w:rPr>
          <w:rFonts w:hint="cs"/>
          <w:spacing w:val="-2"/>
          <w:rtl/>
          <w:lang w:bidi="ar"/>
        </w:rPr>
        <w:t>الوحدة</w:t>
      </w:r>
      <w:r w:rsidR="008015CC" w:rsidRPr="0026457E">
        <w:rPr>
          <w:spacing w:val="-2"/>
          <w:rtl/>
          <w:lang w:bidi="ar"/>
        </w:rPr>
        <w:t xml:space="preserve"> وثيقة ملخص الأمانة (</w:t>
      </w:r>
      <w:hyperlink r:id="rId11" w:history="1">
        <w:r w:rsidR="008015CC" w:rsidRPr="0026457E">
          <w:rPr>
            <w:rStyle w:val="Hyperlink"/>
            <w:spacing w:val="-2"/>
            <w:lang w:bidi="ar"/>
          </w:rPr>
          <w:t>CWG</w:t>
        </w:r>
        <w:r w:rsidR="0026457E" w:rsidRPr="0026457E">
          <w:rPr>
            <w:rStyle w:val="Hyperlink"/>
            <w:spacing w:val="-2"/>
            <w:lang w:bidi="ar"/>
          </w:rPr>
          <w:noBreakHyphen/>
        </w:r>
        <w:r w:rsidR="008015CC" w:rsidRPr="0026457E">
          <w:rPr>
            <w:rStyle w:val="Hyperlink"/>
            <w:spacing w:val="-2"/>
            <w:lang w:bidi="ar"/>
          </w:rPr>
          <w:t>FHR</w:t>
        </w:r>
        <w:r w:rsidR="0026457E" w:rsidRPr="0026457E">
          <w:rPr>
            <w:rStyle w:val="Hyperlink"/>
            <w:spacing w:val="-2"/>
            <w:lang w:bidi="ar"/>
          </w:rPr>
          <w:noBreakHyphen/>
        </w:r>
        <w:r w:rsidR="008015CC" w:rsidRPr="0026457E">
          <w:rPr>
            <w:rStyle w:val="Hyperlink"/>
            <w:spacing w:val="-2"/>
            <w:lang w:bidi="ar"/>
          </w:rPr>
          <w:t>15/3</w:t>
        </w:r>
      </w:hyperlink>
      <w:r w:rsidR="008015CC" w:rsidRPr="0026457E">
        <w:rPr>
          <w:spacing w:val="-2"/>
          <w:rtl/>
          <w:lang w:bidi="ar"/>
        </w:rPr>
        <w:t xml:space="preserve">) </w:t>
      </w:r>
      <w:r w:rsidR="00A57369" w:rsidRPr="0026457E">
        <w:rPr>
          <w:spacing w:val="-2"/>
          <w:rtl/>
          <w:lang w:bidi="ar"/>
        </w:rPr>
        <w:t>وأعدت</w:t>
      </w:r>
      <w:r w:rsidR="00A57369" w:rsidRPr="0026457E">
        <w:rPr>
          <w:rFonts w:hint="cs"/>
          <w:spacing w:val="-2"/>
          <w:rtl/>
          <w:lang w:bidi="ar"/>
        </w:rPr>
        <w:t>ها، وتتضمن الوثيقة</w:t>
      </w:r>
      <w:r w:rsidR="00A57369" w:rsidRPr="0026457E">
        <w:rPr>
          <w:spacing w:val="-2"/>
          <w:rtl/>
          <w:lang w:bidi="ar"/>
        </w:rPr>
        <w:t xml:space="preserve"> </w:t>
      </w:r>
      <w:r w:rsidR="008015CC" w:rsidRPr="00983290">
        <w:rPr>
          <w:spacing w:val="-2"/>
          <w:u w:val="single"/>
          <w:rtl/>
          <w:lang w:bidi="ar"/>
        </w:rPr>
        <w:t>حالة تنفيذ الإجراءات</w:t>
      </w:r>
      <w:r w:rsidR="008015CC" w:rsidRPr="0026457E">
        <w:rPr>
          <w:spacing w:val="-2"/>
          <w:rtl/>
          <w:lang w:bidi="ar"/>
        </w:rPr>
        <w:t xml:space="preserve"> المقترحة من </w:t>
      </w:r>
      <w:r w:rsidR="00A57369" w:rsidRPr="0026457E">
        <w:rPr>
          <w:spacing w:val="-2"/>
          <w:rtl/>
          <w:lang w:bidi="ar"/>
        </w:rPr>
        <w:t xml:space="preserve">مؤسسة برايس </w:t>
      </w:r>
      <w:proofErr w:type="spellStart"/>
      <w:r w:rsidR="00A57369" w:rsidRPr="0026457E">
        <w:rPr>
          <w:spacing w:val="-2"/>
          <w:rtl/>
          <w:lang w:bidi="ar"/>
        </w:rPr>
        <w:t>ووترهاوس</w:t>
      </w:r>
      <w:proofErr w:type="spellEnd"/>
      <w:r w:rsidR="00A57369" w:rsidRPr="0026457E">
        <w:rPr>
          <w:spacing w:val="-2"/>
          <w:rtl/>
          <w:lang w:bidi="ar"/>
        </w:rPr>
        <w:t xml:space="preserve"> كوبرز</w:t>
      </w:r>
      <w:r w:rsidR="00DC441A" w:rsidRPr="0026457E">
        <w:rPr>
          <w:rFonts w:hint="cs"/>
          <w:spacing w:val="-2"/>
          <w:rtl/>
          <w:lang w:bidi="ar"/>
        </w:rPr>
        <w:t>، وذلك من أجل</w:t>
      </w:r>
      <w:r w:rsidR="00A57369" w:rsidRPr="0026457E">
        <w:rPr>
          <w:spacing w:val="-2"/>
          <w:rtl/>
          <w:lang w:bidi="ar"/>
        </w:rPr>
        <w:t xml:space="preserve"> </w:t>
      </w:r>
      <w:r w:rsidR="00772606" w:rsidRPr="0026457E">
        <w:rPr>
          <w:rFonts w:hint="cs"/>
          <w:spacing w:val="-2"/>
          <w:rtl/>
          <w:lang w:bidi="ar"/>
        </w:rPr>
        <w:t>ال</w:t>
      </w:r>
      <w:r w:rsidR="008015CC" w:rsidRPr="0026457E">
        <w:rPr>
          <w:spacing w:val="-2"/>
          <w:rtl/>
          <w:lang w:bidi="ar"/>
        </w:rPr>
        <w:t xml:space="preserve">اجتماع الخامس عشر </w:t>
      </w:r>
      <w:r w:rsidR="00772606" w:rsidRPr="0026457E">
        <w:rPr>
          <w:spacing w:val="-2"/>
          <w:rtl/>
          <w:lang w:bidi="ar"/>
        </w:rPr>
        <w:t xml:space="preserve">لفريق العمل التابع للمجلس المعني </w:t>
      </w:r>
      <w:r w:rsidR="0003555A">
        <w:rPr>
          <w:rFonts w:hint="cs"/>
          <w:spacing w:val="-2"/>
          <w:rtl/>
          <w:lang w:bidi="ar"/>
        </w:rPr>
        <w:t>بالموارد المالية والبشرية</w:t>
      </w:r>
      <w:r w:rsidR="008015CC" w:rsidRPr="0026457E">
        <w:rPr>
          <w:spacing w:val="-2"/>
          <w:rtl/>
          <w:lang w:bidi="ar"/>
        </w:rPr>
        <w:t xml:space="preserve"> الذي عقد </w:t>
      </w:r>
      <w:r w:rsidR="00772606" w:rsidRPr="0026457E">
        <w:rPr>
          <w:rFonts w:hint="cs"/>
          <w:spacing w:val="-2"/>
          <w:rtl/>
          <w:lang w:bidi="ar"/>
        </w:rPr>
        <w:t>افتراضياً</w:t>
      </w:r>
      <w:r w:rsidR="008015CC" w:rsidRPr="0026457E">
        <w:rPr>
          <w:spacing w:val="-2"/>
          <w:rtl/>
          <w:lang w:bidi="ar"/>
        </w:rPr>
        <w:t xml:space="preserve"> يومي 11 و12 يناير 2022.</w:t>
      </w:r>
    </w:p>
    <w:p w14:paraId="0B4D2193" w14:textId="0E6DE340" w:rsidR="00397F03" w:rsidRDefault="00397F03" w:rsidP="0026457E">
      <w:pPr>
        <w:keepNext/>
        <w:keepLines/>
        <w:rPr>
          <w:spacing w:val="-2"/>
          <w:rtl/>
          <w:lang w:bidi="ar"/>
        </w:rPr>
      </w:pPr>
      <w:r>
        <w:rPr>
          <w:spacing w:val="-2"/>
          <w:rtl/>
          <w:lang w:bidi="ar"/>
        </w:rPr>
        <w:br w:type="page"/>
      </w:r>
    </w:p>
    <w:p w14:paraId="6196CF01" w14:textId="77777777" w:rsidR="007F3BD9" w:rsidRPr="00ED6CC9" w:rsidRDefault="007F3BD9" w:rsidP="007F3BD9">
      <w:pPr>
        <w:pStyle w:val="Headingb"/>
        <w:pageBreakBefore/>
        <w:rPr>
          <w:rtl/>
        </w:rPr>
      </w:pPr>
      <w:r w:rsidRPr="00ED6CC9">
        <w:rPr>
          <w:rtl/>
        </w:rPr>
        <w:lastRenderedPageBreak/>
        <w:t>متابعة تنفيذ توصيات وحدة المراجعة الداخلية</w:t>
      </w:r>
    </w:p>
    <w:p w14:paraId="71903898" w14:textId="3455E208" w:rsidR="007F3BD9" w:rsidRPr="00ED6CC9" w:rsidRDefault="006974CB" w:rsidP="007F3BD9">
      <w:pPr>
        <w:spacing w:after="120"/>
        <w:rPr>
          <w:rtl/>
        </w:rPr>
      </w:pPr>
      <w:r>
        <w:t>15</w:t>
      </w:r>
      <w:r w:rsidR="007F3BD9" w:rsidRPr="00ED6CC9">
        <w:rPr>
          <w:rtl/>
        </w:rPr>
        <w:tab/>
        <w:t>واصلت وحدة المراجعة الداخلية طيلة الفترة المشمولة بهذا التقرير متابعة تنفيذ التوصيات التي قُدمت في</w:t>
      </w:r>
      <w:r w:rsidR="007F3BD9" w:rsidRPr="00ED6CC9">
        <w:rPr>
          <w:rFonts w:hint="eastAsia"/>
          <w:rtl/>
        </w:rPr>
        <w:t> </w:t>
      </w:r>
      <w:r w:rsidR="007F3BD9" w:rsidRPr="00ED6CC9">
        <w:rPr>
          <w:rtl/>
        </w:rPr>
        <w:t xml:space="preserve">تقارير المراجعة السابقة. وقد لوحظ أنه تحقق على مدى الاثني عشر شهراً الأخيرة مزيد من التقدم، وترد فيما يلي الإحصاءات المتعلقة بتنفيذ التوصيات (في </w:t>
      </w:r>
      <w:r w:rsidR="007F3BD9" w:rsidRPr="00ED6CC9">
        <w:rPr>
          <w:rtl/>
          <w:lang w:val="en-CA"/>
        </w:rPr>
        <w:t xml:space="preserve">31 </w:t>
      </w:r>
      <w:r>
        <w:rPr>
          <w:rFonts w:hint="cs"/>
          <w:rtl/>
          <w:lang w:val="en-CA"/>
        </w:rPr>
        <w:t>يناير</w:t>
      </w:r>
      <w:r w:rsidR="007F3BD9" w:rsidRPr="00ED6CC9">
        <w:rPr>
          <w:rtl/>
          <w:lang w:val="en-CA"/>
        </w:rPr>
        <w:t xml:space="preserve"> </w:t>
      </w:r>
      <w:r>
        <w:rPr>
          <w:lang w:val="en-CA"/>
        </w:rPr>
        <w:t>2022</w:t>
      </w:r>
      <w:r w:rsidR="007F3BD9" w:rsidRPr="00ED6CC9">
        <w:rPr>
          <w:rtl/>
          <w:lang w:bidi="ar-EG"/>
        </w:rPr>
        <w:t>)</w:t>
      </w:r>
      <w:r w:rsidR="007F3BD9" w:rsidRPr="00ED6CC9">
        <w:rPr>
          <w:rtl/>
        </w:rPr>
        <w:t>:</w:t>
      </w:r>
    </w:p>
    <w:tbl>
      <w:tblPr>
        <w:bidiVisual/>
        <w:tblW w:w="9629" w:type="dxa"/>
        <w:jc w:val="center"/>
        <w:tblLook w:val="04A0" w:firstRow="1" w:lastRow="0" w:firstColumn="1" w:lastColumn="0" w:noHBand="0" w:noVBand="1"/>
      </w:tblPr>
      <w:tblGrid>
        <w:gridCol w:w="1515"/>
        <w:gridCol w:w="704"/>
        <w:gridCol w:w="715"/>
        <w:gridCol w:w="708"/>
        <w:gridCol w:w="709"/>
        <w:gridCol w:w="709"/>
        <w:gridCol w:w="693"/>
        <w:gridCol w:w="662"/>
        <w:gridCol w:w="584"/>
        <w:gridCol w:w="584"/>
        <w:gridCol w:w="584"/>
        <w:gridCol w:w="617"/>
        <w:gridCol w:w="845"/>
      </w:tblGrid>
      <w:tr w:rsidR="00105B39" w:rsidRPr="00625560" w14:paraId="7320D88D" w14:textId="77777777" w:rsidTr="00BA382B">
        <w:trPr>
          <w:trHeight w:val="3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4D81A40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السنة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3173ECFB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475729F5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75F16E7F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4A28FDD0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219E022F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45C694F3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6E4CF9E1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1A1B1125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1B6D7B34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cMar>
              <w:left w:w="85" w:type="dxa"/>
              <w:right w:w="85" w:type="dxa"/>
            </w:tcMar>
            <w:vAlign w:val="bottom"/>
          </w:tcPr>
          <w:p w14:paraId="521C4DA9" w14:textId="77777777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z w:val="18"/>
                <w:szCs w:val="18"/>
              </w:rPr>
            </w:pPr>
            <w:r w:rsidRPr="00105B39">
              <w:rPr>
                <w:color w:val="FFFFFF"/>
                <w:sz w:val="18"/>
                <w:szCs w:val="18"/>
              </w:rPr>
              <w:t>2020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2F03D417" w14:textId="5E607B25" w:rsidR="006974CB" w:rsidRPr="00105B39" w:rsidRDefault="006974CB" w:rsidP="007C23B9">
            <w:pPr>
              <w:pStyle w:val="TableHead"/>
              <w:spacing w:line="240" w:lineRule="exact"/>
              <w:rPr>
                <w:color w:val="FFFFFF"/>
                <w:spacing w:val="-6"/>
                <w:sz w:val="18"/>
                <w:szCs w:val="18"/>
                <w:rtl/>
              </w:rPr>
            </w:pPr>
            <w:r w:rsidRPr="00105B39">
              <w:rPr>
                <w:color w:val="FFFFFF"/>
                <w:spacing w:val="-6"/>
                <w:sz w:val="18"/>
                <w:szCs w:val="18"/>
              </w:rPr>
              <w:t>2021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cMar>
              <w:left w:w="85" w:type="dxa"/>
              <w:right w:w="85" w:type="dxa"/>
            </w:tcMar>
            <w:vAlign w:val="bottom"/>
            <w:hideMark/>
          </w:tcPr>
          <w:p w14:paraId="22DC2915" w14:textId="4A11FC2B" w:rsidR="006974CB" w:rsidRPr="00575642" w:rsidRDefault="006974CB" w:rsidP="007C23B9">
            <w:pPr>
              <w:pStyle w:val="TableHead"/>
              <w:spacing w:line="240" w:lineRule="exact"/>
              <w:rPr>
                <w:color w:val="FFFFFF"/>
                <w:spacing w:val="-6"/>
                <w:sz w:val="18"/>
                <w:szCs w:val="18"/>
              </w:rPr>
            </w:pPr>
            <w:r w:rsidRPr="00575642">
              <w:rPr>
                <w:color w:val="FFFFFF"/>
                <w:spacing w:val="-6"/>
                <w:sz w:val="18"/>
                <w:szCs w:val="18"/>
                <w:rtl/>
              </w:rPr>
              <w:t>المجموع</w:t>
            </w:r>
          </w:p>
        </w:tc>
      </w:tr>
      <w:tr w:rsidR="00105B39" w:rsidRPr="00625560" w14:paraId="1CEA4E2B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5D4" w14:textId="2D827838" w:rsidR="006974CB" w:rsidRPr="00105B39" w:rsidRDefault="006974CB" w:rsidP="007C23B9">
            <w:pPr>
              <w:pStyle w:val="Tabletexte"/>
              <w:spacing w:line="240" w:lineRule="exac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عدد</w:t>
            </w:r>
            <w:r w:rsidR="00AD4789" w:rsidRPr="00105B39">
              <w:rPr>
                <w:rFonts w:hint="cs"/>
                <w:sz w:val="18"/>
                <w:szCs w:val="18"/>
                <w:rtl/>
              </w:rPr>
              <w:t> </w:t>
            </w:r>
            <w:r w:rsidRPr="00105B39">
              <w:rPr>
                <w:sz w:val="18"/>
                <w:szCs w:val="18"/>
                <w:rtl/>
              </w:rPr>
              <w:t>تقارير/مذكرات المراجعة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C28D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819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C2E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05A2D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056C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DCF6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9BA31" w14:textId="3D8D54CB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8D09A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785E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CBBA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971" w14:textId="2931AD34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  <w:lang w:bidi="ar-EG"/>
              </w:rPr>
            </w:pPr>
            <w:r w:rsidRPr="00105B39">
              <w:rPr>
                <w:rFonts w:hint="cs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6F6109" w14:textId="1E6A69B0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3</w:t>
            </w:r>
            <w:r w:rsidR="00BB5F27" w:rsidRPr="00105B39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105B39" w:rsidRPr="00625560" w14:paraId="3B49FF18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8E6D" w14:textId="60B55A25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pacing w:val="-2"/>
                <w:sz w:val="18"/>
                <w:szCs w:val="18"/>
              </w:rPr>
            </w:pPr>
            <w:r w:rsidRPr="00105B39">
              <w:rPr>
                <w:spacing w:val="-2"/>
                <w:sz w:val="18"/>
                <w:szCs w:val="18"/>
                <w:rtl/>
              </w:rPr>
              <w:t>التوصيات</w:t>
            </w:r>
            <w:r w:rsidR="00105B39" w:rsidRPr="00105B39">
              <w:rPr>
                <w:spacing w:val="-2"/>
                <w:sz w:val="18"/>
                <w:szCs w:val="18"/>
              </w:rPr>
              <w:t> </w:t>
            </w:r>
            <w:r w:rsidRPr="00105B39">
              <w:rPr>
                <w:spacing w:val="-2"/>
                <w:sz w:val="18"/>
                <w:szCs w:val="18"/>
                <w:rtl/>
              </w:rPr>
              <w:t>-</w:t>
            </w:r>
            <w:r w:rsidR="00105B39" w:rsidRPr="00105B39">
              <w:rPr>
                <w:spacing w:val="-2"/>
                <w:sz w:val="18"/>
                <w:szCs w:val="18"/>
              </w:rPr>
              <w:t> </w:t>
            </w:r>
            <w:r w:rsidRPr="00105B39">
              <w:rPr>
                <w:spacing w:val="-2"/>
                <w:sz w:val="18"/>
                <w:szCs w:val="18"/>
                <w:rtl/>
              </w:rPr>
              <w:t>المجموع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DE6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604B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FF68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DEA75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874C1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34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93D978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0AA3C4" w14:textId="3BEF1E5B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3</w:t>
            </w:r>
            <w:r w:rsidR="00BB5F27" w:rsidRPr="00105B39">
              <w:rPr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96182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E80C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65B9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D46E" w14:textId="14DAB8BC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7113C7B" w14:textId="650901A4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3</w:t>
            </w:r>
            <w:r w:rsidR="00BB5F27" w:rsidRPr="00105B39">
              <w:rPr>
                <w:b/>
                <w:bCs/>
                <w:sz w:val="18"/>
                <w:szCs w:val="18"/>
              </w:rPr>
              <w:t>45</w:t>
            </w:r>
          </w:p>
        </w:tc>
      </w:tr>
      <w:tr w:rsidR="00105B39" w:rsidRPr="00625560" w14:paraId="39407C3E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0F57" w14:textId="77777777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التوصيات الجاري تنفيذها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4B5B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B839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5E9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89DD1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2B3D29" w14:textId="27C3BBD7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6066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00284" w14:textId="7ED86C85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D7A37" w14:textId="7673F032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</w:t>
            </w:r>
            <w:r w:rsidR="00BB5F27" w:rsidRPr="00105B39">
              <w:rPr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657EA" w14:textId="2041B1E5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6DDF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BD2" w14:textId="2F30D041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01ED0E4" w14:textId="503B01F2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105B39" w:rsidRPr="00625560" w14:paraId="55A90C98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1FF4" w14:textId="77777777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التوصيات المتأخَر تنفيذها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BC2A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015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83E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688A2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4A1A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9F4E8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54A8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8628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88DD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3ECF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0BC" w14:textId="7EB21338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744C8A" w14:textId="13DE8A19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105B39" w:rsidRPr="00625560" w14:paraId="65005921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17A" w14:textId="11771091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التوصيات التي أُقفل</w:t>
            </w:r>
            <w:r w:rsidR="002E02F3">
              <w:rPr>
                <w:sz w:val="18"/>
                <w:szCs w:val="18"/>
              </w:rPr>
              <w:t> </w:t>
            </w:r>
            <w:r w:rsidRPr="00105B39">
              <w:rPr>
                <w:sz w:val="18"/>
                <w:szCs w:val="18"/>
                <w:rtl/>
              </w:rPr>
              <w:t>ملفها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927E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B83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D60DB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993CA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78B3F" w14:textId="658906FD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3</w:t>
            </w:r>
            <w:r w:rsidR="00BB5F27" w:rsidRPr="00105B39">
              <w:rPr>
                <w:sz w:val="18"/>
                <w:szCs w:val="18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5A1B6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9BB4C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22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3604D" w14:textId="22FFBA59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</w:t>
            </w:r>
            <w:r w:rsidR="00BB5F27" w:rsidRPr="00105B39">
              <w:rPr>
                <w:sz w:val="18"/>
                <w:szCs w:val="18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23007" w14:textId="06E7904E" w:rsidR="006974CB" w:rsidRPr="00105B39" w:rsidRDefault="00BB5F27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766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06F6" w14:textId="109841BC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8F280D" w14:textId="3779A9CC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2</w:t>
            </w:r>
            <w:r w:rsidR="00BB5F27" w:rsidRPr="00105B39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105B39" w:rsidRPr="00625560" w14:paraId="556BC6C5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4218" w14:textId="77777777" w:rsidR="006974CB" w:rsidRPr="00105B39" w:rsidRDefault="006974CB" w:rsidP="007C23B9">
            <w:pPr>
              <w:pStyle w:val="Tabletexte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C7D45" w14:textId="35F420B3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7EC8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299C5" w14:textId="71974D50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EF9C" w14:textId="547DF18B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213BB" w14:textId="7EA84885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BC186" w14:textId="18F30D28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C34A7" w14:textId="3F4C6E4E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CD7FD" w14:textId="723077B5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6DF47" w14:textId="486D3EA2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05C84" w14:textId="2208ABA3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89BC3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9A16DB" w14:textId="57A8CE21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B5F27" w:rsidRPr="00625560" w14:paraId="68C80CA3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D1C" w14:textId="77777777" w:rsidR="006974CB" w:rsidRPr="002E02F3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2E02F3">
              <w:rPr>
                <w:sz w:val="18"/>
                <w:szCs w:val="18"/>
                <w:rtl/>
              </w:rPr>
              <w:t>النسبة المئوية للتوصيات الجاري تنفيذها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0F9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73F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DD2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FB2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F2AA" w14:textId="61B2A2DE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16F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%27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9AAFC" w14:textId="49C40824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3</w:t>
            </w:r>
            <w:r w:rsidRPr="00105B39">
              <w:rPr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6F6C" w14:textId="044FB678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38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4EF6" w14:textId="626AD801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E0D3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%44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9F2F" w14:textId="636058E5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68%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33D7BEE" w14:textId="634C0A23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%1</w:t>
            </w:r>
            <w:r w:rsidR="00BB5F27" w:rsidRPr="00105B39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C23B9" w:rsidRPr="00625560" w14:paraId="19EDAC02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561" w14:textId="77777777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النسبة المئوية للتوصيات المتأخَر تنفيذها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4C0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33C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0D9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51D1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9158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D5AE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3FA9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B333A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031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7C2ED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0C56" w14:textId="321E7BEE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21%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F5DBB78" w14:textId="33238B30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%</w:t>
            </w:r>
            <w:r w:rsidR="00BB5F27" w:rsidRPr="00105B39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BB5F27" w:rsidRPr="00625560" w14:paraId="599A1D26" w14:textId="77777777" w:rsidTr="00AD4789">
        <w:trPr>
          <w:trHeight w:val="244"/>
          <w:jc w:val="center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9228" w14:textId="77777777" w:rsidR="006974CB" w:rsidRPr="00105B39" w:rsidRDefault="006974CB" w:rsidP="007C23B9">
            <w:pPr>
              <w:pStyle w:val="Tabletexte"/>
              <w:spacing w:line="240" w:lineRule="exact"/>
              <w:jc w:val="left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  <w:rtl/>
              </w:rPr>
              <w:t>النسبة المئوية للتوصيات التي أُقفل ملفها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E2AC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A7AC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40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044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03C" w14:textId="61A8E6A1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2D7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222A" w14:textId="40FC8C62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6</w:t>
            </w:r>
            <w:r w:rsidRPr="00105B39">
              <w:rPr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79DA" w14:textId="5DA3A230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62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7CCE" w14:textId="7CCCDC28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</w:t>
            </w:r>
            <w:r w:rsidR="00BB5F27" w:rsidRPr="00105B39">
              <w:rPr>
                <w:sz w:val="18"/>
                <w:szCs w:val="18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ED829" w14:textId="77777777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sz w:val="18"/>
                <w:szCs w:val="18"/>
              </w:rPr>
              <w:t>%56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4B78" w14:textId="37509989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sz w:val="18"/>
                <w:szCs w:val="18"/>
              </w:rPr>
            </w:pPr>
            <w:r w:rsidRPr="00105B39">
              <w:rPr>
                <w:rFonts w:hint="cs"/>
                <w:sz w:val="18"/>
                <w:szCs w:val="18"/>
                <w:rtl/>
              </w:rPr>
              <w:t>11%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6750F9" w14:textId="03D63613" w:rsidR="006974CB" w:rsidRPr="00105B39" w:rsidRDefault="006974CB" w:rsidP="007C23B9">
            <w:pPr>
              <w:pStyle w:val="Tabletexte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105B39">
              <w:rPr>
                <w:b/>
                <w:bCs/>
                <w:sz w:val="18"/>
                <w:szCs w:val="18"/>
              </w:rPr>
              <w:t>%</w:t>
            </w:r>
            <w:r w:rsidR="00BB5F27" w:rsidRPr="00105B39">
              <w:rPr>
                <w:b/>
                <w:bCs/>
                <w:sz w:val="18"/>
                <w:szCs w:val="18"/>
              </w:rPr>
              <w:t>82</w:t>
            </w:r>
          </w:p>
        </w:tc>
      </w:tr>
    </w:tbl>
    <w:p w14:paraId="51CB3848" w14:textId="77777777" w:rsidR="007F3BD9" w:rsidRDefault="007F3BD9" w:rsidP="007F3BD9">
      <w:pPr>
        <w:spacing w:before="600"/>
        <w:jc w:val="center"/>
        <w:rPr>
          <w:rtl/>
          <w:lang w:bidi="ar-EG"/>
        </w:rPr>
      </w:pPr>
      <w:r w:rsidRPr="00ED6CC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7F3BD9" w:rsidSect="006C3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A2D5" w14:textId="77777777" w:rsidR="00FC7A81" w:rsidRDefault="00FC7A81" w:rsidP="006C3242">
      <w:pPr>
        <w:spacing w:before="0" w:line="240" w:lineRule="auto"/>
      </w:pPr>
      <w:r>
        <w:separator/>
      </w:r>
    </w:p>
  </w:endnote>
  <w:endnote w:type="continuationSeparator" w:id="0">
    <w:p w14:paraId="722C086B" w14:textId="77777777" w:rsidR="00FC7A81" w:rsidRDefault="00FC7A8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D737" w14:textId="77777777" w:rsidR="008D534B" w:rsidRDefault="008D5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54C8" w14:textId="0F6F61D4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8D534B">
      <w:rPr>
        <w:color w:val="F2F2F2" w:themeColor="background1" w:themeShade="F2"/>
        <w:sz w:val="16"/>
        <w:szCs w:val="16"/>
        <w:lang w:val="fr-FR"/>
      </w:rPr>
      <w:fldChar w:fldCharType="begin"/>
    </w:r>
    <w:r w:rsidRPr="008D534B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8D534B">
      <w:rPr>
        <w:color w:val="F2F2F2" w:themeColor="background1" w:themeShade="F2"/>
        <w:sz w:val="16"/>
        <w:szCs w:val="16"/>
        <w:lang w:val="fr-FR"/>
      </w:rPr>
      <w:fldChar w:fldCharType="separate"/>
    </w:r>
    <w:r w:rsidR="00F3643D" w:rsidRPr="008D534B">
      <w:rPr>
        <w:noProof/>
        <w:color w:val="F2F2F2" w:themeColor="background1" w:themeShade="F2"/>
        <w:sz w:val="16"/>
        <w:szCs w:val="16"/>
        <w:lang w:val="fr-FR"/>
      </w:rPr>
      <w:t>P:\ARA\SG\CONSEIL\C22\000\044A.docx</w:t>
    </w:r>
    <w:r w:rsidRPr="008D534B">
      <w:rPr>
        <w:color w:val="F2F2F2" w:themeColor="background1" w:themeShade="F2"/>
        <w:sz w:val="16"/>
        <w:szCs w:val="16"/>
      </w:rPr>
      <w:fldChar w:fldCharType="end"/>
    </w:r>
    <w:proofErr w:type="gramStart"/>
    <w:r w:rsidRPr="008D534B">
      <w:rPr>
        <w:color w:val="F2F2F2" w:themeColor="background1" w:themeShade="F2"/>
        <w:sz w:val="16"/>
        <w:szCs w:val="16"/>
        <w:lang w:val="fr-CH"/>
      </w:rPr>
      <w:t xml:space="preserve">  </w:t>
    </w:r>
    <w:r w:rsidRPr="008D534B">
      <w:rPr>
        <w:color w:val="F2F2F2" w:themeColor="background1" w:themeShade="F2"/>
        <w:sz w:val="16"/>
        <w:szCs w:val="16"/>
        <w:lang w:val="fr-FR"/>
      </w:rPr>
      <w:t xml:space="preserve"> (</w:t>
    </w:r>
    <w:proofErr w:type="gramEnd"/>
    <w:r w:rsidR="00330ACD" w:rsidRPr="008D534B">
      <w:rPr>
        <w:color w:val="F2F2F2" w:themeColor="background1" w:themeShade="F2"/>
        <w:sz w:val="16"/>
        <w:szCs w:val="16"/>
        <w:lang w:val="fr-FR"/>
      </w:rPr>
      <w:t>500641</w:t>
    </w:r>
    <w:r w:rsidRPr="008D534B">
      <w:rPr>
        <w:color w:val="F2F2F2" w:themeColor="background1" w:themeShade="F2"/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EC4D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7A0F" w14:textId="77777777" w:rsidR="00FC7A81" w:rsidRDefault="00FC7A81" w:rsidP="006C3242">
      <w:pPr>
        <w:spacing w:before="0" w:line="240" w:lineRule="auto"/>
      </w:pPr>
      <w:r>
        <w:separator/>
      </w:r>
    </w:p>
  </w:footnote>
  <w:footnote w:type="continuationSeparator" w:id="0">
    <w:p w14:paraId="5D0899CE" w14:textId="77777777" w:rsidR="00FC7A81" w:rsidRDefault="00FC7A81" w:rsidP="006C3242">
      <w:pPr>
        <w:spacing w:before="0" w:line="240" w:lineRule="auto"/>
      </w:pPr>
      <w:r>
        <w:continuationSeparator/>
      </w:r>
    </w:p>
  </w:footnote>
  <w:footnote w:id="1">
    <w:p w14:paraId="4A9B286A" w14:textId="77777777" w:rsidR="007F3BD9" w:rsidRDefault="007F3BD9" w:rsidP="007F3BD9">
      <w:pPr>
        <w:pStyle w:val="Footnotetexte"/>
      </w:pPr>
      <w:r>
        <w:rPr>
          <w:rStyle w:val="FootnoteReference"/>
        </w:rPr>
        <w:footnoteRef/>
      </w:r>
      <w:r>
        <w:rPr>
          <w:rtl/>
        </w:rPr>
        <w:tab/>
        <w:t>الأمر الإداري</w:t>
      </w:r>
      <w:r>
        <w:rPr>
          <w:rFonts w:hint="cs"/>
          <w:rtl/>
        </w:rPr>
        <w:t xml:space="preserve"> رقم</w:t>
      </w:r>
      <w:r>
        <w:rPr>
          <w:rtl/>
        </w:rPr>
        <w:t xml:space="preserve"> </w:t>
      </w:r>
      <w:r>
        <w:t>13/09</w:t>
      </w:r>
      <w:r>
        <w:rPr>
          <w:rtl/>
        </w:rPr>
        <w:t xml:space="preserve">، </w:t>
      </w:r>
      <w:r>
        <w:rPr>
          <w:rFonts w:hint="cs"/>
          <w:rtl/>
        </w:rPr>
        <w:t>الصادر عن</w:t>
      </w:r>
      <w:r>
        <w:rPr>
          <w:rtl/>
        </w:rPr>
        <w:t xml:space="preserve"> الأمين العام في</w:t>
      </w:r>
      <w:r>
        <w:rPr>
          <w:rFonts w:hint="cs"/>
          <w:rtl/>
        </w:rPr>
        <w:t> </w:t>
      </w:r>
      <w:r>
        <w:t>27</w:t>
      </w:r>
      <w:r>
        <w:rPr>
          <w:rFonts w:hint="cs"/>
          <w:rtl/>
        </w:rPr>
        <w:t> </w:t>
      </w:r>
      <w:r>
        <w:rPr>
          <w:rtl/>
        </w:rPr>
        <w:t>يونيو</w:t>
      </w:r>
      <w:r>
        <w:rPr>
          <w:rFonts w:hint="cs"/>
          <w:rtl/>
        </w:rPr>
        <w:t> </w:t>
      </w:r>
      <w:r>
        <w:t>2013</w:t>
      </w:r>
    </w:p>
  </w:footnote>
  <w:footnote w:id="2">
    <w:p w14:paraId="3D6A3536" w14:textId="77777777" w:rsidR="007F3BD9" w:rsidRDefault="007F3BD9" w:rsidP="007F3BD9">
      <w:pPr>
        <w:pStyle w:val="Footnotetexte"/>
        <w:rPr>
          <w:rtl/>
        </w:rPr>
      </w:pPr>
      <w:r>
        <w:rPr>
          <w:rStyle w:val="FootnoteReference"/>
        </w:rPr>
        <w:footnoteRef/>
      </w:r>
      <w:r>
        <w:tab/>
      </w:r>
      <w:r w:rsidRPr="001A27E6">
        <w:rPr>
          <w:rtl/>
        </w:rPr>
        <w:t xml:space="preserve">معهد مراجعي الحسابات الداخليين، </w:t>
      </w:r>
      <w:hyperlink r:id="rId1" w:history="1">
        <w:r w:rsidRPr="001A27E6">
          <w:rPr>
            <w:rStyle w:val="Hyperlink"/>
          </w:rPr>
          <w:t>www.theiia.org</w:t>
        </w:r>
      </w:hyperlink>
    </w:p>
  </w:footnote>
  <w:footnote w:id="3">
    <w:p w14:paraId="2E883621" w14:textId="77777777" w:rsidR="007F3BD9" w:rsidRDefault="007F3BD9" w:rsidP="007F3BD9">
      <w:pPr>
        <w:pStyle w:val="Footnotetexte"/>
      </w:pPr>
      <w:r>
        <w:rPr>
          <w:rStyle w:val="FootnoteReference"/>
        </w:rPr>
        <w:footnoteRef/>
      </w:r>
      <w:r>
        <w:rPr>
          <w:rtl/>
        </w:rPr>
        <w:tab/>
        <w:t xml:space="preserve">الأمر الإداري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t>13/09</w:t>
      </w:r>
      <w:r>
        <w:rPr>
          <w:rtl/>
        </w:rPr>
        <w:t xml:space="preserve">، الذي اعتمده الأمين العام في </w:t>
      </w:r>
      <w:r>
        <w:t>27</w:t>
      </w:r>
      <w:r>
        <w:rPr>
          <w:rFonts w:hint="cs"/>
          <w:rtl/>
        </w:rPr>
        <w:t> </w:t>
      </w:r>
      <w:r>
        <w:rPr>
          <w:rtl/>
        </w:rPr>
        <w:t>يونيو</w:t>
      </w:r>
      <w:r>
        <w:rPr>
          <w:rFonts w:hint="cs"/>
          <w:rtl/>
        </w:rPr>
        <w:t> </w:t>
      </w:r>
      <w:r>
        <w:t>2013</w:t>
      </w:r>
    </w:p>
  </w:footnote>
  <w:footnote w:id="4">
    <w:p w14:paraId="3A915DD7" w14:textId="77777777" w:rsidR="007F3BD9" w:rsidRDefault="007F3BD9" w:rsidP="007F3BD9">
      <w:pPr>
        <w:pStyle w:val="Footnotetexte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  <w:lang w:bidi="ar-EG"/>
        </w:rPr>
        <w:tab/>
      </w:r>
      <w:r>
        <w:rPr>
          <w:lang w:bidi="ar-EG"/>
        </w:rPr>
        <w:t>2500. A1</w:t>
      </w:r>
      <w:r>
        <w:rPr>
          <w:rFonts w:hint="cs"/>
          <w:rtl/>
          <w:lang w:bidi="ar-EG"/>
        </w:rPr>
        <w:t xml:space="preserve"> - </w:t>
      </w:r>
      <w:r>
        <w:rPr>
          <w:rFonts w:hint="cs"/>
          <w:rtl/>
        </w:rPr>
        <w:t>يتعين</w:t>
      </w:r>
      <w:r>
        <w:rPr>
          <w:rFonts w:hint="cs"/>
          <w:rtl/>
          <w:lang w:bidi="ar-EG"/>
        </w:rPr>
        <w:t xml:space="preserve"> على الرئيس التنفيذي لمراجعة الحسابات إنشاء عملية متابعة لرصد وضمان التنفيذ الفعلي للإجراءات التي اتخذها المديرون أو قبول الإدارة العليا مُخاطرة عدم اتخاذ إجراءات.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2060" w14:textId="77777777" w:rsidR="008D534B" w:rsidRDefault="008D5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315A" w14:textId="404D724B" w:rsidR="00447F32" w:rsidRPr="00447F32" w:rsidRDefault="008D534B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E10964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330ACD">
          <w:rPr>
            <w:rFonts w:cs="Calibri"/>
            <w:noProof/>
            <w:sz w:val="20"/>
            <w:szCs w:val="20"/>
          </w:rPr>
          <w:t>44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DEB2" w14:textId="77777777" w:rsidR="008D534B" w:rsidRDefault="008D5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6E"/>
    <w:rsid w:val="00012B0F"/>
    <w:rsid w:val="00026EDB"/>
    <w:rsid w:val="00030D52"/>
    <w:rsid w:val="0003555A"/>
    <w:rsid w:val="00090574"/>
    <w:rsid w:val="000C1C0E"/>
    <w:rsid w:val="000C548A"/>
    <w:rsid w:val="00105B39"/>
    <w:rsid w:val="0011203B"/>
    <w:rsid w:val="001161A1"/>
    <w:rsid w:val="00117BFE"/>
    <w:rsid w:val="0015650C"/>
    <w:rsid w:val="001824B9"/>
    <w:rsid w:val="00185E47"/>
    <w:rsid w:val="001B1104"/>
    <w:rsid w:val="001B120D"/>
    <w:rsid w:val="001C0169"/>
    <w:rsid w:val="001D1D50"/>
    <w:rsid w:val="001D375E"/>
    <w:rsid w:val="001D6745"/>
    <w:rsid w:val="001E446E"/>
    <w:rsid w:val="001E4945"/>
    <w:rsid w:val="001F47B2"/>
    <w:rsid w:val="001F566E"/>
    <w:rsid w:val="002107AE"/>
    <w:rsid w:val="00214A51"/>
    <w:rsid w:val="002154EE"/>
    <w:rsid w:val="00220015"/>
    <w:rsid w:val="002276D2"/>
    <w:rsid w:val="0023283D"/>
    <w:rsid w:val="00245936"/>
    <w:rsid w:val="00247741"/>
    <w:rsid w:val="0026373E"/>
    <w:rsid w:val="0026457E"/>
    <w:rsid w:val="00271C43"/>
    <w:rsid w:val="00275519"/>
    <w:rsid w:val="00290728"/>
    <w:rsid w:val="002978F4"/>
    <w:rsid w:val="002B028D"/>
    <w:rsid w:val="002D18A0"/>
    <w:rsid w:val="002D5B79"/>
    <w:rsid w:val="002E02F3"/>
    <w:rsid w:val="002E6541"/>
    <w:rsid w:val="002F71D8"/>
    <w:rsid w:val="00306828"/>
    <w:rsid w:val="00330ACD"/>
    <w:rsid w:val="00334924"/>
    <w:rsid w:val="003409BC"/>
    <w:rsid w:val="00341CA0"/>
    <w:rsid w:val="00342BDB"/>
    <w:rsid w:val="00357185"/>
    <w:rsid w:val="0037635E"/>
    <w:rsid w:val="00383829"/>
    <w:rsid w:val="00397F03"/>
    <w:rsid w:val="003A3252"/>
    <w:rsid w:val="003A7C5D"/>
    <w:rsid w:val="003C6B4F"/>
    <w:rsid w:val="003E20F4"/>
    <w:rsid w:val="003F422E"/>
    <w:rsid w:val="003F4B29"/>
    <w:rsid w:val="003F752C"/>
    <w:rsid w:val="0042686F"/>
    <w:rsid w:val="004317D8"/>
    <w:rsid w:val="00434183"/>
    <w:rsid w:val="00443869"/>
    <w:rsid w:val="00447F32"/>
    <w:rsid w:val="00452DF3"/>
    <w:rsid w:val="004653FD"/>
    <w:rsid w:val="004973DB"/>
    <w:rsid w:val="004A0CB7"/>
    <w:rsid w:val="004B753E"/>
    <w:rsid w:val="004E11DC"/>
    <w:rsid w:val="004F6832"/>
    <w:rsid w:val="005409AC"/>
    <w:rsid w:val="00545E64"/>
    <w:rsid w:val="0055516A"/>
    <w:rsid w:val="0055682A"/>
    <w:rsid w:val="00575642"/>
    <w:rsid w:val="005805EA"/>
    <w:rsid w:val="0058491B"/>
    <w:rsid w:val="00592EA5"/>
    <w:rsid w:val="0059412A"/>
    <w:rsid w:val="005A3170"/>
    <w:rsid w:val="005B1652"/>
    <w:rsid w:val="005B188F"/>
    <w:rsid w:val="005E6FC2"/>
    <w:rsid w:val="00614855"/>
    <w:rsid w:val="00650CC3"/>
    <w:rsid w:val="00677396"/>
    <w:rsid w:val="00681DF4"/>
    <w:rsid w:val="0069200F"/>
    <w:rsid w:val="006974CB"/>
    <w:rsid w:val="006A65CB"/>
    <w:rsid w:val="006A793B"/>
    <w:rsid w:val="006C3242"/>
    <w:rsid w:val="006C4326"/>
    <w:rsid w:val="006C7CC0"/>
    <w:rsid w:val="006E01B9"/>
    <w:rsid w:val="006F63F7"/>
    <w:rsid w:val="007025C7"/>
    <w:rsid w:val="00706D7A"/>
    <w:rsid w:val="00712C72"/>
    <w:rsid w:val="00722F0D"/>
    <w:rsid w:val="0074289A"/>
    <w:rsid w:val="0074420E"/>
    <w:rsid w:val="007500C4"/>
    <w:rsid w:val="00754CE5"/>
    <w:rsid w:val="00761A17"/>
    <w:rsid w:val="00772606"/>
    <w:rsid w:val="007753F5"/>
    <w:rsid w:val="00783E26"/>
    <w:rsid w:val="007C23B9"/>
    <w:rsid w:val="007C3BC7"/>
    <w:rsid w:val="007C3BCD"/>
    <w:rsid w:val="007D4ACF"/>
    <w:rsid w:val="007F0787"/>
    <w:rsid w:val="007F3BD9"/>
    <w:rsid w:val="008015CC"/>
    <w:rsid w:val="00806EB3"/>
    <w:rsid w:val="00810B7B"/>
    <w:rsid w:val="00815AB9"/>
    <w:rsid w:val="0082358A"/>
    <w:rsid w:val="008235CD"/>
    <w:rsid w:val="0082383F"/>
    <w:rsid w:val="008247DE"/>
    <w:rsid w:val="00827EFC"/>
    <w:rsid w:val="00840B10"/>
    <w:rsid w:val="008513CB"/>
    <w:rsid w:val="00895975"/>
    <w:rsid w:val="008A3C4E"/>
    <w:rsid w:val="008A7F84"/>
    <w:rsid w:val="008C1118"/>
    <w:rsid w:val="008D534B"/>
    <w:rsid w:val="00906D51"/>
    <w:rsid w:val="0091702E"/>
    <w:rsid w:val="00923B0C"/>
    <w:rsid w:val="00936776"/>
    <w:rsid w:val="0094021C"/>
    <w:rsid w:val="00952F86"/>
    <w:rsid w:val="009539AC"/>
    <w:rsid w:val="009555BD"/>
    <w:rsid w:val="00955E56"/>
    <w:rsid w:val="00982B28"/>
    <w:rsid w:val="00983290"/>
    <w:rsid w:val="009A7049"/>
    <w:rsid w:val="009B209D"/>
    <w:rsid w:val="009C0D12"/>
    <w:rsid w:val="009C5EC3"/>
    <w:rsid w:val="009D313F"/>
    <w:rsid w:val="009F55C5"/>
    <w:rsid w:val="00A00AA4"/>
    <w:rsid w:val="00A14992"/>
    <w:rsid w:val="00A24279"/>
    <w:rsid w:val="00A47A5A"/>
    <w:rsid w:val="00A57369"/>
    <w:rsid w:val="00A6683B"/>
    <w:rsid w:val="00A763D7"/>
    <w:rsid w:val="00A97F94"/>
    <w:rsid w:val="00AD4789"/>
    <w:rsid w:val="00AD6A3F"/>
    <w:rsid w:val="00AF715D"/>
    <w:rsid w:val="00B03099"/>
    <w:rsid w:val="00B05BC8"/>
    <w:rsid w:val="00B4554B"/>
    <w:rsid w:val="00B53537"/>
    <w:rsid w:val="00B5597D"/>
    <w:rsid w:val="00B63631"/>
    <w:rsid w:val="00B63E37"/>
    <w:rsid w:val="00B64B47"/>
    <w:rsid w:val="00B72291"/>
    <w:rsid w:val="00BA1748"/>
    <w:rsid w:val="00BA382B"/>
    <w:rsid w:val="00BB5F27"/>
    <w:rsid w:val="00BB7213"/>
    <w:rsid w:val="00BD3F29"/>
    <w:rsid w:val="00BD6B9A"/>
    <w:rsid w:val="00BE0A6C"/>
    <w:rsid w:val="00BE0B86"/>
    <w:rsid w:val="00C002DE"/>
    <w:rsid w:val="00C27AC0"/>
    <w:rsid w:val="00C53BF8"/>
    <w:rsid w:val="00C566BA"/>
    <w:rsid w:val="00C66157"/>
    <w:rsid w:val="00C674FE"/>
    <w:rsid w:val="00C67501"/>
    <w:rsid w:val="00C67A87"/>
    <w:rsid w:val="00C748F4"/>
    <w:rsid w:val="00C75633"/>
    <w:rsid w:val="00CE2EE1"/>
    <w:rsid w:val="00CE3349"/>
    <w:rsid w:val="00CE36E5"/>
    <w:rsid w:val="00CF27F5"/>
    <w:rsid w:val="00CF3FFD"/>
    <w:rsid w:val="00D10CCF"/>
    <w:rsid w:val="00D11732"/>
    <w:rsid w:val="00D25818"/>
    <w:rsid w:val="00D2608F"/>
    <w:rsid w:val="00D455B8"/>
    <w:rsid w:val="00D77D0F"/>
    <w:rsid w:val="00DA1CF0"/>
    <w:rsid w:val="00DB5731"/>
    <w:rsid w:val="00DC1E02"/>
    <w:rsid w:val="00DC24B4"/>
    <w:rsid w:val="00DC441A"/>
    <w:rsid w:val="00DC5FB0"/>
    <w:rsid w:val="00DF16DC"/>
    <w:rsid w:val="00E10964"/>
    <w:rsid w:val="00E217E5"/>
    <w:rsid w:val="00E2256D"/>
    <w:rsid w:val="00E45211"/>
    <w:rsid w:val="00E46209"/>
    <w:rsid w:val="00E473C5"/>
    <w:rsid w:val="00E92863"/>
    <w:rsid w:val="00E92AC9"/>
    <w:rsid w:val="00E9798E"/>
    <w:rsid w:val="00EB796D"/>
    <w:rsid w:val="00EC6268"/>
    <w:rsid w:val="00ED7152"/>
    <w:rsid w:val="00F058DC"/>
    <w:rsid w:val="00F15EB8"/>
    <w:rsid w:val="00F24FC4"/>
    <w:rsid w:val="00F2676C"/>
    <w:rsid w:val="00F3643D"/>
    <w:rsid w:val="00F61215"/>
    <w:rsid w:val="00F84366"/>
    <w:rsid w:val="00F85089"/>
    <w:rsid w:val="00F96C1F"/>
    <w:rsid w:val="00F974C5"/>
    <w:rsid w:val="00FA5C9C"/>
    <w:rsid w:val="00FA6F46"/>
    <w:rsid w:val="00FC44A1"/>
    <w:rsid w:val="00FC7A81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8F41"/>
  <w15:chartTrackingRefBased/>
  <w15:docId w15:val="{FE0B7AB2-F58E-4D3E-BDAC-112C68C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0A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120D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2D18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WGFHR15-C-0003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S19-CL-C-0130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Financial-Regulations/S-GEN-REG_RGTFIN-2018-PDF-A.pdf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halil\Desktop\Doc_TRAD\www.thei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2002</Words>
  <Characters>11416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Internal Auditor on internal audit activities</dc:title>
  <dc:subject>Council 2022</dc:subject>
  <dc:creator>Gergis, Mina</dc:creator>
  <cp:keywords>C22, C2022, Council-22</cp:keywords>
  <dc:description/>
  <cp:lastModifiedBy>Xue, Kun</cp:lastModifiedBy>
  <cp:revision>2</cp:revision>
  <dcterms:created xsi:type="dcterms:W3CDTF">2022-03-22T12:02:00Z</dcterms:created>
  <dcterms:modified xsi:type="dcterms:W3CDTF">2022-03-22T12:02:00Z</dcterms:modified>
</cp:coreProperties>
</file>